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svg" ContentType="image/svg+xml"/>
  <Override PartName="/word/media/rId25.svg" ContentType="image/svg+xml"/>
  <Override PartName="/word/media/rId29.svg" ContentType="image/svg+xml"/>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40" w:name="results"/>
    <w:p>
      <w:pPr>
        <w:pStyle w:val="Heading2"/>
      </w:pPr>
      <w:r>
        <w:t xml:space="preserve">Results</w:t>
      </w:r>
    </w:p>
    <w:bookmarkStart w:id="24" w:name="proof-of-concept"/>
    <w:p>
      <w:pPr>
        <w:pStyle w:val="Heading3"/>
      </w:pPr>
      <w:r>
        <w:t xml:space="preserve">Proof of concept</w:t>
      </w:r>
    </w:p>
    <w:tbl>
      <w:tblPr>
        <w:tblStyle w:val="Table"/>
        <w:tblW w:type="pct" w:w="5000"/>
        <w:tblLook w:firstRow="0" w:lastRow="0" w:firstColumn="0" w:lastColumn="0" w:noHBand="0" w:noVBand="0" w:val="0000"/>
      </w:tblPr>
      <w:tblGrid>
        <w:gridCol w:w="7920"/>
      </w:tblGrid>
      <w:tr>
        <w:tc>
          <w:tcPr/>
          <w:bookmarkStart w:id="23" w:name="fig-Fig_2"/>
          <w:p>
            <w:pPr>
              <w:pStyle w:val="Figure"/>
              <w:jc w:val="center"/>
            </w:pPr>
            <w:r>
              <w:drawing>
                <wp:inline>
                  <wp:extent cx="5943600" cy="3467099"/>
                  <wp:effectExtent b="0" l="0" r="0" t="0"/>
                  <wp:docPr descr="" title="" id="21" name="Picture"/>
                  <a:graphic>
                    <a:graphicData uri="http://schemas.openxmlformats.org/drawingml/2006/picture">
                      <pic:pic>
                        <pic:nvPicPr>
                          <pic:cNvPr descr="figures/fig-Fig_2-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34670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Bias on effect estimates for different ML algorithms in three different simulated causal simulations (a and b). Sample sizes are so large that stochastic effects can be excluded (1000 observations and 500 repetitions). Effects of the ML models were inferred using average conditional effects. Row a) shows results for simulations with uncorrelated predictors with effect sizes (</w:t>
            </w:r>
            <m:oMath>
              <m:sSub>
                <m:e>
                  <m:r>
                    <m:t>β</m:t>
                  </m:r>
                </m:e>
                <m:sub>
                  <m:r>
                    <m:t>1</m:t>
                  </m:r>
                </m:sub>
              </m:sSub>
            </m:oMath>
            <w:r>
              <w:t xml:space="preserve">=1.0,</w:t>
            </w:r>
            <w:r>
              <w:t xml:space="preserve"> </w:t>
            </w:r>
            <m:oMath>
              <m:sSub>
                <m:e>
                  <m:r>
                    <m:t>β</m:t>
                  </m:r>
                </m:e>
                <m:sub>
                  <m:r>
                    <m:t>2</m:t>
                  </m:r>
                </m:sub>
              </m:sSub>
            </m:oMath>
            <w:r>
              <w:t xml:space="preserve">=0.0, and</w:t>
            </w:r>
            <w:r>
              <w:t xml:space="preserve"> </w:t>
            </w:r>
            <m:oMath>
              <m:sSub>
                <m:e>
                  <m:r>
                    <m:t>β</m:t>
                  </m:r>
                </m:e>
                <m:sub>
                  <m:r>
                    <m:t>3</m:t>
                  </m:r>
                </m:sub>
              </m:sSub>
            </m:oMath>
            <w:r>
              <w:t xml:space="preserve">=1.0).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affects y.</w:t>
            </w:r>
          </w:p>
          <w:bookmarkEnd w:id="23"/>
        </w:tc>
      </w:tr>
    </w:tbl>
    <w:bookmarkEnd w:id="24"/>
    <w:bookmarkStart w:id="34" w:name="data-poor-simulation"/>
    <w:p>
      <w:pPr>
        <w:pStyle w:val="Heading3"/>
      </w:pPr>
      <w:r>
        <w:t xml:space="preserve">Data-poor simulation</w:t>
      </w:r>
    </w:p>
    <w:tbl>
      <w:tblPr>
        <w:tblStyle w:val="Table"/>
        <w:tblW w:type="pct" w:w="5000"/>
        <w:tblLook w:firstRow="0" w:lastRow="0" w:firstColumn="0" w:lastColumn="0" w:noHBand="0" w:noVBand="0" w:val="0000"/>
      </w:tblPr>
      <w:tblGrid>
        <w:gridCol w:w="7920"/>
      </w:tblGrid>
      <w:tr>
        <w:tc>
          <w:tcPr/>
          <w:bookmarkStart w:id="28" w:name="fig-Fig_3"/>
          <w:p>
            <w:pPr>
              <w:pStyle w:val="Figure"/>
              <w:jc w:val="center"/>
            </w:pPr>
            <w:r>
              <w:drawing>
                <wp:inline>
                  <wp:extent cx="5943600" cy="4160520"/>
                  <wp:effectExtent b="0" l="0" r="0" t="0"/>
                  <wp:docPr descr="" title="" id="26" name="Picture"/>
                  <a:graphic>
                    <a:graphicData uri="http://schemas.openxmlformats.org/drawingml/2006/picture">
                      <pic:pic>
                        <pic:nvPicPr>
                          <pic:cNvPr descr="figures/fig-Fig_3-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Bias and variance of estimated effects in data-poor situations. N = 50, 100, and 600 observations of 100 weakly correlated predictors were simulated. True effects in the data generating model were</w:t>
            </w:r>
            <w:r>
              <w:t xml:space="preserve"> </w:t>
            </w:r>
            <m:oMath>
              <m:sSub>
                <m:e>
                  <m:r>
                    <m:t>β</m:t>
                  </m:r>
                </m:e>
                <m:sub>
                  <m:r>
                    <m:t>1</m:t>
                  </m:r>
                </m:sub>
              </m:sSub>
            </m:oMath>
            <w:r>
              <w:t xml:space="preserve">=1.0,</w:t>
            </w:r>
            <w:r>
              <w:t xml:space="preserve"> </w:t>
            </w:r>
            <m:oMath>
              <m:sSub>
                <m:e>
                  <m:r>
                    <m:t>β</m:t>
                  </m:r>
                </m:e>
                <m:sub>
                  <m:r>
                    <m:t>2</m:t>
                  </m:r>
                </m:sub>
              </m:sSub>
            </m:oMath>
            <w:r>
              <w:t xml:space="preserve">=0.0, and the other 98 effects were equally spaced between 0 and 1. Models were fitted to the simulated data (1000 replicates) with the optimal hyperparameters (except for LM, which doesn’t have hyperparameters). Hyperparameters were selected based on the minimum MSE of (</w:t>
            </w:r>
            <m:oMath>
              <m:sSub>
                <m:e>
                  <m:acc>
                    <m:accPr>
                      <m:chr m:val="̂"/>
                    </m:accPr>
                    <m:e>
                      <m:r>
                        <m:t>β</m:t>
                      </m:r>
                    </m:e>
                  </m:acc>
                </m:e>
                <m:sub>
                  <m:r>
                    <m:t>1</m:t>
                  </m:r>
                </m:sub>
              </m:sSub>
            </m:oMath>
            <w:r>
              <w:t xml:space="preserve">) (green) or the prediction error (based on</w:t>
            </w:r>
            <w:r>
              <w:t xml:space="preserve"> </w:t>
            </w:r>
            <m:oMath>
              <m:acc>
                <m:accPr>
                  <m:chr m:val="̂"/>
                </m:accPr>
                <m:e>
                  <m:r>
                    <m:t>y</m:t>
                  </m:r>
                </m:e>
              </m:acc>
            </m:oMath>
            <w:r>
              <w:t xml:space="preserve"> </w:t>
            </w:r>
            <w:r>
              <w:t xml:space="preserve">) (red). Bias and variance were calculated for</w:t>
            </w:r>
            <w:r>
              <w:t xml:space="preserve"> </w:t>
            </w:r>
            <m:oMath>
              <m:sSub>
                <m:e>
                  <m:acc>
                    <m:accPr>
                      <m:chr m:val="̂"/>
                    </m:accPr>
                    <m:e>
                      <m:r>
                        <m:t>β</m:t>
                      </m:r>
                    </m:e>
                  </m:acc>
                </m:e>
                <m:sub>
                  <m:r>
                    <m:t>1</m:t>
                  </m:r>
                </m:sub>
              </m:sSub>
            </m:oMath>
            <w:r>
              <w:t xml:space="preserve"> </w:t>
            </w:r>
            <w:r>
              <w:t xml:space="preserve">and</w:t>
            </w:r>
            <w:r>
              <w:t xml:space="preserve"> </w:t>
            </w:r>
            <m:oMath>
              <m:sSub>
                <m:e>
                  <m:acc>
                    <m:accPr>
                      <m:chr m:val="̂"/>
                    </m:accPr>
                    <m:e>
                      <m:r>
                        <m:t>β</m:t>
                      </m:r>
                    </m:e>
                  </m:acc>
                </m:e>
                <m:sub>
                  <m:r>
                    <m:t>2</m:t>
                  </m:r>
                </m:sub>
              </m:sSub>
            </m:oMath>
            <w:r>
              <w:t xml:space="preserve">. Effects</w:t>
            </w:r>
            <w:r>
              <w:t xml:space="preserve"> </w:t>
            </w:r>
            <m:oMath>
              <m:sSub>
                <m:e>
                  <m:acc>
                    <m:accPr>
                      <m:chr m:val="̂"/>
                    </m:accPr>
                    <m:e>
                      <m:r>
                        <m:t>β</m:t>
                      </m:r>
                    </m:e>
                  </m:acc>
                </m:e>
                <m:sub>
                  <m:r>
                    <m:t>i</m:t>
                  </m:r>
                </m:sub>
              </m:sSub>
            </m:oMath>
            <w:r>
              <w:t xml:space="preserve"> </w:t>
            </w:r>
            <w:r>
              <w:t xml:space="preserve">for</w:t>
            </w:r>
            <w:r>
              <w:t xml:space="preserve"> </w:t>
            </w:r>
            <m:oMath>
              <m:r>
                <m:t>i</m:t>
              </m:r>
              <m:r>
                <m:rPr>
                  <m:sty m:val="p"/>
                </m:rPr>
                <m:t>=</m:t>
              </m:r>
              <m:r>
                <m:t>1</m:t>
              </m:r>
              <m:r>
                <m:rPr>
                  <m:sty m:val="p"/>
                </m:rPr>
                <m:t>,</m:t>
              </m:r>
              <m:r>
                <m:rPr>
                  <m:sty m:val="p"/>
                </m:rPr>
                <m:t>…</m:t>
              </m:r>
              <m:r>
                <m:rPr>
                  <m:sty m:val="p"/>
                </m:rPr>
                <m:t>,</m:t>
              </m:r>
              <m:r>
                <m:t>100</m:t>
              </m:r>
            </m:oMath>
            <w:r>
              <w:t xml:space="preserve">) were approximated using ACE.</w:t>
            </w:r>
          </w:p>
          <w:bookmarkEnd w:id="28"/>
        </w:tc>
      </w:tr>
    </w:tbl>
    <w:bookmarkStart w:id="33" w:name="hyper-parameter-sensitivity-analysis"/>
    <w:p>
      <w:pPr>
        <w:pStyle w:val="Heading4"/>
      </w:pPr>
      <w:r>
        <w:t xml:space="preserve">Hyper-parameter sensitivity analysis</w:t>
      </w:r>
    </w:p>
    <w:tbl>
      <w:tblPr>
        <w:tblStyle w:val="Table"/>
        <w:tblW w:type="pct" w:w="5000"/>
        <w:tblLook w:firstRow="0" w:lastRow="0" w:firstColumn="0" w:lastColumn="0" w:noHBand="0" w:noVBand="0" w:val="0000"/>
      </w:tblPr>
      <w:tblGrid>
        <w:gridCol w:w="7920"/>
      </w:tblGrid>
      <w:tr>
        <w:tc>
          <w:tcPr/>
          <w:bookmarkStart w:id="32" w:name="fig-Fig_4"/>
          <w:p>
            <w:pPr>
              <w:pStyle w:val="Figure"/>
              <w:jc w:val="center"/>
            </w:pPr>
            <w:r>
              <w:drawing>
                <wp:inline>
                  <wp:extent cx="5943600" cy="6604000"/>
                  <wp:effectExtent b="0" l="0" r="0" t="0"/>
                  <wp:docPr descr="" title="" id="30" name="Picture"/>
                  <a:graphic>
                    <a:graphicData uri="http://schemas.openxmlformats.org/drawingml/2006/picture">
                      <pic:pic>
                        <pic:nvPicPr>
                          <pic:cNvPr descr="figures/fig-Fig_4-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Results of hyperparameter tuning for Neural Networks (NN), Boosted Regression Trees (BRT), Random Forests (RF), and Elastic Net (EN) for 100 observations with 100 predictors. The influence of the hyperparameters on effect (</w:t>
            </w:r>
            <m:oMath>
              <m:sSub>
                <m:e>
                  <m:acc>
                    <m:accPr>
                      <m:chr m:val="̂"/>
                    </m:accPr>
                    <m:e>
                      <m:r>
                        <m:t>β</m:t>
                      </m:r>
                    </m:e>
                  </m:acc>
                </m:e>
                <m:sub>
                  <m:r>
                    <m:t>1</m:t>
                  </m:r>
                </m:sub>
              </m:sSub>
            </m:oMath>
            <w:r>
              <w:t xml:space="preserve">) (bias, variance, and MSE), and the predictions of the model, (</w:t>
            </w:r>
            <m:oMath>
              <m:acc>
                <m:accPr>
                  <m:chr m:val="̂"/>
                </m:accPr>
                <m:e>
                  <m:r>
                    <m:t>y</m:t>
                  </m:r>
                </m:e>
              </m:acc>
            </m:oMath>
            <w:r>
              <w:t xml:space="preserve">),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 (second plot) as the response. Red dots correspond to the best predicted set of hyperparameters (based on a random forest), in the first plot for the minimum MSE of the effect for</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32"/>
        </w:tc>
      </w:tr>
    </w:tbl>
    <w:bookmarkEnd w:id="33"/>
    <w:bookmarkEnd w:id="34"/>
    <w:bookmarkStart w:id="39" w:name="case-study"/>
    <w:p>
      <w:pPr>
        <w:pStyle w:val="Heading3"/>
      </w:pPr>
      <w:r>
        <w:t xml:space="preserve">Case Study</w:t>
      </w:r>
    </w:p>
    <w:tbl>
      <w:tblPr>
        <w:tblStyle w:val="Table"/>
        <w:tblW w:type="pct" w:w="5000"/>
        <w:tblLook w:firstRow="0" w:lastRow="0" w:firstColumn="0" w:lastColumn="0" w:noHBand="0" w:noVBand="0" w:val="0000"/>
      </w:tblPr>
      <w:tblGrid>
        <w:gridCol w:w="7920"/>
      </w:tblGrid>
      <w:tr>
        <w:tc>
          <w:tcPr/>
          <w:bookmarkStart w:id="38" w:name="fig-Fig_5"/>
          <w:p>
            <w:pPr>
              <w:pStyle w:val="Figure"/>
              <w:jc w:val="center"/>
            </w:pPr>
            <w:r>
              <w:drawing>
                <wp:inline>
                  <wp:extent cx="4572000" cy="2095500"/>
                  <wp:effectExtent b="0" l="0" r="0" t="0"/>
                  <wp:docPr descr="" title="" id="36" name="Picture"/>
                  <a:graphic>
                    <a:graphicData uri="http://schemas.openxmlformats.org/drawingml/2006/picture">
                      <pic:pic>
                        <pic:nvPicPr>
                          <pic:cNvPr descr="figures/fig-Fig_5-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20955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4: Difference between causal and conventional ML models for in-distribution and out-of-distribution predictions. In a simulated setting, the task is to predict Crop yield based on Plant growth (data-generating model is shown in the figure). Climate is an unobservable confounder and has effects on Plant growth and Pest (growth). In the first scenario, i.e. in-distribution predictions, Climate did not change, i.e. patients were exposed to the same climatic conditions; here the difference in predictive performance for the model with and without Pest growth is marginal (predictive performance was measured by R</w:t>
            </w:r>
            <w:r>
              <w:rPr>
                <w:vertAlign w:val="superscript"/>
              </w:rPr>
              <w:t xml:space="preserve">2</w:t>
            </w:r>
            <w:r>
              <w:t xml:space="preserve">). In the second theoretical setting, the climatic conditions changed (the effects of Climate on Plant growth and Pest are now zero). Using the previously trained models, the model without Pest deficit performed significantly worse than the model with Pest (plot with out-of-distribution predictions).</w:t>
            </w:r>
          </w:p>
          <w:bookmarkEnd w:id="38"/>
        </w:tc>
      </w:tr>
    </w:tbl>
    <w:bookmarkEnd w:id="39"/>
    <w:bookmarkEnd w:id="40"/>
    <w:sectPr w:rsidR="00832AA4" w:rsidSect="00DE2DF2">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7798295"/>
      <w:docPartObj>
        <w:docPartGallery w:val="Page Numbers (Bottom of Page)"/>
        <w:docPartUnique/>
      </w:docPartObj>
    </w:sdtPr>
    <w:sdtContent>
      <w:p w14:paraId="5621DF35" w14:textId="6E3DA2D6" w:rsidR="00704B7E" w:rsidRDefault="00704B7E" w:rsidP="00323C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AC0B15" w14:textId="77777777" w:rsidR="00704B7E" w:rsidRDefault="00704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6246"/>
      <w:docPartObj>
        <w:docPartGallery w:val="Page Numbers (Bottom of Page)"/>
        <w:docPartUnique/>
      </w:docPartObj>
    </w:sdtPr>
    <w:sdtContent>
      <w:p w14:paraId="29AD8EB0" w14:textId="728ED79E" w:rsidR="00704B7E" w:rsidRDefault="00704B7E" w:rsidP="00323C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0A062" w14:textId="77777777" w:rsidR="00704B7E" w:rsidRDefault="00704B7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C871C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06492D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AA529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31EBF5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2FE360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72A90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F085BE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EA07B8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F625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AEC9D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4B7E"/>
    <w:pPr>
      <w:spacing w:line="360" w:lineRule="auto"/>
      <w:jc w:val="both"/>
    </w:pPr>
    <w:rPr>
      <w:rFonts w:ascii="Arial" w:hAnsi="Arial"/>
    </w:rPr>
  </w:style>
  <w:style w:styleId="Heading1" w:type="paragraph">
    <w:name w:val="heading 1"/>
    <w:basedOn w:val="Normal"/>
    <w:next w:val="BodyText"/>
    <w:uiPriority w:val="9"/>
    <w:qFormat/>
    <w:rsid w:val="00704B7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704B7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704B7E"/>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4B7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rsid w:val="00704B7E"/>
    <w:pPr>
      <w:keepNext/>
      <w:keepLines/>
      <w:spacing w:after="0" w:before="200"/>
      <w:jc w:val="left"/>
      <w:outlineLvl w:val="4"/>
    </w:pPr>
    <w:rPr>
      <w:rFonts w:cstheme="majorBidi" w:eastAsiaTheme="majorEastAsia"/>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704B7E"/>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styleId="EndnoteReference" w:type="character">
    <w:name w:val="endnote reference"/>
    <w:basedOn w:val="DefaultParagraphFont"/>
    <w:semiHidden/>
    <w:unhideWhenUsed/>
    <w:rsid w:val="00704B7E"/>
    <w:rPr>
      <w:vertAlign w:val="superscript"/>
    </w:rPr>
  </w:style>
  <w:style w:styleId="TOAHeading" w:type="paragraph">
    <w:name w:val="toa heading"/>
    <w:basedOn w:val="Normal"/>
    <w:next w:val="Normal"/>
    <w:unhideWhenUsed/>
    <w:rsid w:val="00704B7E"/>
    <w:pPr>
      <w:spacing w:before="120"/>
    </w:pPr>
    <w:rPr>
      <w:rFonts w:asciiTheme="majorHAnsi" w:cstheme="majorBidi" w:eastAsiaTheme="majorEastAsia" w:hAnsiTheme="majorHAnsi"/>
      <w:b/>
      <w:bCs/>
    </w:rPr>
  </w:style>
  <w:style w:styleId="Header" w:type="paragraph">
    <w:name w:val="header"/>
    <w:basedOn w:val="Normal"/>
    <w:link w:val="HeaderChar"/>
    <w:unhideWhenUsed/>
    <w:rsid w:val="00704B7E"/>
    <w:pPr>
      <w:tabs>
        <w:tab w:pos="4513" w:val="center"/>
        <w:tab w:pos="9026" w:val="right"/>
      </w:tabs>
      <w:spacing w:after="0" w:line="240" w:lineRule="auto"/>
    </w:pPr>
  </w:style>
  <w:style w:customStyle="1" w:styleId="HeaderChar" w:type="character">
    <w:name w:val="Header Char"/>
    <w:basedOn w:val="DefaultParagraphFont"/>
    <w:link w:val="Header"/>
    <w:rsid w:val="00704B7E"/>
    <w:rPr>
      <w:rFonts w:ascii="Arial" w:hAnsi="Arial"/>
    </w:rPr>
  </w:style>
  <w:style w:styleId="Footer" w:type="paragraph">
    <w:name w:val="footer"/>
    <w:basedOn w:val="Normal"/>
    <w:link w:val="FooterChar"/>
    <w:unhideWhenUsed/>
    <w:rsid w:val="00704B7E"/>
    <w:pPr>
      <w:tabs>
        <w:tab w:pos="4513" w:val="center"/>
        <w:tab w:pos="9026" w:val="right"/>
      </w:tabs>
      <w:spacing w:after="0" w:line="240" w:lineRule="auto"/>
    </w:pPr>
  </w:style>
  <w:style w:customStyle="1" w:styleId="FooterChar" w:type="character">
    <w:name w:val="Footer Char"/>
    <w:basedOn w:val="DefaultParagraphFont"/>
    <w:link w:val="Footer"/>
    <w:rsid w:val="00704B7E"/>
    <w:rPr>
      <w:rFonts w:ascii="Arial" w:hAnsi="Arial"/>
    </w:rPr>
  </w:style>
  <w:style w:styleId="PageNumber" w:type="character">
    <w:name w:val="page number"/>
    <w:basedOn w:val="DefaultParagraphFont"/>
    <w:semiHidden/>
    <w:unhideWhenUsed/>
    <w:rsid w:val="00704B7E"/>
  </w:style>
  <w:style w:styleId="LineNumber" w:type="character">
    <w:name w:val="line number"/>
    <w:basedOn w:val="DefaultParagraphFont"/>
    <w:semiHidden/>
    <w:unhideWhenUsed/>
    <w:rsid w:val="00DE2DF2"/>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svg" /><Relationship Type="http://schemas.openxmlformats.org/officeDocument/2006/relationships/image" Id="rId25" Target="media/rId25.svg" /><Relationship Type="http://schemas.openxmlformats.org/officeDocument/2006/relationships/image" Id="rId29" Target="media/rId29.svg" /><Relationship Type="http://schemas.openxmlformats.org/officeDocument/2006/relationships/image" Id="rId35" Target="media/rId35.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2023-02-24T11:35:36Z</dcterms:created>
  <dcterms:modified xsi:type="dcterms:W3CDTF">2023-02-24T11:35:36Z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output-dir">
    <vt:lpwstr>word_documents</vt:lpwstr>
  </property>
  <property fmtid="{D5CDD505-2E9C-101B-9397-08002B2CF9AE}" pid="9" name="post-render">
    <vt:lpwstr>xcopy Results.docx word_documents &amp;&amp; rm Results.docx</vt:lpwstr>
  </property>
  <property fmtid="{D5CDD505-2E9C-101B-9397-08002B2CF9AE}" pid="10" name="toc-title">
    <vt:lpwstr>Table of contents</vt:lpwstr>
  </property>
</Properties>
</file>