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Un usuario está directamente relacionado con una persona, pueden existir usuarios (administradores por ejemplo) sin personas. Pero no tendría sentido una persona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y las cuentas están directamente ligadas con el usuario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Las subclases de operación tienen sus atributos específicos asignados.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A81249" w:rsidRPr="00A81249" w:rsidRDefault="00A81249" w:rsidP="00A81249">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w:t>
      </w:r>
      <w:r w:rsidR="000D180C">
        <w:rPr>
          <w:rFonts w:ascii="Arial" w:hAnsi="Arial" w:cs="Arial"/>
          <w:sz w:val="24"/>
          <w:szCs w:val="24"/>
        </w:rPr>
        <w:t>bonos Oro</w:t>
      </w:r>
      <w:r>
        <w:rPr>
          <w:rFonts w:ascii="Arial" w:hAnsi="Arial" w:cs="Arial"/>
          <w:sz w:val="24"/>
          <w:szCs w:val="24"/>
        </w:rPr>
        <w:t>, se le garantiza 10 veces el tiempo de expiración)</w:t>
      </w: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F5371" w:rsidRDefault="008F5371" w:rsidP="008C448D">
      <w:pPr>
        <w:pStyle w:val="Prrafodelista"/>
        <w:numPr>
          <w:ilvl w:val="0"/>
          <w:numId w:val="2"/>
        </w:numPr>
        <w:rPr>
          <w:rFonts w:ascii="Arial" w:hAnsi="Arial" w:cs="Arial"/>
          <w:sz w:val="24"/>
          <w:szCs w:val="24"/>
        </w:rPr>
      </w:pP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193BCA" w:rsidRDefault="00D8372F" w:rsidP="008C448D">
      <w:pPr>
        <w:pStyle w:val="Prrafodelista"/>
        <w:numPr>
          <w:ilvl w:val="0"/>
          <w:numId w:val="2"/>
        </w:numPr>
        <w:rPr>
          <w:rFonts w:ascii="Arial" w:hAnsi="Arial" w:cs="Arial"/>
          <w:sz w:val="24"/>
          <w:szCs w:val="24"/>
        </w:rPr>
      </w:pPr>
      <w:r>
        <w:rPr>
          <w:rFonts w:ascii="Arial" w:hAnsi="Arial" w:cs="Arial"/>
          <w:sz w:val="24"/>
          <w:szCs w:val="24"/>
        </w:rPr>
        <w:t>Se decidió</w:t>
      </w:r>
      <w:r w:rsidR="00193BCA">
        <w:rPr>
          <w:rFonts w:ascii="Arial" w:hAnsi="Arial" w:cs="Arial"/>
          <w:sz w:val="24"/>
          <w:szCs w:val="24"/>
        </w:rPr>
        <w:t xml:space="preserve"> que el modificar cuenta permita cambiar el estado de la cuenta (principalmente para dejar que el administrador vuelva a dar de alta una cuenta dada de baja) pero esto me permite dar de baja desde modificar. </w:t>
      </w:r>
      <w:r>
        <w:rPr>
          <w:rFonts w:ascii="Arial" w:hAnsi="Arial" w:cs="Arial"/>
          <w:sz w:val="24"/>
          <w:szCs w:val="24"/>
        </w:rPr>
        <w:t>Se decidió</w:t>
      </w:r>
      <w:r w:rsidR="00193BCA">
        <w:rPr>
          <w:rFonts w:ascii="Arial" w:hAnsi="Arial" w:cs="Arial"/>
          <w:sz w:val="24"/>
          <w:szCs w:val="24"/>
        </w:rPr>
        <w:t xml:space="preserve"> que lo mejor era hacerlo a pesar del problema.</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2D7601" w:rsidRDefault="002D7601" w:rsidP="008C448D">
      <w:pPr>
        <w:pStyle w:val="Prrafodelista"/>
        <w:numPr>
          <w:ilvl w:val="0"/>
          <w:numId w:val="2"/>
        </w:numPr>
        <w:rPr>
          <w:rFonts w:ascii="Arial" w:hAnsi="Arial" w:cs="Arial"/>
          <w:sz w:val="24"/>
          <w:szCs w:val="24"/>
        </w:rPr>
      </w:pPr>
      <w:r>
        <w:rPr>
          <w:rFonts w:ascii="Arial" w:hAnsi="Arial" w:cs="Arial"/>
          <w:sz w:val="24"/>
          <w:szCs w:val="24"/>
        </w:rPr>
        <w:t>Para el alta de cuentas se debe ingresar un cliente ya que una cuenta sin cliente no tiene sentido en la base.</w:t>
      </w:r>
    </w:p>
    <w:p w:rsidR="007A037E" w:rsidRDefault="007A037E" w:rsidP="008C448D">
      <w:pPr>
        <w:pStyle w:val="Prrafodelista"/>
        <w:numPr>
          <w:ilvl w:val="0"/>
          <w:numId w:val="2"/>
        </w:numPr>
        <w:rPr>
          <w:rFonts w:ascii="Arial" w:hAnsi="Arial" w:cs="Arial"/>
          <w:sz w:val="24"/>
          <w:szCs w:val="24"/>
        </w:rPr>
      </w:pPr>
      <w:r>
        <w:rPr>
          <w:rFonts w:ascii="Arial" w:hAnsi="Arial" w:cs="Arial"/>
          <w:sz w:val="24"/>
          <w:szCs w:val="24"/>
        </w:rPr>
        <w:t>En alta y modificación de clientes se muestra el número de tarjeta sin encriptar sólo en la aplicación.</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por la manera en la que se diseñó la tarjeta, que no tenía sentido que el usuario pudiera editar los campos de la misma.</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cuenta que no tenemos una operación que se ejecute diariamente, se decidió que la inhabilitación por falta de pago se produzca cuando el usuario desee rendir sus facturas.</w:t>
      </w:r>
    </w:p>
    <w:p w:rsidR="00B324FF" w:rsidRDefault="00B324FF" w:rsidP="00660892">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Usuario” al rol de administrador.</w:t>
      </w:r>
    </w:p>
    <w:p w:rsidR="00122BDE" w:rsidRDefault="00122BDE" w:rsidP="00660892">
      <w:pPr>
        <w:pStyle w:val="Prrafodelista"/>
        <w:numPr>
          <w:ilvl w:val="0"/>
          <w:numId w:val="2"/>
        </w:numPr>
        <w:rPr>
          <w:rFonts w:ascii="Arial" w:hAnsi="Arial" w:cs="Arial"/>
          <w:sz w:val="24"/>
          <w:szCs w:val="24"/>
        </w:rPr>
      </w:pPr>
      <w:r>
        <w:rPr>
          <w:rFonts w:ascii="Arial" w:hAnsi="Arial" w:cs="Arial"/>
          <w:sz w:val="24"/>
          <w:szCs w:val="24"/>
        </w:rPr>
        <w:t xml:space="preserve">La manera de controlar que el cliente deshabilitado no pueda realizar depósitos, retiros o transferencias es controlando que no pueda </w:t>
      </w:r>
      <w:proofErr w:type="spellStart"/>
      <w:r>
        <w:rPr>
          <w:rFonts w:ascii="Arial" w:hAnsi="Arial" w:cs="Arial"/>
          <w:sz w:val="24"/>
          <w:szCs w:val="24"/>
        </w:rPr>
        <w:t>logear</w:t>
      </w:r>
      <w:proofErr w:type="spellEnd"/>
      <w:r>
        <w:rPr>
          <w:rFonts w:ascii="Arial" w:hAnsi="Arial" w:cs="Arial"/>
          <w:sz w:val="24"/>
          <w:szCs w:val="24"/>
        </w:rPr>
        <w:t xml:space="preserve"> con ese rol.</w:t>
      </w:r>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 xml:space="preserve">En el alta de clientes se solicita en el enunciado que se dé de alta nuevamente a un cliente que estuviese dado de baja si se ingresan todos los datos relacionados al mismo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 De todas formas </w:t>
      </w:r>
      <w:proofErr w:type="gramStart"/>
      <w:r>
        <w:rPr>
          <w:rFonts w:ascii="Arial" w:hAnsi="Arial" w:cs="Arial"/>
          <w:sz w:val="24"/>
          <w:szCs w:val="24"/>
        </w:rPr>
        <w:t>el</w:t>
      </w:r>
      <w:proofErr w:type="gramEnd"/>
      <w:r>
        <w:rPr>
          <w:rFonts w:ascii="Arial" w:hAnsi="Arial" w:cs="Arial"/>
          <w:sz w:val="24"/>
          <w:szCs w:val="24"/>
        </w:rPr>
        <w:t xml:space="preserve"> alta lógica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565452" w:rsidRDefault="00565452" w:rsidP="008679C5">
      <w:pPr>
        <w:pStyle w:val="Prrafodelista"/>
        <w:numPr>
          <w:ilvl w:val="0"/>
          <w:numId w:val="2"/>
        </w:numPr>
        <w:rPr>
          <w:rFonts w:ascii="Arial" w:hAnsi="Arial" w:cs="Arial"/>
          <w:sz w:val="24"/>
          <w:szCs w:val="24"/>
        </w:rPr>
      </w:pPr>
      <w:r>
        <w:rPr>
          <w:rFonts w:ascii="Arial" w:hAnsi="Arial" w:cs="Arial"/>
          <w:sz w:val="24"/>
          <w:szCs w:val="24"/>
        </w:rPr>
        <w:t>Se decidió que no tiene sentido que un cliente tenga acceso al ABM de cuenta (más allá de modificar el tipo de cuenta que lo puede hacer a través de otro menú).</w:t>
      </w:r>
      <w:bookmarkStart w:id="0" w:name="_GoBack"/>
      <w:bookmarkEnd w:id="0"/>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F8242C">
          <w:pgSz w:w="15840" w:h="12240" w:orient="landscape"/>
          <w:pgMar w:top="0" w:right="0" w:bottom="0" w:left="0" w:header="709" w:footer="709" w:gutter="0"/>
          <w:cols w:space="708"/>
          <w:docGrid w:linePitch="360"/>
        </w:sectPr>
      </w:pPr>
      <w:r w:rsidRPr="00F8242C">
        <w:rPr>
          <w:noProof/>
        </w:rPr>
        <w:lastRenderedPageBreak/>
        <mc:AlternateContent>
          <mc:Choice Requires="wps">
            <w:drawing>
              <wp:anchor distT="0" distB="0" distL="114300" distR="114300" simplePos="0" relativeHeight="251659264" behindDoc="0" locked="0" layoutInCell="1" allowOverlap="1" wp14:anchorId="395BA857" wp14:editId="0C55D45F">
                <wp:simplePos x="0" y="0"/>
                <wp:positionH relativeFrom="column">
                  <wp:align>center</wp:align>
                </wp:positionH>
                <wp:positionV relativeFrom="paragraph">
                  <wp:posOffset>0</wp:posOffset>
                </wp:positionV>
                <wp:extent cx="11210925" cy="7677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0925" cy="7677150"/>
                        </a:xfrm>
                        <a:prstGeom prst="rect">
                          <a:avLst/>
                        </a:prstGeom>
                        <a:noFill/>
                        <a:ln w="9525">
                          <a:noFill/>
                          <a:miter lim="800000"/>
                          <a:headEnd/>
                          <a:tailEnd/>
                        </a:ln>
                      </wps:spPr>
                      <wps:txbx>
                        <w:txbxContent>
                          <w:p w:rsidR="00F8242C" w:rsidRDefault="0078132B">
                            <w:r w:rsidRPr="00337EBB">
                              <w:rPr>
                                <w:rFonts w:ascii="Arial" w:hAnsi="Arial" w:cs="Arial"/>
                                <w:sz w:val="24"/>
                                <w:szCs w:val="24"/>
                              </w:rPr>
                              <w:object w:dxaOrig="17880"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9.75pt;height:576.75pt" o:ole="">
                                  <v:imagedata r:id="rId8" o:title=""/>
                                </v:shape>
                                <o:OLEObject Type="Embed" ProgID="AcroExch.Document.11" ShapeID="_x0000_i1025" DrawAspect="Content" ObjectID="_1496877162"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882.75pt;height:60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" filled="f" stroked="f">
                <v:textbox>
                  <w:txbxContent>
                    <w:p w:rsidR="00F8242C" w:rsidRDefault="0078132B">
                      <w:r w:rsidRPr="00337EBB">
                        <w:rPr>
                          <w:rFonts w:ascii="Arial" w:hAnsi="Arial" w:cs="Arial"/>
                          <w:sz w:val="24"/>
                          <w:szCs w:val="24"/>
                        </w:rPr>
                        <w:object w:dxaOrig="17880" w:dyaOrig="12630">
                          <v:shape id="_x0000_i1025" type="#_x0000_t75" style="width:909.75pt;height:576.75pt" o:ole="">
                            <v:imagedata r:id="rId8" o:title=""/>
                          </v:shape>
                          <o:OLEObject Type="Embed" ProgID="AcroExch.Document.11" ShapeID="_x0000_i1025" DrawAspect="Content" ObjectID="_1496877162" r:id="rId10"/>
                        </w:object>
                      </w:r>
                    </w:p>
                  </w:txbxContent>
                </v:textbox>
              </v:shape>
            </w:pict>
          </mc:Fallback>
        </mc:AlternateContent>
      </w:r>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0F6" w:rsidRDefault="008500F6" w:rsidP="001F7C8A">
      <w:pPr>
        <w:spacing w:after="0" w:line="240" w:lineRule="auto"/>
      </w:pPr>
      <w:r>
        <w:separator/>
      </w:r>
    </w:p>
  </w:endnote>
  <w:endnote w:type="continuationSeparator" w:id="0">
    <w:p w:rsidR="008500F6" w:rsidRDefault="008500F6"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0F6" w:rsidRDefault="008500F6" w:rsidP="001F7C8A">
      <w:pPr>
        <w:spacing w:after="0" w:line="240" w:lineRule="auto"/>
      </w:pPr>
      <w:r>
        <w:separator/>
      </w:r>
    </w:p>
  </w:footnote>
  <w:footnote w:type="continuationSeparator" w:id="0">
    <w:p w:rsidR="008500F6" w:rsidRDefault="008500F6"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22BDE"/>
    <w:rsid w:val="00193BCA"/>
    <w:rsid w:val="001F7C8A"/>
    <w:rsid w:val="00254E39"/>
    <w:rsid w:val="00277605"/>
    <w:rsid w:val="002D7601"/>
    <w:rsid w:val="00324537"/>
    <w:rsid w:val="00337EBB"/>
    <w:rsid w:val="003A2902"/>
    <w:rsid w:val="00406476"/>
    <w:rsid w:val="00505C45"/>
    <w:rsid w:val="00517EB0"/>
    <w:rsid w:val="00565452"/>
    <w:rsid w:val="00572504"/>
    <w:rsid w:val="005732A1"/>
    <w:rsid w:val="0059290C"/>
    <w:rsid w:val="00660892"/>
    <w:rsid w:val="0072015C"/>
    <w:rsid w:val="00740F9E"/>
    <w:rsid w:val="0074684C"/>
    <w:rsid w:val="0078132B"/>
    <w:rsid w:val="0079388E"/>
    <w:rsid w:val="007A037E"/>
    <w:rsid w:val="007C14EF"/>
    <w:rsid w:val="007F5125"/>
    <w:rsid w:val="00833B3B"/>
    <w:rsid w:val="008500F6"/>
    <w:rsid w:val="0086490B"/>
    <w:rsid w:val="008679C5"/>
    <w:rsid w:val="00897E2F"/>
    <w:rsid w:val="008C448D"/>
    <w:rsid w:val="008C493F"/>
    <w:rsid w:val="008F5371"/>
    <w:rsid w:val="009169F9"/>
    <w:rsid w:val="0091783B"/>
    <w:rsid w:val="009962EF"/>
    <w:rsid w:val="009A44B1"/>
    <w:rsid w:val="009D0188"/>
    <w:rsid w:val="009E2AFD"/>
    <w:rsid w:val="00A016AC"/>
    <w:rsid w:val="00A05AC7"/>
    <w:rsid w:val="00A401B3"/>
    <w:rsid w:val="00A7105A"/>
    <w:rsid w:val="00A81249"/>
    <w:rsid w:val="00A83267"/>
    <w:rsid w:val="00AB4BD9"/>
    <w:rsid w:val="00B04655"/>
    <w:rsid w:val="00B24EBC"/>
    <w:rsid w:val="00B324FF"/>
    <w:rsid w:val="00B63CF9"/>
    <w:rsid w:val="00BA6E38"/>
    <w:rsid w:val="00BC780C"/>
    <w:rsid w:val="00C34AC1"/>
    <w:rsid w:val="00C97490"/>
    <w:rsid w:val="00CC145A"/>
    <w:rsid w:val="00CF60FB"/>
    <w:rsid w:val="00D8372F"/>
    <w:rsid w:val="00DC00A7"/>
    <w:rsid w:val="00E41FDB"/>
    <w:rsid w:val="00F24310"/>
    <w:rsid w:val="00F4621A"/>
    <w:rsid w:val="00F60053"/>
    <w:rsid w:val="00F8242C"/>
    <w:rsid w:val="00FB09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763</TotalTime>
  <Pages>7</Pages>
  <Words>1205</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53</cp:revision>
  <cp:lastPrinted>2015-06-17T11:56:00Z</cp:lastPrinted>
  <dcterms:created xsi:type="dcterms:W3CDTF">2015-06-12T00:14:00Z</dcterms:created>
  <dcterms:modified xsi:type="dcterms:W3CDTF">2015-06-27T05:26:00Z</dcterms:modified>
</cp:coreProperties>
</file>