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activar maquina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env\Scripts\activate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instalar requerimientos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listar y comprobar requerimientos instalados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 list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https://meet.google.com/gzz-nudh-swu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carpetas van asi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90725" cy="183832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hermosa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839575" cy="58293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95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otro conector de base de datos por favor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pip install pymysql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limpiar pantalla seria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mejor dicho se nos infiltro el patron del mal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2934950" cy="5676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34575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creamos el proyecto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django-admin startproject dcrm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1809750" cy="22193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debe ingresar en la carpeta donde esta el archivo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manage.py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(env) C:\Users\AdminSena\Downloads\clasemartes\Django\inventario_django\dcrm&gt;python manage.py runserver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paren el cervidot con  ctrl + 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escriban el comando en la ruta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(env) C:\Users\AdminSena\Downloads\clasemartes\Django\inventario_django\dcrm&gt;python manage.py startn manage.py startapp website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46386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vamos bien revisando mis apuntes seria correctamtne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4829175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escriba comando que esta en negro 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(env) C:\Users\AdminSena\Downloads\clasemartes\Django\inventario_django\dcrm&gt;</w:t>
      </w:r>
      <w:r w:rsidDel="00000000" w:rsidR="00000000" w:rsidRPr="00000000">
        <w:rPr>
          <w:b w:val="1"/>
          <w:bCs w:val="1"/>
          <w:rtl w:val="0"/>
        </w:rPr>
        <w:t xml:space="preserve">python manage.py startapp website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86600" cy="345757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77050" cy="277177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creame el archivo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mysql.py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85975" cy="2590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63475" cy="42576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3475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 la base de datos 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611100" cy="63150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0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migre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(env) C:\Users\AdminSena\Downloads\clasemartes\Django\inventario_django\dcrm&gt;python manage.py migrate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705725" cy="47053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572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estar esto en phpmyadmin en mi caso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25" cy="54959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25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https://meet.google.com/usd-ggnk-tqu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creacion super usuario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Django\inventario_django\dcrm&gt;python manage.py createsuperuser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recomendacion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136207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clave:12345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entro al servidor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10001250" cy="67532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0" cy="675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comando es: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verificación usuario  en la base de datos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12954000" cy="54006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Paginas o menu SPA, MPA</w:t>
      </w:r>
    </w:p>
    <w:p w:rsidR="00000000" w:rsidDel="00000000" w:rsidP="00000000" w:rsidRDefault="00000000" w:rsidRPr="00000000" w14:paraId="0000005A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spa-y-mpa-en-programacion-web-2024052807594994kL.pdf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9753600" cy="5324475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7620000" cy="5829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codigo limpio: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3300"/>
        <w:gridCol w:w="3300"/>
        <w:gridCol w:w="3060"/>
        <w:tblGridChange w:id="0">
          <w:tblGrid>
            <w:gridCol w:w="2970"/>
            <w:gridCol w:w="3300"/>
            <w:gridCol w:w="3300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Principios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Ejemplo (Malo → Bueno)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🔤 Nombres Significativos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Usar nombres que revelen la intención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Nombres pronunciables y buscables</w:t>
            </w:r>
          </w:p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Evitar abreviaturas</w:t>
            </w:r>
          </w:p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Clases: sustantivos</w:t>
            </w:r>
          </w:p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Métodos: verbos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 d;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int diasTranscurridos;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📏 Funciones Pequeñas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Funciones que hacen una sola cosa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Máximo 20-30 líneas</w:t>
            </w:r>
          </w:p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Un nivel de abstracción</w:t>
            </w:r>
          </w:p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Sin efectos secundarios</w:t>
            </w:r>
          </w:p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DRY (Don't Repeat Yourself)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function procesar()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function validarUsuario()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código debe auto-documentarse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Comentarios explicativos solo cuando sea necesario</w:t>
            </w:r>
          </w:p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Evitar comentarios redundantes</w:t>
            </w:r>
          </w:p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Usar para advertencias o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// suma a y b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// calcular interés compuesto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🎯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Formato consistente y legible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Indentación correcta</w:t>
            </w:r>
          </w:p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Espaciado vertical/horizontal</w:t>
            </w:r>
          </w:p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Estructura de archivos ordenada</w:t>
            </w:r>
          </w:p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Líneas no muy largas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Código desordenado → Código formateado con estándares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⚡ Estructuras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Uso claro de condicionales y ciclos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Evitar negaciones complejas</w:t>
            </w:r>
          </w:p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Preferir polimorfismo sobre switch</w:t>
            </w:r>
          </w:p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Simplificar condicionales anidados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if (usuario.activo != false)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if (usuario.estaActivo())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🧩 Objetos y Estructuras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Organización adecuada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Encapsulamiento</w:t>
            </w:r>
          </w:p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Ley de Demeter</w:t>
            </w:r>
          </w:p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Principio de responsabilidad única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Una clase "Dios" → Clases especializadas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🔄 Manejo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Tratamiento elegante de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Usar excepciones en lugar de códigos de error</w:t>
            </w:r>
          </w:p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Mensajes descriptivos</w:t>
            </w:r>
          </w:p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No ignorar excepciones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return -1</w:t>
            </w: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0f1115"/>
                <w:sz w:val="20"/>
                <w:szCs w:val="20"/>
                <w:shd w:fill="ebeef2" w:val="clear"/>
                <w:rtl w:val="0"/>
              </w:rPr>
              <w:t xml:space="preserve">throw new UsuarioNoEncontradoException()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🧪 Pruebas</w:t>
            </w:r>
          </w:p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testeable y 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Pruebas unitarias</w:t>
            </w:r>
          </w:p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TDD (opcional)</w:t>
            </w:r>
          </w:p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Una aserción por prueba</w:t>
            </w:r>
          </w:p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Pruebas limpias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Sin pruebas → Tests con AAA (Arrange-Act-Assert)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🎭 Principios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Principios de diseño orientado a 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S: Responsabilidad Única</w:t>
            </w:r>
          </w:p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O: Abierto/Cerrado</w:t>
            </w:r>
          </w:p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L: Sustitución de Liskov</w:t>
            </w:r>
          </w:p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I: Segregación de Interfaces</w:t>
            </w:r>
          </w:p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• D: Inversión de 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0f1115"/>
                <w:sz w:val="23"/>
                <w:szCs w:val="23"/>
                <w:rtl w:val="0"/>
              </w:rPr>
              <w:t xml:space="preserve">Clase multifuncional → Clases con propósito único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creame un documento muy detallado sonbre las arquitectura de desarrollo de software mas usadas en las empresas  sector namcaria, software, salud, educaiocn , comercio eletronico, streamer, dime empresas tambien y estrucutra de encarpetados  definicion y por que usa.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https://www.youtube.com/shorts/-OE2IoYIXmQ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El Futuro de las Pruebas Técnicas para Programadores: ¿Adiós al Live Coding? ¿Cómo serán? ¿Con 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https://refactoring.guru/es/design-patterns/behavioral-patterns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Aquí tienes los puntos más importantes sobre el futuro de las pruebas técnicas en programación, según el video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0:00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):*   El fin del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Live Coding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clásico y algoritmos puros: Las pruebas complejas de algoritmos perderán relevancia porque la Inteligencia Artificial (IA) ya puede resolverlas fácilmente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0:25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10:53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Cambio hacia preguntas conceptuales: Las entrevistas se centrarán más en evaluar conocimientos fundamentales sobre lenguajes, frameworks y cómo estructurar proyectos, lo cual es necesario para guiar a la IA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3:45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4:10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Evaluación del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Vibe Coding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: Se valorará la capacidad del programador para utilizar herramientas de IA (como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f0f0f"/>
          <w:sz w:val="21"/>
          <w:szCs w:val="21"/>
          <w:rtl w:val="0"/>
        </w:rPr>
        <w:t xml:space="preserve">Claude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 para generar código rápidamente, enfocándose más en la arquitectura y la guía del agente que en escribir la sintaxis manualmente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0:45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8:43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Pruebas sin internet: Las empresas evaluarán si el programador tiene conocimientos base sólidos para trabajar sin depender de la IA o en casos de datos sensibles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7:01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7:24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Tareas específicas para humanos: Se harán pruebas técnicas en áreas donde la IA aún flaquea, como maquetaciones complejas de diseños específicos o la arquitectura general de una aplicación (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8:23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65fd4"/>
          <w:sz w:val="21"/>
          <w:szCs w:val="21"/>
          <w:rtl w:val="0"/>
        </w:rPr>
        <w:t xml:space="preserve">8:42</w:t>
      </w: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resumen video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codigo espagueti: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El código espagueti es un término peyorativo para </w:t>
      </w:r>
      <w:r w:rsidDel="00000000" w:rsidR="00000000" w:rsidRPr="00000000">
        <w:rPr>
          <w:color w:val="040c28"/>
          <w:sz w:val="24"/>
          <w:szCs w:val="24"/>
          <w:highlight w:val="white"/>
          <w:rtl w:val="0"/>
        </w:rPr>
        <w:t xml:space="preserve">el código de software con una estructura de control compleja y enmarañada</w:t>
      </w:r>
      <w:r w:rsidDel="00000000" w:rsidR="00000000" w:rsidRPr="00000000">
        <w:rPr>
          <w:color w:val="474747"/>
          <w:sz w:val="24"/>
          <w:szCs w:val="24"/>
          <w:highlight w:val="white"/>
          <w:rtl w:val="0"/>
        </w:rPr>
        <w:t xml:space="preserve"> , similar a un plato de espaguetis. Es difícil de entender, leer o modificar debido a su falta de estructura o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programacion hibrida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16278225" cy="8267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78225" cy="826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 la programacion hibrida debe asegurar la compatibilidad de tecnologias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arquitecturas de desarrollo de software.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https://meet.google.com/utd-rwec-ovs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0f0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7.png"/><Relationship Id="rId21" Type="http://schemas.openxmlformats.org/officeDocument/2006/relationships/image" Target="media/image8.png"/><Relationship Id="rId24" Type="http://schemas.openxmlformats.org/officeDocument/2006/relationships/image" Target="media/image17.png"/><Relationship Id="rId23" Type="http://schemas.openxmlformats.org/officeDocument/2006/relationships/hyperlink" Target="https://meet.google.com/usd-ggnk-tq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6.png"/><Relationship Id="rId28" Type="http://schemas.openxmlformats.org/officeDocument/2006/relationships/image" Target="media/image18.png"/><Relationship Id="rId27" Type="http://schemas.openxmlformats.org/officeDocument/2006/relationships/hyperlink" Target="https://drive.google.com/file/d/1BeZiUqQTUpmiY9HJ_NJWIjiQxlQuFhIb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meet.google.com/gzz-nudh-swu" TargetMode="External"/><Relationship Id="rId29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4.png"/><Relationship Id="rId31" Type="http://schemas.openxmlformats.org/officeDocument/2006/relationships/hyperlink" Target="https://www.youtube.com/watch?v=_E5mehnlyfw" TargetMode="External"/><Relationship Id="rId30" Type="http://schemas.openxmlformats.org/officeDocument/2006/relationships/hyperlink" Target="https://www.youtube.com/shorts/-OE2IoYIXmQ" TargetMode="External"/><Relationship Id="rId11" Type="http://schemas.openxmlformats.org/officeDocument/2006/relationships/image" Target="media/image3.png"/><Relationship Id="rId33" Type="http://schemas.openxmlformats.org/officeDocument/2006/relationships/image" Target="media/image15.png"/><Relationship Id="rId10" Type="http://schemas.openxmlformats.org/officeDocument/2006/relationships/image" Target="media/image12.png"/><Relationship Id="rId32" Type="http://schemas.openxmlformats.org/officeDocument/2006/relationships/hyperlink" Target="https://refactoring.guru/es/design-patterns/behavioral-patterns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://manage.py" TargetMode="External"/><Relationship Id="rId34" Type="http://schemas.openxmlformats.org/officeDocument/2006/relationships/hyperlink" Target="https://meet.google.com/utd-rwec-ovs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hyperlink" Target="http://mysql.py" TargetMode="External"/><Relationship Id="rId16" Type="http://schemas.openxmlformats.org/officeDocument/2006/relationships/image" Target="media/image9.png"/><Relationship Id="rId19" Type="http://schemas.openxmlformats.org/officeDocument/2006/relationships/image" Target="media/image11.png"/><Relationship Id="rId18" Type="http://schemas.openxmlformats.org/officeDocument/2006/relationships/image" Target="media/image2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