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C1DE9A" w14:textId="77777777" w:rsidR="00E86D28" w:rsidRDefault="00CD2567">
      <w:pPr>
        <w:ind w:firstLine="0"/>
        <w:jc w:val="center"/>
      </w:pPr>
      <w:r>
        <w:rPr>
          <w:color w:val="000000"/>
        </w:rPr>
        <w:t>[НАЗВАНИЕ ОБРАЗОВАТЕЛЬНОЙ ОРГАНИЗАЦИИ]</w:t>
      </w:r>
      <w:r>
        <w:rPr>
          <w:color w:val="000000"/>
        </w:rPr>
        <w:br/>
        <w:t>[ИНСТИТУТ / ФАКУЛЬТЕТ]</w:t>
      </w:r>
      <w:r>
        <w:rPr>
          <w:color w:val="000000"/>
        </w:rPr>
        <w:br/>
        <w:t>[КАФЕДРА]</w:t>
      </w:r>
      <w:r>
        <w:rPr>
          <w:color w:val="000000"/>
        </w:rPr>
        <w:br/>
      </w:r>
    </w:p>
    <w:p w14:paraId="4C85B7F9" w14:textId="77777777" w:rsidR="00E86D28" w:rsidRDefault="00E86D28">
      <w:pPr>
        <w:jc w:val="center"/>
      </w:pPr>
    </w:p>
    <w:p w14:paraId="40EFB961" w14:textId="77777777" w:rsidR="00E86D28" w:rsidRDefault="00E86D28">
      <w:pPr>
        <w:jc w:val="center"/>
      </w:pPr>
    </w:p>
    <w:p w14:paraId="47A7839F" w14:textId="77777777" w:rsidR="00E86D28" w:rsidRDefault="00E86D28">
      <w:pPr>
        <w:jc w:val="center"/>
      </w:pPr>
    </w:p>
    <w:p w14:paraId="00714C3F" w14:textId="77777777" w:rsidR="00E86D28" w:rsidRDefault="00E86D28">
      <w:pPr>
        <w:jc w:val="center"/>
      </w:pPr>
    </w:p>
    <w:p w14:paraId="1586CC6E" w14:textId="77777777" w:rsidR="00E86D28" w:rsidRDefault="00E86D28">
      <w:pPr>
        <w:jc w:val="center"/>
      </w:pPr>
    </w:p>
    <w:p w14:paraId="6F5D4CA2" w14:textId="77777777" w:rsidR="00E86D28" w:rsidRDefault="00E86D28">
      <w:pPr>
        <w:jc w:val="center"/>
      </w:pPr>
    </w:p>
    <w:p w14:paraId="6951E2CA" w14:textId="77777777" w:rsidR="00E86D28" w:rsidRDefault="00CD2567">
      <w:pPr>
        <w:ind w:firstLine="0"/>
        <w:jc w:val="center"/>
      </w:pPr>
      <w:r>
        <w:rPr>
          <w:b/>
          <w:color w:val="000000"/>
          <w:sz w:val="32"/>
        </w:rPr>
        <w:t>ВЫПУСКНАЯ КВАЛИФИКАЦИОННАЯ РАБОТА</w:t>
      </w:r>
      <w:r>
        <w:rPr>
          <w:b/>
          <w:color w:val="000000"/>
          <w:sz w:val="32"/>
        </w:rPr>
        <w:br/>
      </w:r>
      <w:r>
        <w:rPr>
          <w:b/>
          <w:color w:val="000000"/>
        </w:rPr>
        <w:t>Оптимизация системы продаж строительной компании ГК «Ресурс» на основе внедрения цифрового агентского портала и системы визуализации KPI</w:t>
      </w:r>
    </w:p>
    <w:p w14:paraId="05765240" w14:textId="77777777" w:rsidR="00E86D28" w:rsidRDefault="00E86D28">
      <w:pPr>
        <w:jc w:val="center"/>
      </w:pPr>
    </w:p>
    <w:p w14:paraId="273E2630" w14:textId="77777777" w:rsidR="00E86D28" w:rsidRDefault="00E86D28">
      <w:pPr>
        <w:jc w:val="center"/>
      </w:pPr>
    </w:p>
    <w:p w14:paraId="164BB71D" w14:textId="77777777" w:rsidR="00E86D28" w:rsidRDefault="00E86D28">
      <w:pPr>
        <w:jc w:val="center"/>
      </w:pPr>
    </w:p>
    <w:p w14:paraId="71BC856F" w14:textId="77777777" w:rsidR="00E86D28" w:rsidRDefault="00E86D28">
      <w:pPr>
        <w:jc w:val="center"/>
      </w:pPr>
    </w:p>
    <w:p w14:paraId="6857F27A" w14:textId="77777777" w:rsidR="00E86D28" w:rsidRDefault="00E86D28">
      <w:pPr>
        <w:jc w:val="center"/>
      </w:pPr>
    </w:p>
    <w:p w14:paraId="10FE159A" w14:textId="77777777" w:rsidR="00E86D28" w:rsidRDefault="00CD2567">
      <w:pPr>
        <w:ind w:firstLine="0"/>
        <w:jc w:val="right"/>
      </w:pPr>
      <w:r>
        <w:rPr>
          <w:color w:val="000000"/>
        </w:rPr>
        <w:t>Автор: [ФИО АВТОРА]</w:t>
      </w:r>
    </w:p>
    <w:p w14:paraId="7E8F8245" w14:textId="77777777" w:rsidR="00E86D28" w:rsidRDefault="00CD2567">
      <w:pPr>
        <w:ind w:firstLine="0"/>
        <w:jc w:val="right"/>
      </w:pPr>
      <w:r>
        <w:rPr>
          <w:color w:val="000000"/>
        </w:rPr>
        <w:t>Группа: [НОМЕР ГРУППЫ]</w:t>
      </w:r>
    </w:p>
    <w:p w14:paraId="62857C49" w14:textId="77777777" w:rsidR="00E86D28" w:rsidRDefault="00CD2567">
      <w:pPr>
        <w:ind w:firstLine="0"/>
        <w:jc w:val="right"/>
      </w:pPr>
      <w:r>
        <w:rPr>
          <w:color w:val="000000"/>
        </w:rPr>
        <w:t>Руководитель: [ФИО РУКОВОДИТЕЛЯ]</w:t>
      </w:r>
    </w:p>
    <w:p w14:paraId="35FDFA06" w14:textId="77777777" w:rsidR="00E86D28" w:rsidRDefault="00E86D28">
      <w:pPr>
        <w:jc w:val="center"/>
      </w:pPr>
    </w:p>
    <w:p w14:paraId="6B6D9B88" w14:textId="77777777" w:rsidR="00E86D28" w:rsidRDefault="00E86D28">
      <w:pPr>
        <w:jc w:val="center"/>
      </w:pPr>
    </w:p>
    <w:p w14:paraId="66F4AB10" w14:textId="77777777" w:rsidR="00E86D28" w:rsidRDefault="00E86D28">
      <w:pPr>
        <w:jc w:val="center"/>
      </w:pPr>
    </w:p>
    <w:p w14:paraId="53536BFD" w14:textId="77777777" w:rsidR="00E86D28" w:rsidRDefault="00E86D28">
      <w:pPr>
        <w:jc w:val="center"/>
      </w:pPr>
    </w:p>
    <w:p w14:paraId="4262A752" w14:textId="77777777" w:rsidR="00E86D28" w:rsidRDefault="00CD2567">
      <w:pPr>
        <w:ind w:firstLine="0"/>
        <w:jc w:val="center"/>
      </w:pPr>
      <w:r>
        <w:rPr>
          <w:color w:val="000000"/>
        </w:rPr>
        <w:t>[ГОРОД] 2026</w:t>
      </w:r>
    </w:p>
    <w:p w14:paraId="5DB9C988" w14:textId="77777777" w:rsidR="00E86D28" w:rsidRDefault="00CD2567">
      <w:r>
        <w:br w:type="page"/>
      </w:r>
    </w:p>
    <w:p w14:paraId="3B7550F4" w14:textId="77777777" w:rsidR="00E86D28" w:rsidRDefault="00CD2567">
      <w:pPr>
        <w:ind w:firstLine="0"/>
        <w:jc w:val="center"/>
      </w:pPr>
      <w:r>
        <w:rPr>
          <w:b/>
          <w:color w:val="000000"/>
          <w:sz w:val="40"/>
        </w:rPr>
        <w:lastRenderedPageBreak/>
        <w:t>СОДЕРЖАНИЕ</w:t>
      </w:r>
    </w:p>
    <w:p w14:paraId="1EAF85B9" w14:textId="77777777" w:rsidR="00E86D28" w:rsidRDefault="00CD2567">
      <w:pPr>
        <w:tabs>
          <w:tab w:val="right" w:leader="dot" w:pos="9071"/>
        </w:tabs>
        <w:spacing w:line="276" w:lineRule="auto"/>
        <w:ind w:firstLine="0"/>
      </w:pPr>
      <w:r>
        <w:t>ВВЕДЕНИЕ</w:t>
      </w:r>
      <w:r>
        <w:tab/>
        <w:t>3</w:t>
      </w:r>
    </w:p>
    <w:p w14:paraId="4EA9BEF5" w14:textId="77777777" w:rsidR="00E86D28" w:rsidRDefault="00CD2567">
      <w:pPr>
        <w:tabs>
          <w:tab w:val="right" w:leader="dot" w:pos="9071"/>
        </w:tabs>
        <w:spacing w:line="276" w:lineRule="auto"/>
        <w:ind w:firstLine="0"/>
      </w:pPr>
      <w:r>
        <w:t>ГЛАВА 1. ПРОЕКТНАЯ ПРОБЛЕМА</w:t>
      </w:r>
      <w:r>
        <w:tab/>
        <w:t>6</w:t>
      </w:r>
    </w:p>
    <w:p w14:paraId="610F920C" w14:textId="77777777" w:rsidR="00E86D28" w:rsidRDefault="00CD2567">
      <w:pPr>
        <w:tabs>
          <w:tab w:val="right" w:leader="dot" w:pos="9071"/>
        </w:tabs>
        <w:spacing w:line="276" w:lineRule="auto"/>
        <w:ind w:left="425" w:firstLine="0"/>
      </w:pPr>
      <w:r>
        <w:t>1.1. Декомпозиция финансово-хозяйственной деятельности и динамики продаж ГК «Ресурс»</w:t>
      </w:r>
      <w:r>
        <w:tab/>
        <w:t>6</w:t>
      </w:r>
    </w:p>
    <w:p w14:paraId="2D62B66B" w14:textId="77777777" w:rsidR="00E86D28" w:rsidRDefault="00CD2567">
      <w:pPr>
        <w:tabs>
          <w:tab w:val="right" w:leader="dot" w:pos="9071"/>
        </w:tabs>
        <w:spacing w:line="276" w:lineRule="auto"/>
        <w:ind w:left="425" w:firstLine="0"/>
      </w:pPr>
      <w:r>
        <w:t>1.2. Влияние ипотечного и регионального контекста на спрос</w:t>
      </w:r>
      <w:r>
        <w:tab/>
        <w:t>7</w:t>
      </w:r>
    </w:p>
    <w:p w14:paraId="3EFCFB77" w14:textId="77777777" w:rsidR="00E86D28" w:rsidRDefault="00CD2567">
      <w:pPr>
        <w:tabs>
          <w:tab w:val="right" w:leader="dot" w:pos="9071"/>
        </w:tabs>
        <w:spacing w:line="276" w:lineRule="auto"/>
        <w:ind w:left="425" w:firstLine="0"/>
      </w:pPr>
      <w:r>
        <w:t>1.3. Маркетинговая эффективность и ограничения прямой лидогенерации</w:t>
      </w:r>
      <w:r>
        <w:tab/>
        <w:t>8</w:t>
      </w:r>
    </w:p>
    <w:p w14:paraId="0A47E0D8" w14:textId="77777777" w:rsidR="00E86D28" w:rsidRDefault="00CD2567">
      <w:pPr>
        <w:tabs>
          <w:tab w:val="right" w:leader="dot" w:pos="9071"/>
        </w:tabs>
        <w:spacing w:line="276" w:lineRule="auto"/>
        <w:ind w:left="425" w:firstLine="0"/>
      </w:pPr>
      <w:r>
        <w:t>1.4. Технологические барьеры CRM-архитектуры</w:t>
      </w:r>
      <w:r>
        <w:tab/>
        <w:t>9</w:t>
      </w:r>
    </w:p>
    <w:p w14:paraId="0289856E" w14:textId="77777777" w:rsidR="00E86D28" w:rsidRDefault="00CD2567">
      <w:pPr>
        <w:tabs>
          <w:tab w:val="right" w:leader="dot" w:pos="9071"/>
        </w:tabs>
        <w:spacing w:line="276" w:lineRule="auto"/>
        <w:ind w:left="425" w:firstLine="0"/>
      </w:pPr>
      <w:r>
        <w:t>1.5. Формулировка проектной проблемы и гипотезы решения</w:t>
      </w:r>
      <w:r>
        <w:tab/>
        <w:t>10</w:t>
      </w:r>
    </w:p>
    <w:p w14:paraId="70D080F5" w14:textId="77777777" w:rsidR="00E86D28" w:rsidRDefault="00CD2567">
      <w:pPr>
        <w:tabs>
          <w:tab w:val="right" w:leader="dot" w:pos="9071"/>
        </w:tabs>
        <w:spacing w:line="276" w:lineRule="auto"/>
        <w:ind w:firstLine="0"/>
      </w:pPr>
      <w:r>
        <w:t>ГЛАВА 2. АНАЛИТИЧЕСКОЕ ОБОСНОВАНИЕ ПРОЕКТА</w:t>
      </w:r>
      <w:r>
        <w:tab/>
        <w:t>12</w:t>
      </w:r>
    </w:p>
    <w:p w14:paraId="09F03976" w14:textId="77777777" w:rsidR="00E86D28" w:rsidRDefault="00CD2567">
      <w:pPr>
        <w:tabs>
          <w:tab w:val="right" w:leader="dot" w:pos="9071"/>
        </w:tabs>
        <w:spacing w:line="276" w:lineRule="auto"/>
        <w:ind w:left="425" w:firstLine="0"/>
      </w:pPr>
      <w:r>
        <w:t>2.1. Макроэкономический и региональный анализ рынка жилищного строительства</w:t>
      </w:r>
      <w:r>
        <w:tab/>
        <w:t>12</w:t>
      </w:r>
    </w:p>
    <w:p w14:paraId="5FD9110C" w14:textId="77777777" w:rsidR="00E86D28" w:rsidRDefault="00CD2567">
      <w:pPr>
        <w:tabs>
          <w:tab w:val="right" w:leader="dot" w:pos="9071"/>
        </w:tabs>
        <w:spacing w:line="276" w:lineRule="auto"/>
        <w:ind w:left="425" w:firstLine="0"/>
      </w:pPr>
      <w:r>
        <w:t>2.2. Расчет рыночного потенциала по модели TAM-SAM-SOM</w:t>
      </w:r>
      <w:r>
        <w:tab/>
        <w:t>13</w:t>
      </w:r>
    </w:p>
    <w:p w14:paraId="256FE782" w14:textId="77777777" w:rsidR="00E86D28" w:rsidRDefault="00CD2567">
      <w:pPr>
        <w:tabs>
          <w:tab w:val="right" w:leader="dot" w:pos="9071"/>
        </w:tabs>
        <w:spacing w:line="276" w:lineRule="auto"/>
        <w:ind w:left="425" w:firstLine="0"/>
      </w:pPr>
      <w:r>
        <w:t>2.3. Когортный анализ продаж объектов ГК «Ресурс»</w:t>
      </w:r>
      <w:r>
        <w:tab/>
        <w:t>14</w:t>
      </w:r>
    </w:p>
    <w:p w14:paraId="51111A27" w14:textId="77777777" w:rsidR="00E86D28" w:rsidRDefault="00CD2567">
      <w:pPr>
        <w:tabs>
          <w:tab w:val="right" w:leader="dot" w:pos="9071"/>
        </w:tabs>
        <w:spacing w:line="276" w:lineRule="auto"/>
        <w:ind w:left="425" w:firstLine="0"/>
      </w:pPr>
      <w:r>
        <w:t>2.4. SWOT- и PESTEL-анализ</w:t>
      </w:r>
      <w:r>
        <w:tab/>
        <w:t>15</w:t>
      </w:r>
    </w:p>
    <w:p w14:paraId="18251F4A" w14:textId="77777777" w:rsidR="00E86D28" w:rsidRDefault="00CD2567">
      <w:pPr>
        <w:tabs>
          <w:tab w:val="right" w:leader="dot" w:pos="9071"/>
        </w:tabs>
        <w:spacing w:line="276" w:lineRule="auto"/>
        <w:ind w:left="425" w:firstLine="0"/>
      </w:pPr>
      <w:r>
        <w:t>2.5. Обоснование стратегии цифровизации агентского канала</w:t>
      </w:r>
      <w:r>
        <w:tab/>
        <w:t>17</w:t>
      </w:r>
    </w:p>
    <w:p w14:paraId="632E1A8B" w14:textId="77777777" w:rsidR="00E86D28" w:rsidRDefault="00CD2567">
      <w:pPr>
        <w:tabs>
          <w:tab w:val="right" w:leader="dot" w:pos="9071"/>
        </w:tabs>
        <w:spacing w:line="276" w:lineRule="auto"/>
        <w:ind w:firstLine="0"/>
      </w:pPr>
      <w:r>
        <w:t>ГЛАВА 3. ПРОЕКТИРОВАНИЕ ЦИФРОВОЙ ЭКОСИСТЕМЫ И ПЛАН ВНЕДРЕНИЯ</w:t>
      </w:r>
      <w:r>
        <w:tab/>
        <w:t>19</w:t>
      </w:r>
    </w:p>
    <w:p w14:paraId="7ABD3D54" w14:textId="77777777" w:rsidR="00E86D28" w:rsidRDefault="00CD2567">
      <w:pPr>
        <w:tabs>
          <w:tab w:val="right" w:leader="dot" w:pos="9071"/>
        </w:tabs>
        <w:spacing w:line="276" w:lineRule="auto"/>
        <w:ind w:left="425" w:firstLine="0"/>
      </w:pPr>
      <w:r>
        <w:t>3.1. Обзор инструментов рынка и выбор решения</w:t>
      </w:r>
      <w:r>
        <w:tab/>
        <w:t>19</w:t>
      </w:r>
    </w:p>
    <w:p w14:paraId="48E6C2DD" w14:textId="77777777" w:rsidR="00E86D28" w:rsidRPr="004774A0" w:rsidRDefault="00CD2567">
      <w:pPr>
        <w:tabs>
          <w:tab w:val="right" w:leader="dot" w:pos="9071"/>
        </w:tabs>
        <w:spacing w:line="276" w:lineRule="auto"/>
        <w:ind w:left="425" w:firstLine="0"/>
        <w:rPr>
          <w:lang w:val="en-US"/>
        </w:rPr>
      </w:pPr>
      <w:r>
        <w:t>3.2. Концепция B2B AI SaaS-портала Resource Partner AI</w:t>
      </w:r>
      <w:r>
        <w:tab/>
        <w:t>21</w:t>
      </w:r>
    </w:p>
    <w:p w14:paraId="57CE8228" w14:textId="77777777" w:rsidR="00E86D28" w:rsidRDefault="00CD2567">
      <w:pPr>
        <w:tabs>
          <w:tab w:val="right" w:leader="dot" w:pos="9071"/>
        </w:tabs>
        <w:spacing w:line="276" w:lineRule="auto"/>
        <w:ind w:left="425" w:firstLine="0"/>
      </w:pPr>
      <w:r>
        <w:t>3.3. Функциональная и техническая архитектура MVP</w:t>
      </w:r>
      <w:r>
        <w:tab/>
        <w:t>23</w:t>
      </w:r>
    </w:p>
    <w:p w14:paraId="28642B9F" w14:textId="77777777" w:rsidR="00E86D28" w:rsidRDefault="00CD2567">
      <w:pPr>
        <w:tabs>
          <w:tab w:val="right" w:leader="dot" w:pos="9071"/>
        </w:tabs>
        <w:spacing w:line="276" w:lineRule="auto"/>
        <w:ind w:left="425" w:firstLine="0"/>
      </w:pPr>
      <w:r>
        <w:t>3.4. Реинжиниринг бизнес-процессов агентских продаж</w:t>
      </w:r>
      <w:r>
        <w:tab/>
        <w:t>24</w:t>
      </w:r>
    </w:p>
    <w:p w14:paraId="25EA4C9A" w14:textId="77777777" w:rsidR="00E86D28" w:rsidRDefault="00CD2567">
      <w:pPr>
        <w:tabs>
          <w:tab w:val="right" w:leader="dot" w:pos="9071"/>
        </w:tabs>
        <w:spacing w:line="276" w:lineRule="auto"/>
        <w:ind w:left="425" w:firstLine="0"/>
      </w:pPr>
      <w:r>
        <w:t>3.5. План внедрения и диаграмма Ганта</w:t>
      </w:r>
      <w:r>
        <w:tab/>
        <w:t>26</w:t>
      </w:r>
    </w:p>
    <w:p w14:paraId="2889819E" w14:textId="77777777" w:rsidR="00E86D28" w:rsidRDefault="00CD2567">
      <w:pPr>
        <w:tabs>
          <w:tab w:val="right" w:leader="dot" w:pos="9071"/>
        </w:tabs>
        <w:spacing w:line="276" w:lineRule="auto"/>
        <w:ind w:left="425" w:firstLine="0"/>
      </w:pPr>
      <w:r>
        <w:t>3.6. Ожидаемые результаты внедрения и экономический эффект</w:t>
      </w:r>
      <w:r>
        <w:tab/>
        <w:t>27</w:t>
      </w:r>
    </w:p>
    <w:p w14:paraId="3E3E63CA" w14:textId="77777777" w:rsidR="00E86D28" w:rsidRDefault="00CD2567">
      <w:pPr>
        <w:tabs>
          <w:tab w:val="right" w:leader="dot" w:pos="9071"/>
        </w:tabs>
        <w:spacing w:line="276" w:lineRule="auto"/>
        <w:ind w:left="425" w:firstLine="0"/>
      </w:pPr>
      <w:r>
        <w:t>3.7. MVP Resource Partner AI для демонстрации на защите</w:t>
      </w:r>
      <w:r>
        <w:tab/>
        <w:t>29</w:t>
      </w:r>
    </w:p>
    <w:p w14:paraId="7A870A9B" w14:textId="77777777" w:rsidR="00E86D28" w:rsidRDefault="00CD2567">
      <w:pPr>
        <w:tabs>
          <w:tab w:val="right" w:leader="dot" w:pos="9071"/>
        </w:tabs>
        <w:spacing w:line="276" w:lineRule="auto"/>
        <w:ind w:firstLine="0"/>
      </w:pPr>
      <w:r>
        <w:t>ЗАКЛЮЧЕНИЕ</w:t>
      </w:r>
      <w:r>
        <w:tab/>
        <w:t>31</w:t>
      </w:r>
    </w:p>
    <w:p w14:paraId="29AECE6D" w14:textId="77777777" w:rsidR="00E86D28" w:rsidRDefault="00CD2567">
      <w:pPr>
        <w:tabs>
          <w:tab w:val="right" w:leader="dot" w:pos="9071"/>
        </w:tabs>
        <w:spacing w:line="276" w:lineRule="auto"/>
        <w:ind w:firstLine="0"/>
      </w:pPr>
      <w:r>
        <w:t>СПИСОК ИСПОЛЬЗОВАННЫХ ИСТОЧНИКОВ</w:t>
      </w:r>
      <w:r>
        <w:tab/>
        <w:t>33</w:t>
      </w:r>
    </w:p>
    <w:p w14:paraId="3231F7A7" w14:textId="77777777" w:rsidR="00E86D28" w:rsidRDefault="00CD2567">
      <w:pPr>
        <w:tabs>
          <w:tab w:val="right" w:leader="dot" w:pos="9071"/>
        </w:tabs>
        <w:spacing w:line="276" w:lineRule="auto"/>
        <w:ind w:firstLine="0"/>
      </w:pPr>
      <w:r>
        <w:t>ПРИЛОЖЕНИЕ А. Описание MVP Resource Partner AI</w:t>
      </w:r>
      <w:r>
        <w:tab/>
        <w:t>35</w:t>
      </w:r>
    </w:p>
    <w:p w14:paraId="41F68328" w14:textId="77777777" w:rsidR="00E86D28" w:rsidRDefault="00CD2567">
      <w:pPr>
        <w:tabs>
          <w:tab w:val="right" w:leader="dot" w:pos="9071"/>
        </w:tabs>
        <w:spacing w:line="276" w:lineRule="auto"/>
        <w:ind w:firstLine="0"/>
      </w:pPr>
      <w:r>
        <w:t>ПРИЛОЖЕНИЕ Б. Карта редакционных правок по выделенным фрагментам</w:t>
      </w:r>
      <w:r>
        <w:tab/>
        <w:t>36</w:t>
      </w:r>
    </w:p>
    <w:p w14:paraId="291265EE" w14:textId="77777777" w:rsidR="00E86D28" w:rsidRDefault="00CD2567">
      <w:r>
        <w:br w:type="page"/>
      </w:r>
    </w:p>
    <w:p w14:paraId="41DD317B" w14:textId="77777777" w:rsidR="00E86D28" w:rsidRDefault="00CD2567">
      <w:pPr>
        <w:pStyle w:val="11"/>
      </w:pPr>
      <w:r>
        <w:lastRenderedPageBreak/>
        <w:t>ВВЕДЕНИЕ</w:t>
      </w:r>
    </w:p>
    <w:p w14:paraId="5DC0033D" w14:textId="77777777" w:rsidR="00E86D28" w:rsidRDefault="00CD2567">
      <w:r>
        <w:rPr>
          <w:color w:val="000000"/>
        </w:rPr>
        <w:t>Актуальность темы исследования определяется изменением условий продажи первичной недвижимости в 2024-2026 гг. Массовая льготная ипотека на новостройки была завершена 1 июля 2024 г., а решение Банка России от 25 октября 2024 г. установило с 28 октября 2024 г. ключевую ставку на уровне 21,00% годовых [3; 4]. В результате для девелоперов регионального уровня усилилось давление сразу по нескольким направлениям: снизилась доступность ипотечного кредита, вырос срок принятия решения покупателем, увеличилась стоимость прямой лидогенерации и возросла роль профессиональных посредников.</w:t>
      </w:r>
    </w:p>
    <w:p w14:paraId="2A4926E9" w14:textId="77777777" w:rsidR="00E86D28" w:rsidRDefault="00CD2567">
      <w:r>
        <w:rPr>
          <w:color w:val="000000"/>
        </w:rPr>
        <w:t>Для ГК «Ресурс» данные изменения проявились особенно заметно. По внутренней управленческой отчетности компании за 2023-2025 гг. продажи в 2025 г. сократились до 606,4 млн руб., тогда как в 2024 г. выручка составляла 981,8 млн руб. Одновременно доля сделок с участием риелторов достигла 77,5%, а по объектам бизнес-класса агентский канал фактически стал ключевым способом доступа к платежеспособному спросу [13; 14]. Следовательно, конкурентоспособность компании зависит не только от характеристик продукта, но и от качества цифрового взаимодействия с партнерской сетью.</w:t>
      </w:r>
    </w:p>
    <w:p w14:paraId="536673C3" w14:textId="77777777" w:rsidR="00E86D28" w:rsidRDefault="00CD2567">
      <w:r>
        <w:rPr>
          <w:color w:val="000000"/>
        </w:rPr>
        <w:t>Дополнительную актуальность теме придает распространение цифровых платформ, API-интеграций и решений искусственного интеллекта в корпоративных продажах. Национальная стратегия развития искусственного интеллекта, актуализированная Указом Президента РФ от 15.02.2024 № 124, закрепляет значимость внедрения ИИ-технологий в отраслях экономики [5]. Для рынка недвижимости это означает переход от разрозненных CRM-процессов к B2B AI SaaS-решениям: партнерским кабинетам, автоматической защите сделки, интеллектуальному подбору лотов, аналитике KPI и персонализированным рекомендациям для агентств.</w:t>
      </w:r>
    </w:p>
    <w:p w14:paraId="1C73E5BF" w14:textId="77777777" w:rsidR="00E86D28" w:rsidRDefault="00CD2567">
      <w:r>
        <w:rPr>
          <w:color w:val="000000"/>
        </w:rPr>
        <w:lastRenderedPageBreak/>
        <w:t>Проблема исследования состоит в несоответствии текущей системы продаж ГК «Ресурс» новой структуре спроса. В компании используются Bitrix24 и Profitbase, однако риелторы остаются вне цифрового контура: бронирование и согласование лотов ведутся через менеджеров и мессенджеры, данные о статусах квартир не всегда доступны в моменте, а контроль эффективности агентств требует ручной консолидации информации. При высокой доле партнерских продаж такая модель приводит к потерям времени, перегрузке отдела продаж и риску ухода агентов к более технологичным конкурентам.</w:t>
      </w:r>
    </w:p>
    <w:p w14:paraId="25418510" w14:textId="77777777" w:rsidR="00E86D28" w:rsidRDefault="00CD2567">
      <w:r>
        <w:rPr>
          <w:color w:val="000000"/>
        </w:rPr>
        <w:t>Цель выпускной квалификационной работы - разработать проект оптимизации системы продаж ГК «Ресурс» на основе внедрения цифрового агентского портала Resource Partner AI и системы визуализации KPI, обеспечивающих рост управляемости партнерского канала и повышение экономической эффективности продаж.</w:t>
      </w:r>
    </w:p>
    <w:p w14:paraId="5D9A84E3" w14:textId="77777777" w:rsidR="00E86D28" w:rsidRDefault="00CD2567">
      <w:r>
        <w:rPr>
          <w:color w:val="000000"/>
        </w:rPr>
        <w:t>Для достижения цели поставлены следующие задачи: проанализировать финансово-хозяйственную динамику ГК «Ресурс» за 2023-2025 гг.; оценить влияние макроэкономических факторов и регионального рынка на продажи компании; рассчитать рыночный потенциал по модели TAM-SAM-SOM; выявить ограничения действующей CRM-архитектуры; провести SWOT- и PESTEL-анализ; сравнить доступные цифровые инструменты для девелопера; обосновать выбор B2B AI SaaS-подхода; разработать функциональную архитектуру портала, план внедрения и ожидаемые показатели результата.</w:t>
      </w:r>
    </w:p>
    <w:p w14:paraId="0BE8DCA6" w14:textId="77777777" w:rsidR="00E86D28" w:rsidRDefault="00CD2567">
      <w:r>
        <w:rPr>
          <w:color w:val="000000"/>
        </w:rPr>
        <w:t>Объект исследования - система продаж строительной компании ГК «Ресурс». Предмет исследования - организационно-экономические и цифровые инструменты управления агентским каналом продаж первичной недвижимости.</w:t>
      </w:r>
    </w:p>
    <w:p w14:paraId="7F657A28" w14:textId="77777777" w:rsidR="00E86D28" w:rsidRDefault="00CD2567">
      <w:r>
        <w:rPr>
          <w:color w:val="000000"/>
        </w:rPr>
        <w:t xml:space="preserve">Методологическую основу работы составляют методы финансово-экономического анализа, сравнительного анализа цифровых решений, стратегического анализа PESTEL и SWOT, моделирования бизнес-процессов, </w:t>
      </w:r>
      <w:r>
        <w:rPr>
          <w:color w:val="000000"/>
        </w:rPr>
        <w:lastRenderedPageBreak/>
        <w:t>расчета рыночного потенциала TAM-SAM-SOM, проектного планирования и оценки ожидаемого экономического эффекта.</w:t>
      </w:r>
    </w:p>
    <w:p w14:paraId="730C5706" w14:textId="77777777" w:rsidR="00E86D28" w:rsidRDefault="00CD2567">
      <w:r>
        <w:rPr>
          <w:color w:val="000000"/>
        </w:rPr>
        <w:t>Информационную базу исследования образуют внутренние управленческие отчеты ГК «Ресурс», выгрузки Bitrix24 и Profitbase за 2023-2025 гг., официальные материалы Банка России, ДОМ.РФ, нормативные документы по развитию искусственного интеллекта, а также документация и коммерческие материалы Bitrix24, amoCRM, Profitbase и Django [3-12].</w:t>
      </w:r>
    </w:p>
    <w:p w14:paraId="3B73832E" w14:textId="77777777" w:rsidR="00E86D28" w:rsidRDefault="00CD2567">
      <w:r>
        <w:rPr>
          <w:color w:val="000000"/>
        </w:rPr>
        <w:t>Практическая значимость работы заключается в том, что предложенное решение может быть реализовано в формате MVP и использовано на защите как демонстрация проектной части. MVP Resource Partner AI разработан как Python/Django-приложение, включающее роли агента, менеджера и руководителя отдела продаж, каталог объектов, регистрацию лидов, защиту сделки и KPI-дашборд.</w:t>
      </w:r>
    </w:p>
    <w:p w14:paraId="597C5B3E" w14:textId="77777777" w:rsidR="004774A0" w:rsidRPr="004774A0" w:rsidRDefault="00CD2567" w:rsidP="004774A0">
      <w:pPr>
        <w:pStyle w:val="11"/>
      </w:pPr>
      <w:r>
        <w:lastRenderedPageBreak/>
        <w:t>ГЛАВА 1. ПРОЕКТНАЯ ПРОБЛЕМА</w:t>
      </w:r>
    </w:p>
    <w:p w14:paraId="12C54A12" w14:textId="77777777" w:rsidR="00E86D28" w:rsidRDefault="00CD2567">
      <w:pPr>
        <w:pStyle w:val="21"/>
      </w:pPr>
      <w:r>
        <w:t>1.1. Декомпозиция финансово-хозяйственной деятельности и динамики продаж ГК «Ресурс»</w:t>
      </w:r>
    </w:p>
    <w:p w14:paraId="35B74146" w14:textId="77777777" w:rsidR="00E86D28" w:rsidRDefault="00CD2567">
      <w:r>
        <w:rPr>
          <w:color w:val="000000"/>
        </w:rPr>
        <w:t>ГК «Ресурс» является региональным девелопером, реализующим жилые проекты в г. Ижевске и Удмуртской Республике. Особенность компании состоит в сочетании объектов массового сегмента и более маржинального продукта бизнес-класса. Такая структура портфеля позволяет работать с разными группами покупателей, но одновременно повышает чувствительность к макроэкономическим изменениям: массовый сегмент сильнее зависит от ипотечной доступности, а бизнес-класс - от качества консультационной продажи и доверия к застройщику.</w:t>
      </w:r>
    </w:p>
    <w:p w14:paraId="524FDEC3" w14:textId="77777777" w:rsidR="00E86D28" w:rsidRDefault="00CD2567">
      <w:r>
        <w:rPr>
          <w:color w:val="000000"/>
        </w:rPr>
        <w:t>Ретроспективная динамика 2023-2025 гг. показывает, что 2024 г. стал пиковым периодом по выручке. По внутренним данным компании, общий объем реализации достиг 981,8 млн руб. Рост был связан с сохранением инерции льготной ипотеки, высокой активностью покупателей перед изменением условий кредитования и ускоренным выводом ряда объектов в продажу. Однако уже в 2025 г. компания столкнулась со снижением объема продаж до 606,4 млн руб., что соответствует падению на 38,23% год к году [13].</w:t>
      </w:r>
    </w:p>
    <w:p w14:paraId="5D21D1DA" w14:textId="77777777" w:rsidR="00E86D28" w:rsidRDefault="00CD2567">
      <w:r>
        <w:rPr>
          <w:color w:val="000000"/>
        </w:rPr>
        <w:t>Данный спад не является следствием одного фактора. Он сформировался на пересечении трех процессов: снижения ипотечной доступности, исчерпания наиболее ликвидного ассортимента в массовых проектах и роста зависимости от агентского канала. В результате традиционная модель, ориентированная на прямой поток лидов из digital-рекламы, перестала обеспечивать достаточный объем качественных обращений.</w:t>
      </w:r>
    </w:p>
    <w:p w14:paraId="757C916D" w14:textId="77777777" w:rsidR="00E86D28" w:rsidRDefault="00CD2567">
      <w:pPr>
        <w:ind w:firstLine="0"/>
        <w:jc w:val="center"/>
      </w:pPr>
      <w:r>
        <w:rPr>
          <w:b/>
          <w:color w:val="000000"/>
        </w:rPr>
        <w:t>Таблица 1.1 - Ключевые изменения коммерческих показателей ГК «Ресурс»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193"/>
        <w:gridCol w:w="1816"/>
        <w:gridCol w:w="1734"/>
        <w:gridCol w:w="1734"/>
        <w:gridCol w:w="1868"/>
      </w:tblGrid>
      <w:tr w:rsidR="00E86D28" w14:paraId="25E5D337" w14:textId="77777777">
        <w:trPr>
          <w:jc w:val="center"/>
        </w:trPr>
        <w:tc>
          <w:tcPr>
            <w:tcW w:w="1871" w:type="dxa"/>
            <w:vAlign w:val="center"/>
          </w:tcPr>
          <w:p w14:paraId="46E3FEC1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Показатель</w:t>
            </w:r>
          </w:p>
        </w:tc>
        <w:tc>
          <w:tcPr>
            <w:tcW w:w="1871" w:type="dxa"/>
            <w:vAlign w:val="center"/>
          </w:tcPr>
          <w:p w14:paraId="33B10B34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2023 г.</w:t>
            </w:r>
          </w:p>
        </w:tc>
        <w:tc>
          <w:tcPr>
            <w:tcW w:w="1871" w:type="dxa"/>
            <w:vAlign w:val="center"/>
          </w:tcPr>
          <w:p w14:paraId="2A07A29B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2024 г.</w:t>
            </w:r>
          </w:p>
        </w:tc>
        <w:tc>
          <w:tcPr>
            <w:tcW w:w="1871" w:type="dxa"/>
            <w:vAlign w:val="center"/>
          </w:tcPr>
          <w:p w14:paraId="01F5F08D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2025 г.</w:t>
            </w:r>
          </w:p>
        </w:tc>
        <w:tc>
          <w:tcPr>
            <w:tcW w:w="1871" w:type="dxa"/>
            <w:vAlign w:val="center"/>
          </w:tcPr>
          <w:p w14:paraId="5319F556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Вывод</w:t>
            </w:r>
          </w:p>
        </w:tc>
      </w:tr>
      <w:tr w:rsidR="00E86D28" w14:paraId="62F99A6D" w14:textId="77777777">
        <w:trPr>
          <w:jc w:val="center"/>
        </w:trPr>
        <w:tc>
          <w:tcPr>
            <w:tcW w:w="1871" w:type="dxa"/>
          </w:tcPr>
          <w:p w14:paraId="7CE4AFD5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lastRenderedPageBreak/>
              <w:t>Выручка от продаж, млн руб.</w:t>
            </w:r>
          </w:p>
        </w:tc>
        <w:tc>
          <w:tcPr>
            <w:tcW w:w="1871" w:type="dxa"/>
          </w:tcPr>
          <w:p w14:paraId="6C3A69D3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Около 883,0</w:t>
            </w:r>
          </w:p>
        </w:tc>
        <w:tc>
          <w:tcPr>
            <w:tcW w:w="1871" w:type="dxa"/>
          </w:tcPr>
          <w:p w14:paraId="17FAAFC7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981,8</w:t>
            </w:r>
          </w:p>
        </w:tc>
        <w:tc>
          <w:tcPr>
            <w:tcW w:w="1871" w:type="dxa"/>
          </w:tcPr>
          <w:p w14:paraId="07361CF8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606,4</w:t>
            </w:r>
          </w:p>
        </w:tc>
        <w:tc>
          <w:tcPr>
            <w:tcW w:w="1871" w:type="dxa"/>
          </w:tcPr>
          <w:p w14:paraId="420207FF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После пика 2024 г. фиксируется структурное снижение продаж.</w:t>
            </w:r>
          </w:p>
        </w:tc>
      </w:tr>
      <w:tr w:rsidR="00E86D28" w14:paraId="67C8B4DE" w14:textId="77777777">
        <w:trPr>
          <w:jc w:val="center"/>
        </w:trPr>
        <w:tc>
          <w:tcPr>
            <w:tcW w:w="1871" w:type="dxa"/>
          </w:tcPr>
          <w:p w14:paraId="1CA62ACE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Доля ипотечных сделок</w:t>
            </w:r>
          </w:p>
        </w:tc>
        <w:tc>
          <w:tcPr>
            <w:tcW w:w="1871" w:type="dxa"/>
          </w:tcPr>
          <w:p w14:paraId="2DC4E732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Высокая</w:t>
            </w:r>
          </w:p>
        </w:tc>
        <w:tc>
          <w:tcPr>
            <w:tcW w:w="1871" w:type="dxa"/>
          </w:tcPr>
          <w:p w14:paraId="75E63224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91,9%</w:t>
            </w:r>
          </w:p>
        </w:tc>
        <w:tc>
          <w:tcPr>
            <w:tcW w:w="1871" w:type="dxa"/>
          </w:tcPr>
          <w:p w14:paraId="1B1E8C23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Снижается</w:t>
            </w:r>
          </w:p>
        </w:tc>
        <w:tc>
          <w:tcPr>
            <w:tcW w:w="1871" w:type="dxa"/>
          </w:tcPr>
          <w:p w14:paraId="7DF2D455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Компания вынуждена развивать рассрочки и альтернативные сценарии сделки.</w:t>
            </w:r>
          </w:p>
        </w:tc>
      </w:tr>
      <w:tr w:rsidR="00E86D28" w14:paraId="19019A1F" w14:textId="77777777">
        <w:trPr>
          <w:jc w:val="center"/>
        </w:trPr>
        <w:tc>
          <w:tcPr>
            <w:tcW w:w="1871" w:type="dxa"/>
          </w:tcPr>
          <w:p w14:paraId="19CF8962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Доля агентских сделок</w:t>
            </w:r>
          </w:p>
        </w:tc>
        <w:tc>
          <w:tcPr>
            <w:tcW w:w="1871" w:type="dxa"/>
          </w:tcPr>
          <w:p w14:paraId="49D63B2F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Умеренная</w:t>
            </w:r>
          </w:p>
        </w:tc>
        <w:tc>
          <w:tcPr>
            <w:tcW w:w="1871" w:type="dxa"/>
          </w:tcPr>
          <w:p w14:paraId="3AA957F6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Растущая</w:t>
            </w:r>
          </w:p>
        </w:tc>
        <w:tc>
          <w:tcPr>
            <w:tcW w:w="1871" w:type="dxa"/>
          </w:tcPr>
          <w:p w14:paraId="0DA042B3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77,5%</w:t>
            </w:r>
          </w:p>
        </w:tc>
        <w:tc>
          <w:tcPr>
            <w:tcW w:w="1871" w:type="dxa"/>
          </w:tcPr>
          <w:p w14:paraId="582B87B2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Партнерский канал становится базовым каналом сбыта.</w:t>
            </w:r>
          </w:p>
        </w:tc>
      </w:tr>
      <w:tr w:rsidR="00E86D28" w14:paraId="118A6B1C" w14:textId="77777777">
        <w:trPr>
          <w:jc w:val="center"/>
        </w:trPr>
        <w:tc>
          <w:tcPr>
            <w:tcW w:w="1871" w:type="dxa"/>
          </w:tcPr>
          <w:p w14:paraId="6D8264A9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Конверсия лидов в сделки</w:t>
            </w:r>
          </w:p>
        </w:tc>
        <w:tc>
          <w:tcPr>
            <w:tcW w:w="1871" w:type="dxa"/>
          </w:tcPr>
          <w:p w14:paraId="3E5C9996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Нет сопоставимых данных</w:t>
            </w:r>
          </w:p>
        </w:tc>
        <w:tc>
          <w:tcPr>
            <w:tcW w:w="1871" w:type="dxa"/>
          </w:tcPr>
          <w:p w14:paraId="017CE271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Ниже целевой</w:t>
            </w:r>
          </w:p>
        </w:tc>
        <w:tc>
          <w:tcPr>
            <w:tcW w:w="1871" w:type="dxa"/>
          </w:tcPr>
          <w:p w14:paraId="2F07BF73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2,11%</w:t>
            </w:r>
          </w:p>
        </w:tc>
        <w:tc>
          <w:tcPr>
            <w:tcW w:w="1871" w:type="dxa"/>
          </w:tcPr>
          <w:p w14:paraId="574873AC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Прямой лидогенерации недостаточно без цифровой фильтрации и приоритизации.</w:t>
            </w:r>
          </w:p>
        </w:tc>
      </w:tr>
    </w:tbl>
    <w:p w14:paraId="063BD642" w14:textId="77777777" w:rsidR="00E86D28" w:rsidRDefault="00E86D28"/>
    <w:p w14:paraId="40976796" w14:textId="77777777" w:rsidR="00E86D28" w:rsidRDefault="00CD2567">
      <w:pPr>
        <w:pStyle w:val="21"/>
      </w:pPr>
      <w:r>
        <w:t>1.2. Влияние ипотечного и регионального контекста на спрос</w:t>
      </w:r>
    </w:p>
    <w:p w14:paraId="0B6DB585" w14:textId="77777777" w:rsidR="00E86D28" w:rsidRDefault="00CD2567">
      <w:r>
        <w:rPr>
          <w:color w:val="000000"/>
        </w:rPr>
        <w:t>Завершение массовой программы льготной ипотеки под 8% изменило структуру спроса на первичное жилье. Согласно информации ДОМ.РФ, заключить кредитный договор по данной программе было возможно до 1 июля 2024 г. включительно [4]. После завершения программы покупатель стал чаще сопоставлять стоимость владения жильем, размер первоначального взноса и альтернативные способы размещения капитала.</w:t>
      </w:r>
    </w:p>
    <w:p w14:paraId="0AD9627F" w14:textId="77777777" w:rsidR="00E86D28" w:rsidRDefault="00CD2567">
      <w:r>
        <w:rPr>
          <w:color w:val="000000"/>
        </w:rPr>
        <w:lastRenderedPageBreak/>
        <w:t>Высокая ключевая ставка Банка России усилила этот эффект. С 28 октября 2024 г. ключевая ставка была установлена на уровне 21,00% годовых [3]. Для девелопера это означает не только падение доступности ипотечных платежей для конечного покупателя, но и более жесткие требования к скорости реализации лотов, управлению складом и точности маркетинговых затрат.</w:t>
      </w:r>
    </w:p>
    <w:p w14:paraId="50A457EF" w14:textId="77777777" w:rsidR="00E86D28" w:rsidRDefault="00CD2567">
      <w:r>
        <w:rPr>
          <w:color w:val="000000"/>
        </w:rPr>
        <w:t>В региональном разрезе рынок Ижевска сохраняет потенциал, поскольку город продолжает формировать устойчивый спрос на новое жилье. Однако этот спрос становится более избирательным: покупатели дольше сравнивают альтернативы, чаще обращаются к агентствам недвижимости и ожидают от застройщика прозрачности по статусам квартир, условиям рассрочки, скидкам, срокам бронирования и юридическому сопровождению сделки.</w:t>
      </w:r>
    </w:p>
    <w:p w14:paraId="4BCE55B3" w14:textId="77777777" w:rsidR="00E86D28" w:rsidRDefault="00CD2567">
      <w:r>
        <w:rPr>
          <w:color w:val="000000"/>
        </w:rPr>
        <w:t>Для ГК «Ресурс» ключевым следствием является изменение роли риелтора. Если в условиях массовой ипотеки агент мог рассматриваться как дополнительный канал привлечения клиента, то в 2025-2026 гг. он становится полноценным B2B-клиентом компании. Агент влияет на выбор проекта, объясняет клиенту финансовую модель сделки и снижает неопределенность при покупке.</w:t>
      </w:r>
    </w:p>
    <w:p w14:paraId="45BA80C1" w14:textId="77777777" w:rsidR="00E86D28" w:rsidRDefault="00CD2567">
      <w:pPr>
        <w:pStyle w:val="21"/>
      </w:pPr>
      <w:r>
        <w:t>1.3. Маркетинговая эффективность и ограничения прямой лидогенерации</w:t>
      </w:r>
    </w:p>
    <w:p w14:paraId="1EEA45F4" w14:textId="77777777" w:rsidR="00E86D28" w:rsidRDefault="00CD2567">
      <w:r>
        <w:rPr>
          <w:color w:val="000000"/>
        </w:rPr>
        <w:t>Анализ маркетинговой воронки ГК «Ресурс» показывает снижение результативности прямой digital-рекламы. По данным Bitrix24 за 2025 г., в CRM поступило 5858 лидов, из которых 546 перешли в стадию сделки, а 124 завершились успешной продажей. Совокупная конверсия в продажу составила 2,11% [14].</w:t>
      </w:r>
    </w:p>
    <w:p w14:paraId="1C8A7351" w14:textId="77777777" w:rsidR="00E86D28" w:rsidRDefault="00CD2567">
      <w:r>
        <w:rPr>
          <w:color w:val="000000"/>
        </w:rPr>
        <w:t xml:space="preserve">Особенно значимым является показатель стоимости привлечения покупателя по объекту ЖК «Lighthouse». В 2024 г. CAC для данного проекта достигал 383,6 тыс. руб. При такой стоимости прямой лид становится сопоставимым с агентским вознаграждением, однако в отличие от комиссии </w:t>
      </w:r>
      <w:r>
        <w:rPr>
          <w:color w:val="000000"/>
        </w:rPr>
        <w:lastRenderedPageBreak/>
        <w:t>риелтора рекламный бюджет оплачивается авансом и не гарантирует заключения сделки.</w:t>
      </w:r>
    </w:p>
    <w:p w14:paraId="06769D75" w14:textId="77777777" w:rsidR="00E86D28" w:rsidRDefault="00CD2567">
      <w:r>
        <w:rPr>
          <w:color w:val="000000"/>
        </w:rPr>
        <w:t>Экономическая логика указывает на необходимость перераспределения части бюджета из каналов с высоким авансовым риском в каналы с оплатой за результат. Агентская комиссия, несмотря на значительный размер, является success fee: она возникает только при факте продажи и потому лучше соответствует ограниченному бюджету регионального девелопера.</w:t>
      </w:r>
    </w:p>
    <w:p w14:paraId="0F83395E" w14:textId="77777777" w:rsidR="00E86D28" w:rsidRDefault="00CD2567">
      <w:pPr>
        <w:pStyle w:val="21"/>
      </w:pPr>
      <w:r>
        <w:t>1.4. Технологические барьеры CRM-архитектуры</w:t>
      </w:r>
    </w:p>
    <w:p w14:paraId="383C96E7" w14:textId="77777777" w:rsidR="00E86D28" w:rsidRDefault="00CD2567">
      <w:r>
        <w:rPr>
          <w:color w:val="000000"/>
        </w:rPr>
        <w:t>Действующая ИТ-инфраструктура ГК «Ресурс» включает Bitrix24 и Profitbase. Bitrix24 закрывает задачи CRM, коммуникаций, воронок и управленческого контроля; Profitbase используется для отраслевых задач девелопера, включая работу с ассортиментом, статусами объектов и бронированием [6; 9]. Наличие этих систем является сильной стороной компании, поскольку снижает стоимость проектного решения: не требуется внедрять новую ERP-систему с нуля.</w:t>
      </w:r>
    </w:p>
    <w:p w14:paraId="0775E7E6" w14:textId="77777777" w:rsidR="00E86D28" w:rsidRDefault="00CD2567">
      <w:r>
        <w:rPr>
          <w:color w:val="000000"/>
        </w:rPr>
        <w:t>При этом существующая архитектура остается внутренней. Внешний партнер не имеет единого кабинета для самостоятельной регистрации клиента, проверки доступности лота, фиксации защиты сделки и контроля статуса брони. Основная коммуникация переносится в мессенджеры, где отсутствует единая версия данных, контроль SLA и аналитика качества работы агентств.</w:t>
      </w:r>
    </w:p>
    <w:p w14:paraId="514E1D13" w14:textId="77777777" w:rsidR="00E86D28" w:rsidRDefault="00CD2567">
      <w:r>
        <w:rPr>
          <w:color w:val="000000"/>
        </w:rPr>
        <w:t>Технологический барьер проявляется в трех разрывах: информационном, процессном и управленческом. Информационный разрыв связан с отсутствием у агента актуальной витрины лотов. Процессный разрыв выражается в ручном согласовании брони менеджером. Управленческий разрыв связан с тем, что руководитель отдела продаж получает картину партнерской активности постфактум, а не в режиме оперативного контроля.</w:t>
      </w:r>
    </w:p>
    <w:p w14:paraId="3CBE366C" w14:textId="77777777" w:rsidR="00E86D28" w:rsidRDefault="00CD2567">
      <w:pPr>
        <w:pStyle w:val="21"/>
      </w:pPr>
      <w:r>
        <w:lastRenderedPageBreak/>
        <w:t>1.5. Формулировка проектной проблемы и гипотезы решения</w:t>
      </w:r>
    </w:p>
    <w:p w14:paraId="683AA2E0" w14:textId="77777777" w:rsidR="00E86D28" w:rsidRDefault="00CD2567">
      <w:r>
        <w:rPr>
          <w:color w:val="000000"/>
        </w:rPr>
        <w:t>Проектная проблема заключается в том, что ГК «Ресурс» обладает высокой зависимостью от агентского канала продаж, но не имеет цифровой B2B-инфраструктуры для управления этим каналом. Такая ситуация ограничивает скорость сделки, снижает лояльность партнеров и не позволяет системно использовать данные для управления KPI.</w:t>
      </w:r>
    </w:p>
    <w:p w14:paraId="2C875CD1" w14:textId="77777777" w:rsidR="00E86D28" w:rsidRDefault="00CD2567">
      <w:pPr>
        <w:ind w:firstLine="0"/>
        <w:jc w:val="center"/>
      </w:pPr>
      <w:r>
        <w:rPr>
          <w:b/>
          <w:color w:val="000000"/>
        </w:rPr>
        <w:t>Таблица 1.2 - Сущность проектной проблемы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86D28" w14:paraId="79E5F2D5" w14:textId="77777777">
        <w:trPr>
          <w:jc w:val="center"/>
        </w:trPr>
        <w:tc>
          <w:tcPr>
            <w:tcW w:w="3118" w:type="dxa"/>
            <w:vAlign w:val="center"/>
          </w:tcPr>
          <w:p w14:paraId="600097EA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Измерение проблемы</w:t>
            </w:r>
          </w:p>
        </w:tc>
        <w:tc>
          <w:tcPr>
            <w:tcW w:w="3118" w:type="dxa"/>
            <w:vAlign w:val="center"/>
          </w:tcPr>
          <w:p w14:paraId="11D0CB9F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Состояние As-Is</w:t>
            </w:r>
          </w:p>
        </w:tc>
        <w:tc>
          <w:tcPr>
            <w:tcW w:w="3118" w:type="dxa"/>
            <w:vAlign w:val="center"/>
          </w:tcPr>
          <w:p w14:paraId="12203D8D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Целевое состояние To-Be</w:t>
            </w:r>
          </w:p>
        </w:tc>
      </w:tr>
      <w:tr w:rsidR="00E86D28" w14:paraId="3337E039" w14:textId="77777777">
        <w:trPr>
          <w:jc w:val="center"/>
        </w:trPr>
        <w:tc>
          <w:tcPr>
            <w:tcW w:w="3118" w:type="dxa"/>
          </w:tcPr>
          <w:p w14:paraId="05A1C075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Экономическое</w:t>
            </w:r>
          </w:p>
        </w:tc>
        <w:tc>
          <w:tcPr>
            <w:tcW w:w="3118" w:type="dxa"/>
          </w:tcPr>
          <w:p w14:paraId="2960EB59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Высокая стоимость прямого лида и авансовый риск рекламного бюджета.</w:t>
            </w:r>
          </w:p>
        </w:tc>
        <w:tc>
          <w:tcPr>
            <w:tcW w:w="3118" w:type="dxa"/>
          </w:tcPr>
          <w:p w14:paraId="06317A92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Перевод части бюджета в модель оплаты за результат через партнерский канал.</w:t>
            </w:r>
          </w:p>
        </w:tc>
      </w:tr>
      <w:tr w:rsidR="00E86D28" w14:paraId="346FFCF8" w14:textId="77777777">
        <w:trPr>
          <w:jc w:val="center"/>
        </w:trPr>
        <w:tc>
          <w:tcPr>
            <w:tcW w:w="3118" w:type="dxa"/>
          </w:tcPr>
          <w:p w14:paraId="01A1B27E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Процессное</w:t>
            </w:r>
          </w:p>
        </w:tc>
        <w:tc>
          <w:tcPr>
            <w:tcW w:w="3118" w:type="dxa"/>
          </w:tcPr>
          <w:p w14:paraId="33493FB3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Регистрация клиента и бронь выполняются вручную через менеджера.</w:t>
            </w:r>
          </w:p>
        </w:tc>
        <w:tc>
          <w:tcPr>
            <w:tcW w:w="3118" w:type="dxa"/>
          </w:tcPr>
          <w:p w14:paraId="1C1D8B26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Самостоятельная регистрация лида и автоматизированная проверка уникальности сделки.</w:t>
            </w:r>
          </w:p>
        </w:tc>
      </w:tr>
      <w:tr w:rsidR="00E86D28" w14:paraId="698D497F" w14:textId="77777777">
        <w:trPr>
          <w:jc w:val="center"/>
        </w:trPr>
        <w:tc>
          <w:tcPr>
            <w:tcW w:w="3118" w:type="dxa"/>
          </w:tcPr>
          <w:p w14:paraId="47489537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Технологическое</w:t>
            </w:r>
          </w:p>
        </w:tc>
        <w:tc>
          <w:tcPr>
            <w:tcW w:w="3118" w:type="dxa"/>
          </w:tcPr>
          <w:p w14:paraId="46913C61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Bitrix24 и Profitbase используются внутри компании, но не доступны агентам.</w:t>
            </w:r>
          </w:p>
        </w:tc>
        <w:tc>
          <w:tcPr>
            <w:tcW w:w="3118" w:type="dxa"/>
          </w:tcPr>
          <w:p w14:paraId="4CC62BDB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Внешний PRM-портал интегрируется с CRM и отраслевой базой объектов.</w:t>
            </w:r>
          </w:p>
        </w:tc>
      </w:tr>
      <w:tr w:rsidR="00E86D28" w14:paraId="65D5DD69" w14:textId="77777777">
        <w:trPr>
          <w:jc w:val="center"/>
        </w:trPr>
        <w:tc>
          <w:tcPr>
            <w:tcW w:w="3118" w:type="dxa"/>
          </w:tcPr>
          <w:p w14:paraId="6C497E47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Управленческое</w:t>
            </w:r>
          </w:p>
        </w:tc>
        <w:tc>
          <w:tcPr>
            <w:tcW w:w="3118" w:type="dxa"/>
          </w:tcPr>
          <w:p w14:paraId="5A7E4E45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KPI агентств и менеджеров анализируются с задержкой.</w:t>
            </w:r>
          </w:p>
        </w:tc>
        <w:tc>
          <w:tcPr>
            <w:tcW w:w="3118" w:type="dxa"/>
          </w:tcPr>
          <w:p w14:paraId="3A8D9D3C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Dashboard РОПа показывает активность, конверсию, брони и SLA в режиме близком к реальному времени.</w:t>
            </w:r>
          </w:p>
        </w:tc>
      </w:tr>
    </w:tbl>
    <w:p w14:paraId="589C0472" w14:textId="77777777" w:rsidR="00E86D28" w:rsidRDefault="00E86D28"/>
    <w:p w14:paraId="74637A8E" w14:textId="77777777" w:rsidR="00E86D28" w:rsidRDefault="00CD2567">
      <w:r>
        <w:rPr>
          <w:color w:val="000000"/>
        </w:rPr>
        <w:t xml:space="preserve">Гипотеза исследования состоит в том, что внедрение цифрового агентского портала Resource Partner AI в формате B2B AI SaaS-надстройки над Bitrix24 и Profitbase позволит повысить прозрачность партнерских продаж, сократить ручные операции отдела продаж, увеличить конверсию </w:t>
      </w:r>
      <w:r>
        <w:rPr>
          <w:color w:val="000000"/>
        </w:rPr>
        <w:lastRenderedPageBreak/>
        <w:t>качественных лидов и обеспечить достижение целевой выручки 1 млрд руб. в 2026 г.</w:t>
      </w:r>
    </w:p>
    <w:p w14:paraId="27617E11" w14:textId="77777777" w:rsidR="00E86D28" w:rsidRDefault="00CD2567">
      <w:pPr>
        <w:pStyle w:val="11"/>
      </w:pPr>
      <w:r>
        <w:lastRenderedPageBreak/>
        <w:t>ГЛАВА 2. АНАЛИТИЧЕСКОЕ ОБОСНОВАНИЕ ПРОЕКТА</w:t>
      </w:r>
    </w:p>
    <w:p w14:paraId="622E1BFA" w14:textId="77777777" w:rsidR="00E86D28" w:rsidRDefault="00CD2567">
      <w:pPr>
        <w:pStyle w:val="21"/>
      </w:pPr>
      <w:r>
        <w:t>2.1. Макроэкономический и региональный анализ рынка жилищного строительства</w:t>
      </w:r>
    </w:p>
    <w:p w14:paraId="1DF442CE" w14:textId="77777777" w:rsidR="00E86D28" w:rsidRDefault="00CD2567">
      <w:r>
        <w:rPr>
          <w:color w:val="000000"/>
        </w:rPr>
        <w:t>Рынок первичной жилой недвижимости в 2024-2026 гг. развивается в условиях одновременного влияния денежно-кредитной политики, изменения государственных ипотечных программ, роста конкуренции за платежеспособного покупателя и цифровизации каналов продаж. Для регионального девелопера это означает необходимость перехода от экстенсивной модели привлечения лидов к управлению качеством партнерской сети.</w:t>
      </w:r>
    </w:p>
    <w:p w14:paraId="3EB38B6A" w14:textId="77777777" w:rsidR="00E86D28" w:rsidRDefault="00CD2567">
      <w:r>
        <w:rPr>
          <w:color w:val="000000"/>
        </w:rPr>
        <w:t>Завершение широкой льготной ипотеки изменило ожидания покупателей. Если в 2020-2024 гг. значительная часть спроса поддерживалась доступным кредитом, то после 1 июля 2024 г. покупатель стал более зависим от индивидуальных условий: рассрочки, скидки, субсидированные ставки, семейная ипотека, альтернативные сделки и продажа имеющегося жилья [4].</w:t>
      </w:r>
    </w:p>
    <w:p w14:paraId="08F82C4A" w14:textId="77777777" w:rsidR="00E86D28" w:rsidRDefault="00CD2567">
      <w:r>
        <w:rPr>
          <w:color w:val="000000"/>
        </w:rPr>
        <w:t>Высокая ставка Банка России увеличила стоимость рыночной ипотеки и усилила конкуренцию за клиентов, способных совершить сделку без стандартного ипотечного сценария [3]. В таких условиях девелопер должен не только рекламировать объект, но и быстро предоставлять агенту финансовую и продуктовую аргументацию.</w:t>
      </w:r>
    </w:p>
    <w:p w14:paraId="33C7D100" w14:textId="77777777" w:rsidR="00E86D28" w:rsidRDefault="00CD2567">
      <w:pPr>
        <w:ind w:firstLine="0"/>
        <w:jc w:val="center"/>
      </w:pPr>
      <w:r>
        <w:rPr>
          <w:b/>
          <w:color w:val="000000"/>
        </w:rPr>
        <w:t>Таблица 2.1 - Ключевые факторы внешней среды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3114"/>
        <w:gridCol w:w="3115"/>
        <w:gridCol w:w="3116"/>
      </w:tblGrid>
      <w:tr w:rsidR="00E86D28" w14:paraId="0DF3BA5C" w14:textId="77777777">
        <w:trPr>
          <w:jc w:val="center"/>
        </w:trPr>
        <w:tc>
          <w:tcPr>
            <w:tcW w:w="3118" w:type="dxa"/>
            <w:vAlign w:val="center"/>
          </w:tcPr>
          <w:p w14:paraId="13A9B6BC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Фактор</w:t>
            </w:r>
          </w:p>
        </w:tc>
        <w:tc>
          <w:tcPr>
            <w:tcW w:w="3118" w:type="dxa"/>
            <w:vAlign w:val="center"/>
          </w:tcPr>
          <w:p w14:paraId="70D3F394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Проявление</w:t>
            </w:r>
          </w:p>
        </w:tc>
        <w:tc>
          <w:tcPr>
            <w:tcW w:w="3118" w:type="dxa"/>
            <w:vAlign w:val="center"/>
          </w:tcPr>
          <w:p w14:paraId="0E347831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Последствие для ГК «Ресурс»</w:t>
            </w:r>
          </w:p>
        </w:tc>
      </w:tr>
      <w:tr w:rsidR="00E86D28" w14:paraId="38D14A50" w14:textId="77777777">
        <w:trPr>
          <w:jc w:val="center"/>
        </w:trPr>
        <w:tc>
          <w:tcPr>
            <w:tcW w:w="3118" w:type="dxa"/>
          </w:tcPr>
          <w:p w14:paraId="5A4104A2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Денежно-кредитная политика</w:t>
            </w:r>
          </w:p>
        </w:tc>
        <w:tc>
          <w:tcPr>
            <w:tcW w:w="3118" w:type="dxa"/>
          </w:tcPr>
          <w:p w14:paraId="0B5B90F3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Высокая стоимость заемных средств для покупателей.</w:t>
            </w:r>
          </w:p>
        </w:tc>
        <w:tc>
          <w:tcPr>
            <w:tcW w:w="3118" w:type="dxa"/>
          </w:tcPr>
          <w:p w14:paraId="52D46270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Снижение доли стандартной ипотеки и рост значения рассрочки.</w:t>
            </w:r>
          </w:p>
        </w:tc>
      </w:tr>
      <w:tr w:rsidR="00E86D28" w14:paraId="727BD5CE" w14:textId="77777777">
        <w:trPr>
          <w:jc w:val="center"/>
        </w:trPr>
        <w:tc>
          <w:tcPr>
            <w:tcW w:w="3118" w:type="dxa"/>
          </w:tcPr>
          <w:p w14:paraId="501CC0EB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lastRenderedPageBreak/>
              <w:t>Изменение господдержки</w:t>
            </w:r>
          </w:p>
        </w:tc>
        <w:tc>
          <w:tcPr>
            <w:tcW w:w="3118" w:type="dxa"/>
          </w:tcPr>
          <w:p w14:paraId="7A21D9C0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Завершение массовой программы льготной ипотеки.</w:t>
            </w:r>
          </w:p>
        </w:tc>
        <w:tc>
          <w:tcPr>
            <w:tcW w:w="3118" w:type="dxa"/>
          </w:tcPr>
          <w:p w14:paraId="7FAB878B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Переход к адресным программам и более сложной консультационной продаже.</w:t>
            </w:r>
          </w:p>
        </w:tc>
      </w:tr>
      <w:tr w:rsidR="00E86D28" w14:paraId="0CFAA239" w14:textId="77777777">
        <w:trPr>
          <w:jc w:val="center"/>
        </w:trPr>
        <w:tc>
          <w:tcPr>
            <w:tcW w:w="3118" w:type="dxa"/>
          </w:tcPr>
          <w:p w14:paraId="13C638D9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Конкуренция девелоперов</w:t>
            </w:r>
          </w:p>
        </w:tc>
        <w:tc>
          <w:tcPr>
            <w:tcW w:w="3118" w:type="dxa"/>
          </w:tcPr>
          <w:p w14:paraId="367F9DCC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Крупные игроки предлагают широкий ассортимент и цифровые сервисы.</w:t>
            </w:r>
          </w:p>
        </w:tc>
        <w:tc>
          <w:tcPr>
            <w:tcW w:w="3118" w:type="dxa"/>
          </w:tcPr>
          <w:p w14:paraId="58D56117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Необходимость компенсировать ограниченный ассортимент качеством партнерского опыта.</w:t>
            </w:r>
          </w:p>
        </w:tc>
      </w:tr>
      <w:tr w:rsidR="00E86D28" w14:paraId="1B2A6BC4" w14:textId="77777777">
        <w:trPr>
          <w:jc w:val="center"/>
        </w:trPr>
        <w:tc>
          <w:tcPr>
            <w:tcW w:w="3118" w:type="dxa"/>
          </w:tcPr>
          <w:p w14:paraId="062E29A5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Цифровизация отрасли</w:t>
            </w:r>
          </w:p>
        </w:tc>
        <w:tc>
          <w:tcPr>
            <w:tcW w:w="3118" w:type="dxa"/>
          </w:tcPr>
          <w:p w14:paraId="3400569D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Распространение личных кабинетов, API-интеграций и аналитики.</w:t>
            </w:r>
          </w:p>
        </w:tc>
        <w:tc>
          <w:tcPr>
            <w:tcW w:w="3118" w:type="dxa"/>
          </w:tcPr>
          <w:p w14:paraId="0C079D4E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Возможность быстро создать PRM-надстройку без замены базовых систем.</w:t>
            </w:r>
          </w:p>
        </w:tc>
      </w:tr>
      <w:tr w:rsidR="00E86D28" w14:paraId="04F30D59" w14:textId="77777777">
        <w:trPr>
          <w:jc w:val="center"/>
        </w:trPr>
        <w:tc>
          <w:tcPr>
            <w:tcW w:w="3118" w:type="dxa"/>
          </w:tcPr>
          <w:p w14:paraId="4574FB0B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ИИ в продажах</w:t>
            </w:r>
          </w:p>
        </w:tc>
        <w:tc>
          <w:tcPr>
            <w:tcW w:w="3118" w:type="dxa"/>
          </w:tcPr>
          <w:p w14:paraId="33CFC1B8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Рост спроса на ассистентов, скоринг и рекомендации.</w:t>
            </w:r>
          </w:p>
        </w:tc>
        <w:tc>
          <w:tcPr>
            <w:tcW w:w="3118" w:type="dxa"/>
          </w:tcPr>
          <w:p w14:paraId="444778D3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Потенциал B2B AI SaaS-решения для поддержки риелторов и РОПа.</w:t>
            </w:r>
          </w:p>
        </w:tc>
      </w:tr>
    </w:tbl>
    <w:p w14:paraId="7B53C8E0" w14:textId="77777777" w:rsidR="00E86D28" w:rsidRDefault="00E86D28"/>
    <w:p w14:paraId="584E2665" w14:textId="77777777" w:rsidR="00E86D28" w:rsidRDefault="00CD2567">
      <w:pPr>
        <w:pStyle w:val="21"/>
      </w:pPr>
      <w:r>
        <w:t>2.2. Расчет рыночного потенциала по модели TAM-SAM-SOM</w:t>
      </w:r>
    </w:p>
    <w:p w14:paraId="4923D59F" w14:textId="77777777" w:rsidR="00E86D28" w:rsidRDefault="00CD2567">
      <w:r>
        <w:rPr>
          <w:color w:val="000000"/>
        </w:rPr>
        <w:t>Для оценки стратегического потенциала проекта использована модель TAM-SAM-SOM. Она позволяет разделить общий объем рынка, доступный сегмент и реалистично достижимую долю компании. В настоящей работе расчеты представлены в денежном выражении, поскольку ключевой управленческий ориентир ГК «Ресурс» - восстановление выручки и достижение уровня 1 млрд руб.</w:t>
      </w:r>
    </w:p>
    <w:p w14:paraId="7EC701EF" w14:textId="77777777" w:rsidR="00E86D28" w:rsidRDefault="00CD2567">
      <w:r>
        <w:rPr>
          <w:color w:val="000000"/>
        </w:rPr>
        <w:t>TAM рассматривается как совокупный платежеспособный спрос на первичную недвижимость в регионе и смежных сегментах, к которым компания теоретически может получить доступ при масштабировании портфеля. SAM ограничивается рынком первичного жилья г. Ижевска и целевыми сегментами, соответствующими проектам компании. SOM определяется фактической и целевой долей ГК «Ресурс» в доступном рынке.</w:t>
      </w:r>
    </w:p>
    <w:p w14:paraId="33A23179" w14:textId="77777777" w:rsidR="00E86D28" w:rsidRDefault="00CD2567">
      <w:r>
        <w:rPr>
          <w:color w:val="000000"/>
        </w:rPr>
        <w:lastRenderedPageBreak/>
        <w:t>При объеме доступного рынка Ижевска 40,63 млрд руб. и фактической выручке ГК «Ресурс» 606,4 млн руб. текущая доля компании составляет: Share = 606,4 / 40 630 × 100% = 1,49%. Для восстановления выручки до 1 млрд руб. целевая доля должна составить: Share target = 1 000 / 40 630 × 100% = 2,46%. Следовательно, компании необходимо не доминировать на рынке, а вернуть управляемость продаж и увеличить долю примерно на 0,97 процентного пункта.</w:t>
      </w:r>
    </w:p>
    <w:p w14:paraId="7050CE57" w14:textId="77777777" w:rsidR="00E86D28" w:rsidRDefault="00CD2567">
      <w:pPr>
        <w:ind w:firstLine="0"/>
        <w:jc w:val="center"/>
      </w:pPr>
      <w:r>
        <w:rPr>
          <w:b/>
          <w:color w:val="000000"/>
        </w:rPr>
        <w:t>Таблица 2.2 - Расчет рыночного потенциала ГК «Ресурс»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4"/>
        <w:gridCol w:w="3116"/>
      </w:tblGrid>
      <w:tr w:rsidR="00E86D28" w14:paraId="5D10928D" w14:textId="77777777">
        <w:trPr>
          <w:jc w:val="center"/>
        </w:trPr>
        <w:tc>
          <w:tcPr>
            <w:tcW w:w="3118" w:type="dxa"/>
            <w:vAlign w:val="center"/>
          </w:tcPr>
          <w:p w14:paraId="6708C236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Показатель</w:t>
            </w:r>
          </w:p>
        </w:tc>
        <w:tc>
          <w:tcPr>
            <w:tcW w:w="3118" w:type="dxa"/>
            <w:vAlign w:val="center"/>
          </w:tcPr>
          <w:p w14:paraId="560F6CF4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Значение</w:t>
            </w:r>
          </w:p>
        </w:tc>
        <w:tc>
          <w:tcPr>
            <w:tcW w:w="3118" w:type="dxa"/>
            <w:vAlign w:val="center"/>
          </w:tcPr>
          <w:p w14:paraId="28D3B697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Интерпретация</w:t>
            </w:r>
          </w:p>
        </w:tc>
      </w:tr>
      <w:tr w:rsidR="00E86D28" w14:paraId="480B99C3" w14:textId="77777777">
        <w:trPr>
          <w:jc w:val="center"/>
        </w:trPr>
        <w:tc>
          <w:tcPr>
            <w:tcW w:w="3118" w:type="dxa"/>
          </w:tcPr>
          <w:p w14:paraId="5FD300F0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SAM</w:t>
            </w:r>
          </w:p>
        </w:tc>
        <w:tc>
          <w:tcPr>
            <w:tcW w:w="3118" w:type="dxa"/>
          </w:tcPr>
          <w:p w14:paraId="3CD7EF99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40,63 млрд руб.</w:t>
            </w:r>
          </w:p>
        </w:tc>
        <w:tc>
          <w:tcPr>
            <w:tcW w:w="3118" w:type="dxa"/>
          </w:tcPr>
          <w:p w14:paraId="430F9673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Оценочный объем доступного рынка первичного жилья г. Ижевска.</w:t>
            </w:r>
          </w:p>
        </w:tc>
      </w:tr>
      <w:tr w:rsidR="00E86D28" w14:paraId="4C716EBC" w14:textId="77777777">
        <w:trPr>
          <w:jc w:val="center"/>
        </w:trPr>
        <w:tc>
          <w:tcPr>
            <w:tcW w:w="3118" w:type="dxa"/>
          </w:tcPr>
          <w:p w14:paraId="00169B78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SOM As-Is</w:t>
            </w:r>
          </w:p>
        </w:tc>
        <w:tc>
          <w:tcPr>
            <w:tcW w:w="3118" w:type="dxa"/>
          </w:tcPr>
          <w:p w14:paraId="7E5704F6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606,4 млн руб.; 1,49%</w:t>
            </w:r>
          </w:p>
        </w:tc>
        <w:tc>
          <w:tcPr>
            <w:tcW w:w="3118" w:type="dxa"/>
          </w:tcPr>
          <w:p w14:paraId="6B663E50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Фактический уровень 2025 г.</w:t>
            </w:r>
          </w:p>
        </w:tc>
      </w:tr>
      <w:tr w:rsidR="00E86D28" w14:paraId="0A76A251" w14:textId="77777777">
        <w:trPr>
          <w:jc w:val="center"/>
        </w:trPr>
        <w:tc>
          <w:tcPr>
            <w:tcW w:w="3118" w:type="dxa"/>
          </w:tcPr>
          <w:p w14:paraId="36B1FCE3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SOM To-Be</w:t>
            </w:r>
          </w:p>
        </w:tc>
        <w:tc>
          <w:tcPr>
            <w:tcW w:w="3118" w:type="dxa"/>
          </w:tcPr>
          <w:p w14:paraId="653F5B17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1 000 млн руб.; 2,46%</w:t>
            </w:r>
          </w:p>
        </w:tc>
        <w:tc>
          <w:tcPr>
            <w:tcW w:w="3118" w:type="dxa"/>
          </w:tcPr>
          <w:p w14:paraId="4A967E43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Целевой уровень 2026 г.</w:t>
            </w:r>
          </w:p>
        </w:tc>
      </w:tr>
      <w:tr w:rsidR="00E86D28" w14:paraId="5E756A82" w14:textId="77777777">
        <w:trPr>
          <w:jc w:val="center"/>
        </w:trPr>
        <w:tc>
          <w:tcPr>
            <w:tcW w:w="3118" w:type="dxa"/>
          </w:tcPr>
          <w:p w14:paraId="043DA5F7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Необходимый прирост</w:t>
            </w:r>
          </w:p>
        </w:tc>
        <w:tc>
          <w:tcPr>
            <w:tcW w:w="3118" w:type="dxa"/>
          </w:tcPr>
          <w:p w14:paraId="4C14B279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+393,6 млн руб.</w:t>
            </w:r>
          </w:p>
        </w:tc>
        <w:tc>
          <w:tcPr>
            <w:tcW w:w="3118" w:type="dxa"/>
          </w:tcPr>
          <w:p w14:paraId="510F9935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Достижим за счет повышения конверсии и работы агентского канала.</w:t>
            </w:r>
          </w:p>
        </w:tc>
      </w:tr>
    </w:tbl>
    <w:p w14:paraId="5983D86A" w14:textId="77777777" w:rsidR="00E86D28" w:rsidRDefault="00E86D28"/>
    <w:p w14:paraId="32123685" w14:textId="77777777" w:rsidR="00E86D28" w:rsidRDefault="00CD2567">
      <w:pPr>
        <w:pStyle w:val="21"/>
      </w:pPr>
      <w:r>
        <w:t>2.3. Когортный анализ продаж объектов ГК «Ресурс»</w:t>
      </w:r>
    </w:p>
    <w:p w14:paraId="7FC26840" w14:textId="77777777" w:rsidR="00E86D28" w:rsidRDefault="00CD2567">
      <w:r>
        <w:rPr>
          <w:color w:val="000000"/>
        </w:rPr>
        <w:t>Внутренняя статистика продаж показывает различия между объектами массового сегмента и проектом бизнес-класса. Массовые проекты в 2025 г. столкнулись с остатками менее ликвидного ассортимента и более высокой чувствительностью покупателей к ипотечной ставке. Проект ЖК «Lighthouse», напротив, сохранил потенциал роста благодаря видовому расположению, ограниченному предложению и более платежеспособной аудитории.</w:t>
      </w:r>
    </w:p>
    <w:p w14:paraId="60265A95" w14:textId="77777777" w:rsidR="00E86D28" w:rsidRDefault="00CD2567">
      <w:r>
        <w:rPr>
          <w:color w:val="000000"/>
        </w:rPr>
        <w:t xml:space="preserve">Следовательно, дальнейшая стратегия продаж должна быть дифференцированной. Для массовых объектов требуется ускорение реализации остаточного ассортимента через акции, пакетные предложения и риелторские сценарии. Для ЖК «Lighthouse» требуется не демпинг, а усиление </w:t>
      </w:r>
      <w:r>
        <w:rPr>
          <w:color w:val="000000"/>
        </w:rPr>
        <w:lastRenderedPageBreak/>
        <w:t>экспертной продажи: качественные материалы, быстрый подбор лота, обоснование ликвидности и прозрачная защита сделки для агента.</w:t>
      </w:r>
    </w:p>
    <w:p w14:paraId="3A6DDF5F" w14:textId="77777777" w:rsidR="00E86D28" w:rsidRDefault="00CD2567">
      <w:pPr>
        <w:ind w:firstLine="0"/>
        <w:jc w:val="center"/>
      </w:pPr>
      <w:r>
        <w:rPr>
          <w:b/>
          <w:color w:val="000000"/>
        </w:rPr>
        <w:t>Таблица 2.3 - Сравнение объектов по управленческим задачам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108"/>
        <w:gridCol w:w="2148"/>
        <w:gridCol w:w="2323"/>
        <w:gridCol w:w="2766"/>
      </w:tblGrid>
      <w:tr w:rsidR="00E86D28" w14:paraId="14EC566D" w14:textId="77777777">
        <w:trPr>
          <w:jc w:val="center"/>
        </w:trPr>
        <w:tc>
          <w:tcPr>
            <w:tcW w:w="2339" w:type="dxa"/>
            <w:vAlign w:val="center"/>
          </w:tcPr>
          <w:p w14:paraId="241EFFCD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Объект</w:t>
            </w:r>
          </w:p>
        </w:tc>
        <w:tc>
          <w:tcPr>
            <w:tcW w:w="2339" w:type="dxa"/>
            <w:vAlign w:val="center"/>
          </w:tcPr>
          <w:p w14:paraId="54482F77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Сегмент</w:t>
            </w:r>
          </w:p>
        </w:tc>
        <w:tc>
          <w:tcPr>
            <w:tcW w:w="2339" w:type="dxa"/>
            <w:vAlign w:val="center"/>
          </w:tcPr>
          <w:p w14:paraId="7051D9D2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Динамика</w:t>
            </w:r>
          </w:p>
        </w:tc>
        <w:tc>
          <w:tcPr>
            <w:tcW w:w="2339" w:type="dxa"/>
            <w:vAlign w:val="center"/>
          </w:tcPr>
          <w:p w14:paraId="0F1E3538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Управленческий вывод</w:t>
            </w:r>
          </w:p>
        </w:tc>
      </w:tr>
      <w:tr w:rsidR="00E86D28" w14:paraId="71580A69" w14:textId="77777777">
        <w:trPr>
          <w:jc w:val="center"/>
        </w:trPr>
        <w:tc>
          <w:tcPr>
            <w:tcW w:w="2339" w:type="dxa"/>
          </w:tcPr>
          <w:p w14:paraId="49BC4619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ЖК «Новый Сосновый»</w:t>
            </w:r>
          </w:p>
        </w:tc>
        <w:tc>
          <w:tcPr>
            <w:tcW w:w="2339" w:type="dxa"/>
          </w:tcPr>
          <w:p w14:paraId="56DA1741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Масс-маркет / комфорт</w:t>
            </w:r>
          </w:p>
        </w:tc>
        <w:tc>
          <w:tcPr>
            <w:tcW w:w="2339" w:type="dxa"/>
          </w:tcPr>
          <w:p w14:paraId="07BB0138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Снижение продаж из-за изменения ипотечных условий и структуры остатков.</w:t>
            </w:r>
          </w:p>
        </w:tc>
        <w:tc>
          <w:tcPr>
            <w:tcW w:w="2339" w:type="dxa"/>
          </w:tcPr>
          <w:p w14:paraId="2C2A6456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Нужна работа с ликвидностью остатков и точечными предложениями.</w:t>
            </w:r>
          </w:p>
        </w:tc>
      </w:tr>
      <w:tr w:rsidR="00E86D28" w14:paraId="41743EFA" w14:textId="77777777">
        <w:trPr>
          <w:jc w:val="center"/>
        </w:trPr>
        <w:tc>
          <w:tcPr>
            <w:tcW w:w="2339" w:type="dxa"/>
          </w:tcPr>
          <w:p w14:paraId="59944FCF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ЖК «Тетрис»</w:t>
            </w:r>
          </w:p>
        </w:tc>
        <w:tc>
          <w:tcPr>
            <w:tcW w:w="2339" w:type="dxa"/>
          </w:tcPr>
          <w:p w14:paraId="29C6A72B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Масс-маркет / комфорт</w:t>
            </w:r>
          </w:p>
        </w:tc>
        <w:tc>
          <w:tcPr>
            <w:tcW w:w="2339" w:type="dxa"/>
          </w:tcPr>
          <w:p w14:paraId="4507F6D6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Пик продаж пройден; в 2025 г. фиксируется спад.</w:t>
            </w:r>
          </w:p>
        </w:tc>
        <w:tc>
          <w:tcPr>
            <w:tcW w:w="2339" w:type="dxa"/>
          </w:tcPr>
          <w:p w14:paraId="5D953DE4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Приоритет - закрытие остаточного ассортимента через партнерскую сеть.</w:t>
            </w:r>
          </w:p>
        </w:tc>
      </w:tr>
      <w:tr w:rsidR="00E86D28" w14:paraId="10F70F94" w14:textId="77777777">
        <w:trPr>
          <w:jc w:val="center"/>
        </w:trPr>
        <w:tc>
          <w:tcPr>
            <w:tcW w:w="2339" w:type="dxa"/>
          </w:tcPr>
          <w:p w14:paraId="23A0CCEC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ЖК «Lighthouse»</w:t>
            </w:r>
          </w:p>
        </w:tc>
        <w:tc>
          <w:tcPr>
            <w:tcW w:w="2339" w:type="dxa"/>
          </w:tcPr>
          <w:p w14:paraId="6AE233E0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Бизнес-класс</w:t>
            </w:r>
          </w:p>
        </w:tc>
        <w:tc>
          <w:tcPr>
            <w:tcW w:w="2339" w:type="dxa"/>
          </w:tcPr>
          <w:p w14:paraId="02ED16C8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Продемонстрировал рост количества сделок и выручки.</w:t>
            </w:r>
          </w:p>
        </w:tc>
        <w:tc>
          <w:tcPr>
            <w:tcW w:w="2339" w:type="dxa"/>
          </w:tcPr>
          <w:p w14:paraId="5C8FBA9D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Фокусный объект для агентского портала и экспертной B2B-продажи.</w:t>
            </w:r>
          </w:p>
        </w:tc>
      </w:tr>
    </w:tbl>
    <w:p w14:paraId="711D5284" w14:textId="77777777" w:rsidR="00E86D28" w:rsidRDefault="00E86D28"/>
    <w:p w14:paraId="0CF3832C" w14:textId="77777777" w:rsidR="00E86D28" w:rsidRDefault="00CD2567">
      <w:pPr>
        <w:pStyle w:val="21"/>
      </w:pPr>
      <w:r>
        <w:t>2.4. SWOT- и PESTEL-анализ</w:t>
      </w:r>
    </w:p>
    <w:p w14:paraId="74FBF424" w14:textId="77777777" w:rsidR="00E86D28" w:rsidRDefault="00CD2567">
      <w:r>
        <w:rPr>
          <w:color w:val="000000"/>
        </w:rPr>
        <w:t>SWOT-анализ пересобран с учетом методического требования: сильные и слабые стороны отражают внутренние характеристики компании, а возможности и угрозы формируются только внешней средой. Поэтому интеграция Bitrix24 и Profitbase отнесена к сильным сторонам, а цифровизация отрасли и распространение ИИ-решений - к внешним возможностям.</w:t>
      </w:r>
    </w:p>
    <w:p w14:paraId="00D1FC06" w14:textId="77777777" w:rsidR="00E86D28" w:rsidRDefault="00CD2567">
      <w:pPr>
        <w:ind w:firstLine="0"/>
        <w:jc w:val="center"/>
      </w:pPr>
      <w:r>
        <w:rPr>
          <w:b/>
          <w:color w:val="000000"/>
        </w:rPr>
        <w:t>Таблица 2.4 - Внутренняя среда ГК «Ресурс»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4673"/>
        <w:gridCol w:w="4672"/>
      </w:tblGrid>
      <w:tr w:rsidR="00E86D28" w14:paraId="0CA91567" w14:textId="77777777">
        <w:trPr>
          <w:jc w:val="center"/>
        </w:trPr>
        <w:tc>
          <w:tcPr>
            <w:tcW w:w="4677" w:type="dxa"/>
            <w:vAlign w:val="center"/>
          </w:tcPr>
          <w:p w14:paraId="12BE17DF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Сильные стороны (S)</w:t>
            </w:r>
          </w:p>
        </w:tc>
        <w:tc>
          <w:tcPr>
            <w:tcW w:w="4677" w:type="dxa"/>
            <w:vAlign w:val="center"/>
          </w:tcPr>
          <w:p w14:paraId="21A68781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Слабые стороны (W)</w:t>
            </w:r>
          </w:p>
        </w:tc>
      </w:tr>
      <w:tr w:rsidR="00E86D28" w14:paraId="4BFE31EA" w14:textId="77777777">
        <w:trPr>
          <w:jc w:val="center"/>
        </w:trPr>
        <w:tc>
          <w:tcPr>
            <w:tcW w:w="4677" w:type="dxa"/>
          </w:tcPr>
          <w:p w14:paraId="4DA6CEB8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Наличие проекта бизнес-класса ЖК «Lighthouse», сохраняющего спрос даже при ухудшении ипотечной доступности.</w:t>
            </w:r>
          </w:p>
        </w:tc>
        <w:tc>
          <w:tcPr>
            <w:tcW w:w="4677" w:type="dxa"/>
          </w:tcPr>
          <w:p w14:paraId="1355572E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Высокая зависимость от ручной обработки лидов и бронирований менеджерами.</w:t>
            </w:r>
          </w:p>
        </w:tc>
      </w:tr>
      <w:tr w:rsidR="00E86D28" w14:paraId="22A06818" w14:textId="77777777">
        <w:trPr>
          <w:jc w:val="center"/>
        </w:trPr>
        <w:tc>
          <w:tcPr>
            <w:tcW w:w="4677" w:type="dxa"/>
          </w:tcPr>
          <w:p w14:paraId="71CDAC4E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lastRenderedPageBreak/>
              <w:t>Использование Bitrix24 и Profitbase как основы для интеграции будущего портала.</w:t>
            </w:r>
          </w:p>
        </w:tc>
        <w:tc>
          <w:tcPr>
            <w:tcW w:w="4677" w:type="dxa"/>
          </w:tcPr>
          <w:p w14:paraId="7A58256B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Отсутствие внешнего кабинета для риелторов и единой цифровой защиты сделки.</w:t>
            </w:r>
          </w:p>
        </w:tc>
      </w:tr>
      <w:tr w:rsidR="00E86D28" w14:paraId="3B12AF59" w14:textId="77777777">
        <w:trPr>
          <w:jc w:val="center"/>
        </w:trPr>
        <w:tc>
          <w:tcPr>
            <w:tcW w:w="4677" w:type="dxa"/>
          </w:tcPr>
          <w:p w14:paraId="7EC61BAF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Гибкость коммерческих условий: рассрочка, дифференцированная комиссия, готовность работать с агентским каналом.</w:t>
            </w:r>
          </w:p>
        </w:tc>
        <w:tc>
          <w:tcPr>
            <w:tcW w:w="4677" w:type="dxa"/>
          </w:tcPr>
          <w:p w14:paraId="112106E8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Ограниченный штат отдела продаж при большом объеме входящих обращений.</w:t>
            </w:r>
          </w:p>
        </w:tc>
      </w:tr>
      <w:tr w:rsidR="00E86D28" w14:paraId="6C182257" w14:textId="77777777">
        <w:trPr>
          <w:jc w:val="center"/>
        </w:trPr>
        <w:tc>
          <w:tcPr>
            <w:tcW w:w="4677" w:type="dxa"/>
          </w:tcPr>
          <w:p w14:paraId="56DDC498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Накопленная база сделок и лидов, позволяющая строить аналитику KPI.</w:t>
            </w:r>
          </w:p>
        </w:tc>
        <w:tc>
          <w:tcPr>
            <w:tcW w:w="4677" w:type="dxa"/>
          </w:tcPr>
          <w:p w14:paraId="14CBDE34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Недостаточная прозрачность KPI агентств и отсутствие оперативного рейтинга партнеров.</w:t>
            </w:r>
          </w:p>
        </w:tc>
      </w:tr>
    </w:tbl>
    <w:p w14:paraId="74EA5F4F" w14:textId="77777777" w:rsidR="00E86D28" w:rsidRDefault="00E86D28"/>
    <w:p w14:paraId="5E5755B4" w14:textId="77777777" w:rsidR="00E86D28" w:rsidRDefault="00CD2567">
      <w:pPr>
        <w:ind w:firstLine="0"/>
        <w:jc w:val="center"/>
      </w:pPr>
      <w:r>
        <w:rPr>
          <w:b/>
          <w:color w:val="000000"/>
        </w:rPr>
        <w:t>Таблица 2.5 - Внешняя среда ГК «Ресурс»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4673"/>
        <w:gridCol w:w="4672"/>
      </w:tblGrid>
      <w:tr w:rsidR="00E86D28" w14:paraId="0F1853A7" w14:textId="77777777">
        <w:trPr>
          <w:jc w:val="center"/>
        </w:trPr>
        <w:tc>
          <w:tcPr>
            <w:tcW w:w="4677" w:type="dxa"/>
            <w:vAlign w:val="center"/>
          </w:tcPr>
          <w:p w14:paraId="577FCBE8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Возможности (O)</w:t>
            </w:r>
          </w:p>
        </w:tc>
        <w:tc>
          <w:tcPr>
            <w:tcW w:w="4677" w:type="dxa"/>
            <w:vAlign w:val="center"/>
          </w:tcPr>
          <w:p w14:paraId="5CBE643D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Угрозы (T)</w:t>
            </w:r>
          </w:p>
        </w:tc>
      </w:tr>
      <w:tr w:rsidR="00E86D28" w14:paraId="0045BA11" w14:textId="77777777">
        <w:trPr>
          <w:jc w:val="center"/>
        </w:trPr>
        <w:tc>
          <w:tcPr>
            <w:tcW w:w="4677" w:type="dxa"/>
          </w:tcPr>
          <w:p w14:paraId="334DD8D4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Цифровизация девелопмента и распространение PropTech/PRM-решений у застройщиков.</w:t>
            </w:r>
          </w:p>
        </w:tc>
        <w:tc>
          <w:tcPr>
            <w:tcW w:w="4677" w:type="dxa"/>
          </w:tcPr>
          <w:p w14:paraId="4C840878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Высокая ключевая ставка и снижение доступности рыночной ипотеки.</w:t>
            </w:r>
          </w:p>
        </w:tc>
      </w:tr>
      <w:tr w:rsidR="00E86D28" w14:paraId="159B9C04" w14:textId="77777777">
        <w:trPr>
          <w:jc w:val="center"/>
        </w:trPr>
        <w:tc>
          <w:tcPr>
            <w:tcW w:w="4677" w:type="dxa"/>
          </w:tcPr>
          <w:p w14:paraId="0DFFC2D2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Рост B2B AI SaaS-сегмента: использование ИИ-ассистентов, скоринга, рекомендаций и аналитики продаж.</w:t>
            </w:r>
          </w:p>
        </w:tc>
        <w:tc>
          <w:tcPr>
            <w:tcW w:w="4677" w:type="dxa"/>
          </w:tcPr>
          <w:p w14:paraId="27E19EF3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Рост стоимости digital-рекламы и конкуренции в рекламных аукционах.</w:t>
            </w:r>
          </w:p>
        </w:tc>
      </w:tr>
      <w:tr w:rsidR="00E86D28" w14:paraId="0C8C9E7E" w14:textId="77777777">
        <w:trPr>
          <w:jc w:val="center"/>
        </w:trPr>
        <w:tc>
          <w:tcPr>
            <w:tcW w:w="4677" w:type="dxa"/>
          </w:tcPr>
          <w:p w14:paraId="0DBCF2F0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Готовность CRM-платформ к интеграциям через API и вебхуки.</w:t>
            </w:r>
          </w:p>
        </w:tc>
        <w:tc>
          <w:tcPr>
            <w:tcW w:w="4677" w:type="dxa"/>
          </w:tcPr>
          <w:p w14:paraId="24C09E7B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Отток активных агентств к крупным девелоперам с более удобными цифровыми сервисами.</w:t>
            </w:r>
          </w:p>
        </w:tc>
      </w:tr>
      <w:tr w:rsidR="00E86D28" w14:paraId="5BEC48D3" w14:textId="77777777">
        <w:trPr>
          <w:jc w:val="center"/>
        </w:trPr>
        <w:tc>
          <w:tcPr>
            <w:tcW w:w="4677" w:type="dxa"/>
          </w:tcPr>
          <w:p w14:paraId="09A8F808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Повышение роли риелтора как консультанта покупателя в сложной ипотечной среде.</w:t>
            </w:r>
          </w:p>
        </w:tc>
        <w:tc>
          <w:tcPr>
            <w:tcW w:w="4677" w:type="dxa"/>
          </w:tcPr>
          <w:p w14:paraId="323FFD7C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Сокращение платежеспособного спроса и удлинение цикла сделки.</w:t>
            </w:r>
          </w:p>
        </w:tc>
      </w:tr>
    </w:tbl>
    <w:p w14:paraId="12B2AB22" w14:textId="77777777" w:rsidR="00E86D28" w:rsidRDefault="00E86D28"/>
    <w:p w14:paraId="6B5C0114" w14:textId="77777777" w:rsidR="00E86D28" w:rsidRDefault="00CD2567">
      <w:pPr>
        <w:ind w:firstLine="0"/>
        <w:jc w:val="center"/>
      </w:pPr>
      <w:r>
        <w:rPr>
          <w:b/>
          <w:color w:val="000000"/>
        </w:rPr>
        <w:t>Таблица 2.6 - PESTEL-анализ факторов проекта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3114"/>
        <w:gridCol w:w="3116"/>
        <w:gridCol w:w="3115"/>
      </w:tblGrid>
      <w:tr w:rsidR="00E86D28" w14:paraId="053A9843" w14:textId="77777777">
        <w:trPr>
          <w:jc w:val="center"/>
        </w:trPr>
        <w:tc>
          <w:tcPr>
            <w:tcW w:w="3118" w:type="dxa"/>
            <w:vAlign w:val="center"/>
          </w:tcPr>
          <w:p w14:paraId="43A25247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Группа PESTEL</w:t>
            </w:r>
          </w:p>
        </w:tc>
        <w:tc>
          <w:tcPr>
            <w:tcW w:w="3118" w:type="dxa"/>
            <w:vAlign w:val="center"/>
          </w:tcPr>
          <w:p w14:paraId="453B4AEE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Фактор</w:t>
            </w:r>
          </w:p>
        </w:tc>
        <w:tc>
          <w:tcPr>
            <w:tcW w:w="3118" w:type="dxa"/>
            <w:vAlign w:val="center"/>
          </w:tcPr>
          <w:p w14:paraId="0EB65DD6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Влияние на проект</w:t>
            </w:r>
          </w:p>
        </w:tc>
      </w:tr>
      <w:tr w:rsidR="00E86D28" w14:paraId="0F8BADDE" w14:textId="77777777">
        <w:trPr>
          <w:jc w:val="center"/>
        </w:trPr>
        <w:tc>
          <w:tcPr>
            <w:tcW w:w="3118" w:type="dxa"/>
          </w:tcPr>
          <w:p w14:paraId="33EFFAB0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Political / Legal</w:t>
            </w:r>
          </w:p>
        </w:tc>
        <w:tc>
          <w:tcPr>
            <w:tcW w:w="3118" w:type="dxa"/>
          </w:tcPr>
          <w:p w14:paraId="1870FC32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Изменение ипотечных программ и регулирования долевого строительства.</w:t>
            </w:r>
          </w:p>
        </w:tc>
        <w:tc>
          <w:tcPr>
            <w:tcW w:w="3118" w:type="dxa"/>
          </w:tcPr>
          <w:p w14:paraId="4187BDDD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Нужна оперативная актуализация условий сделок и юридически корректная коммуникация с агентами.</w:t>
            </w:r>
          </w:p>
        </w:tc>
      </w:tr>
      <w:tr w:rsidR="00E86D28" w14:paraId="19F89E6D" w14:textId="77777777">
        <w:trPr>
          <w:jc w:val="center"/>
        </w:trPr>
        <w:tc>
          <w:tcPr>
            <w:tcW w:w="3118" w:type="dxa"/>
          </w:tcPr>
          <w:p w14:paraId="7C99C44F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Economic</w:t>
            </w:r>
          </w:p>
        </w:tc>
        <w:tc>
          <w:tcPr>
            <w:tcW w:w="3118" w:type="dxa"/>
          </w:tcPr>
          <w:p w14:paraId="320D006A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 xml:space="preserve">Высокая ставка, рост стоимости фондирования и </w:t>
            </w:r>
            <w:r>
              <w:rPr>
                <w:color w:val="000000"/>
                <w:sz w:val="24"/>
              </w:rPr>
              <w:lastRenderedPageBreak/>
              <w:t>снижение доступности кредита.</w:t>
            </w:r>
          </w:p>
        </w:tc>
        <w:tc>
          <w:tcPr>
            <w:tcW w:w="3118" w:type="dxa"/>
          </w:tcPr>
          <w:p w14:paraId="37D5A3C5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lastRenderedPageBreak/>
              <w:t xml:space="preserve">Фокус на рассрочки, альтернативные схемы и </w:t>
            </w:r>
            <w:r>
              <w:rPr>
                <w:color w:val="000000"/>
                <w:sz w:val="24"/>
              </w:rPr>
              <w:lastRenderedPageBreak/>
              <w:t>снижение рекламного риска.</w:t>
            </w:r>
          </w:p>
        </w:tc>
      </w:tr>
      <w:tr w:rsidR="00E86D28" w14:paraId="5F04F616" w14:textId="77777777">
        <w:trPr>
          <w:jc w:val="center"/>
        </w:trPr>
        <w:tc>
          <w:tcPr>
            <w:tcW w:w="3118" w:type="dxa"/>
          </w:tcPr>
          <w:p w14:paraId="71E2779D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lastRenderedPageBreak/>
              <w:t>Social</w:t>
            </w:r>
          </w:p>
        </w:tc>
        <w:tc>
          <w:tcPr>
            <w:tcW w:w="3118" w:type="dxa"/>
          </w:tcPr>
          <w:p w14:paraId="1813AED5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Покупатель чаще делегирует выбор профессиональному посреднику.</w:t>
            </w:r>
          </w:p>
        </w:tc>
        <w:tc>
          <w:tcPr>
            <w:tcW w:w="3118" w:type="dxa"/>
          </w:tcPr>
          <w:p w14:paraId="4626F154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Увеличивается ценность лояльной агентской сети.</w:t>
            </w:r>
          </w:p>
        </w:tc>
      </w:tr>
      <w:tr w:rsidR="00E86D28" w14:paraId="13452834" w14:textId="77777777">
        <w:trPr>
          <w:jc w:val="center"/>
        </w:trPr>
        <w:tc>
          <w:tcPr>
            <w:tcW w:w="3118" w:type="dxa"/>
          </w:tcPr>
          <w:p w14:paraId="5C618A46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Technological</w:t>
            </w:r>
          </w:p>
        </w:tc>
        <w:tc>
          <w:tcPr>
            <w:tcW w:w="3118" w:type="dxa"/>
          </w:tcPr>
          <w:p w14:paraId="250288EE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Распространение API, CRM, личных кабинетов и ИИ-инструментов.</w:t>
            </w:r>
          </w:p>
        </w:tc>
        <w:tc>
          <w:tcPr>
            <w:tcW w:w="3118" w:type="dxa"/>
          </w:tcPr>
          <w:p w14:paraId="6D4BE2B5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Появляется возможность создать SaaS-надстройку без замены текущих систем.</w:t>
            </w:r>
          </w:p>
        </w:tc>
      </w:tr>
      <w:tr w:rsidR="00E86D28" w14:paraId="4AFB70AC" w14:textId="77777777">
        <w:trPr>
          <w:jc w:val="center"/>
        </w:trPr>
        <w:tc>
          <w:tcPr>
            <w:tcW w:w="3118" w:type="dxa"/>
          </w:tcPr>
          <w:p w14:paraId="5F23FC79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Environmental</w:t>
            </w:r>
          </w:p>
        </w:tc>
        <w:tc>
          <w:tcPr>
            <w:tcW w:w="3118" w:type="dxa"/>
          </w:tcPr>
          <w:p w14:paraId="0299A6E5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Повышение требований к качеству городской среды и продукту.</w:t>
            </w:r>
          </w:p>
        </w:tc>
        <w:tc>
          <w:tcPr>
            <w:tcW w:w="3118" w:type="dxa"/>
          </w:tcPr>
          <w:p w14:paraId="5BA4591C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В портале нужно показывать не только цену, но и характеристики жилой среды.</w:t>
            </w:r>
          </w:p>
        </w:tc>
      </w:tr>
    </w:tbl>
    <w:p w14:paraId="2B1E5DBD" w14:textId="77777777" w:rsidR="00E86D28" w:rsidRDefault="00E86D28"/>
    <w:p w14:paraId="46FEDAAD" w14:textId="77777777" w:rsidR="00E86D28" w:rsidRDefault="00CD2567">
      <w:pPr>
        <w:pStyle w:val="21"/>
      </w:pPr>
      <w:r>
        <w:t>2.5. Обоснование стратегии цифровизации агентского канала</w:t>
      </w:r>
    </w:p>
    <w:p w14:paraId="3A17EF79" w14:textId="77777777" w:rsidR="00E86D28" w:rsidRDefault="00CD2567">
      <w:r>
        <w:rPr>
          <w:color w:val="000000"/>
        </w:rPr>
        <w:t>Проведенный анализ показывает, что наиболее рациональной стратегией для ГК «Ресурс» является не увеличение рекламного давления, а повышение управляемости агентского канала. Компания не конкурирует с крупнейшими девелоперами по широте ассортимента и бюджету продвижения, но может конкурировать по скорости, прозрачности и качеству партнерского сервиса.</w:t>
      </w:r>
    </w:p>
    <w:p w14:paraId="434AB984" w14:textId="77777777" w:rsidR="00E86D28" w:rsidRDefault="00CD2567">
      <w:r>
        <w:rPr>
          <w:color w:val="000000"/>
        </w:rPr>
        <w:t>Содержательно стратегия цифровизации строится на трех принципах. Первый принцип - единое окно для партнера: агент должен самостоятельно регистрировать клиента, видеть актуальные лоты и получать статус сделки. Второй принцип - интеграция без замены базовых систем: Bitrix24 и Profitbase остаются ядром данных, а портал выступает внешней PRM-надстройкой. Третий принцип - управление по KPI: РОП получает не только список сделок, но и рейтинг агентств, конверсию, скорость реакции и структуру бронирований.</w:t>
      </w:r>
    </w:p>
    <w:p w14:paraId="24BBDE83" w14:textId="77777777" w:rsidR="00E86D28" w:rsidRDefault="00CD2567">
      <w:r>
        <w:rPr>
          <w:color w:val="000000"/>
        </w:rPr>
        <w:lastRenderedPageBreak/>
        <w:t>Таким образом, глава 2 подтверждает необходимость разработки Resource Partner AI как практического проекта. Решение должно быть достаточно легким для MVP, но при этом логически соответствовать требованиям корпоративного B2B SaaS: ролевая модель, единая база данных, интеграционные интерфейсы, аналитика и возможность дальнейшего подключения ИИ-функций.</w:t>
      </w:r>
    </w:p>
    <w:p w14:paraId="56540E19" w14:textId="77777777" w:rsidR="00E86D28" w:rsidRDefault="00CD2567">
      <w:pPr>
        <w:pStyle w:val="11"/>
      </w:pPr>
      <w:r>
        <w:lastRenderedPageBreak/>
        <w:t>ГЛАВА 3. ПРОЕКТИРОВАНИЕ ЦИФРОВОЙ ЭКОСИСТЕМЫ И ПЛАН ВНЕДРЕНИЯ</w:t>
      </w:r>
    </w:p>
    <w:p w14:paraId="71ADABFF" w14:textId="77777777" w:rsidR="00E86D28" w:rsidRDefault="00CD2567">
      <w:pPr>
        <w:pStyle w:val="21"/>
      </w:pPr>
      <w:r>
        <w:t>3.1. Обзор инструментов рынка и выбор решения</w:t>
      </w:r>
    </w:p>
    <w:p w14:paraId="2EAC4A74" w14:textId="77777777" w:rsidR="00E86D28" w:rsidRDefault="00CD2567">
      <w:r>
        <w:rPr>
          <w:color w:val="000000"/>
        </w:rPr>
        <w:t>Перед проектированием собственного решения необходимо сопоставить доступные инструменты, которые применяются девелоперами и отделами продаж недвижимости. На рынке представлены универсальные CRM-системы, отраслевые платформы для застройщиков, классифайды и маркетплейсы недвижимости, а также собственные B2B-порталы компаний. Выбор не должен сводиться к покупке наиболее функционального продукта: для ГК «Ресурс» критичны бюджетные ограничения, наличие уже внедренных Bitrix24 и Profitbase, потребность в быстром MVP и возможность показать результат на защите.</w:t>
      </w:r>
    </w:p>
    <w:p w14:paraId="22B0FE83" w14:textId="77777777" w:rsidR="00E86D28" w:rsidRDefault="00CD2567">
      <w:r>
        <w:rPr>
          <w:color w:val="000000"/>
        </w:rPr>
        <w:t>Bitrix24 целесообразно рассматривать как базовую CRM и операционный центр отдела продаж. Платформа предоставляет CRM, задачи, воронки, Gantt, коммуникации, автоматизацию и API. Официальная документация Bitrix24 REST API 3.0 описывает единый формат ответа, работу через POST-запросы и возможность получения OpenAPI-документации [6]. Это делает Bitrix24 удобным ядром для хранения лидов, сделок и задач.</w:t>
      </w:r>
    </w:p>
    <w:p w14:paraId="7B20AE2B" w14:textId="77777777" w:rsidR="00E86D28" w:rsidRDefault="00CD2567">
      <w:r>
        <w:rPr>
          <w:color w:val="000000"/>
        </w:rPr>
        <w:t>amoCRM является альтернативной CRM, ориентированной на малый и средний бизнес. Ее преимущество - простота воронки и быстрый запуск, однако для ГК «Ресурс» переход с Bitrix24 на amoCRM создаст избыточные миграционные расходы. Официальная страница тарифов amoCRM указывает базовые тарифы 599, 1199 и 1699 руб. за пользователя в месяц при указанных условиях оплаты [8].</w:t>
      </w:r>
    </w:p>
    <w:p w14:paraId="2FC6ABDF" w14:textId="77777777" w:rsidR="00E86D28" w:rsidRDefault="00CD2567">
      <w:r>
        <w:rPr>
          <w:color w:val="000000"/>
        </w:rPr>
        <w:t xml:space="preserve">Profitbase закрывает отраслевую специфику девелопера. В материалах Profitbase описаны интерактивная витрина объектов, актуализация ассортимента, бронирование, динамическое ценообразование, аналитика и интеграции с CRM [9; 10]. Для ГК «Ресурс» это важный актив, поскольку </w:t>
      </w:r>
      <w:r>
        <w:rPr>
          <w:color w:val="000000"/>
        </w:rPr>
        <w:lastRenderedPageBreak/>
        <w:t>портал может получать статусы лотов и коммерческие параметры не из ручных таблиц, а из специализированного источника.</w:t>
      </w:r>
    </w:p>
    <w:p w14:paraId="73BC546A" w14:textId="77777777" w:rsidR="00E86D28" w:rsidRDefault="00CD2567">
      <w:r>
        <w:rPr>
          <w:color w:val="000000"/>
        </w:rPr>
        <w:t>Классифайды и маркетплейсы недвижимости, включая крупные площадки объявлений и банковские экосистемы, решают задачу охвата, но не заменяют управление партнерской сетью. Они приводят внешний спрос, однако не дают застройщику полной логики защиты сделки, мотивации конкретного агентства, обучения партнеров и внутренней KPI-аналитики.</w:t>
      </w:r>
    </w:p>
    <w:p w14:paraId="1AFF4E83" w14:textId="77777777" w:rsidR="00E86D28" w:rsidRDefault="00CD2567">
      <w:r>
        <w:rPr>
          <w:color w:val="000000"/>
        </w:rPr>
        <w:t>Следовательно, оптимальным вариантом для компании является гибридный подход: сохранить Bitrix24 и Profitbase как ядро данных, а поверх них разработать собственный агентский портал Resource Partner AI. Такой вариант дешевле полной замены CRM, быстрее внедряется, учитывает особенности комиссий и может быть реализован как B2B AI SaaS MVP.</w:t>
      </w:r>
    </w:p>
    <w:p w14:paraId="4F73AF90" w14:textId="77777777" w:rsidR="00E86D28" w:rsidRDefault="00CD2567">
      <w:pPr>
        <w:ind w:firstLine="0"/>
        <w:jc w:val="center"/>
      </w:pPr>
      <w:r>
        <w:rPr>
          <w:b/>
          <w:color w:val="000000"/>
        </w:rPr>
        <w:t>Таблица 3.1 - Сравнение вариантов цифровизации продаж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899"/>
        <w:gridCol w:w="1864"/>
        <w:gridCol w:w="2149"/>
        <w:gridCol w:w="2038"/>
        <w:gridCol w:w="1395"/>
      </w:tblGrid>
      <w:tr w:rsidR="00E86D28" w14:paraId="2DCE962D" w14:textId="77777777">
        <w:trPr>
          <w:jc w:val="center"/>
        </w:trPr>
        <w:tc>
          <w:tcPr>
            <w:tcW w:w="1871" w:type="dxa"/>
            <w:vAlign w:val="center"/>
          </w:tcPr>
          <w:p w14:paraId="2422F517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Инструмент</w:t>
            </w:r>
          </w:p>
        </w:tc>
        <w:tc>
          <w:tcPr>
            <w:tcW w:w="1871" w:type="dxa"/>
            <w:vAlign w:val="center"/>
          </w:tcPr>
          <w:p w14:paraId="6C213BA9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Назначение</w:t>
            </w:r>
          </w:p>
        </w:tc>
        <w:tc>
          <w:tcPr>
            <w:tcW w:w="1871" w:type="dxa"/>
            <w:vAlign w:val="center"/>
          </w:tcPr>
          <w:p w14:paraId="51FAA719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Преимущества</w:t>
            </w:r>
          </w:p>
        </w:tc>
        <w:tc>
          <w:tcPr>
            <w:tcW w:w="1871" w:type="dxa"/>
            <w:vAlign w:val="center"/>
          </w:tcPr>
          <w:p w14:paraId="17E948B8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Ограничения</w:t>
            </w:r>
          </w:p>
        </w:tc>
        <w:tc>
          <w:tcPr>
            <w:tcW w:w="1871" w:type="dxa"/>
            <w:vAlign w:val="center"/>
          </w:tcPr>
          <w:p w14:paraId="6B977E21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Вывод для ГК «Ресурс»</w:t>
            </w:r>
          </w:p>
        </w:tc>
      </w:tr>
      <w:tr w:rsidR="00E86D28" w14:paraId="59BF118E" w14:textId="77777777">
        <w:trPr>
          <w:jc w:val="center"/>
        </w:trPr>
        <w:tc>
          <w:tcPr>
            <w:tcW w:w="1871" w:type="dxa"/>
          </w:tcPr>
          <w:p w14:paraId="6963FC42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Bitrix24</w:t>
            </w:r>
          </w:p>
        </w:tc>
        <w:tc>
          <w:tcPr>
            <w:tcW w:w="1871" w:type="dxa"/>
          </w:tcPr>
          <w:p w14:paraId="3BD16DDB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CRM, задачи, воронки, коммуникации, API.</w:t>
            </w:r>
          </w:p>
        </w:tc>
        <w:tc>
          <w:tcPr>
            <w:tcW w:w="1871" w:type="dxa"/>
          </w:tcPr>
          <w:p w14:paraId="6C704A64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Уже используется; есть REST API, Gantt, автоматизация и отчеты [6; 7].</w:t>
            </w:r>
          </w:p>
        </w:tc>
        <w:tc>
          <w:tcPr>
            <w:tcW w:w="1871" w:type="dxa"/>
          </w:tcPr>
          <w:p w14:paraId="2AE2C462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Не является специализированным агентским кабинетом девелопера без доработки.</w:t>
            </w:r>
          </w:p>
        </w:tc>
        <w:tc>
          <w:tcPr>
            <w:tcW w:w="1871" w:type="dxa"/>
          </w:tcPr>
          <w:p w14:paraId="5894A65D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Оставить как ядро CRM и источник сделок.</w:t>
            </w:r>
          </w:p>
        </w:tc>
      </w:tr>
      <w:tr w:rsidR="00E86D28" w14:paraId="073D8A70" w14:textId="77777777">
        <w:trPr>
          <w:jc w:val="center"/>
        </w:trPr>
        <w:tc>
          <w:tcPr>
            <w:tcW w:w="1871" w:type="dxa"/>
          </w:tcPr>
          <w:p w14:paraId="12115146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amoCRM</w:t>
            </w:r>
          </w:p>
        </w:tc>
        <w:tc>
          <w:tcPr>
            <w:tcW w:w="1871" w:type="dxa"/>
          </w:tcPr>
          <w:p w14:paraId="3D67B85B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Простая CRM для отделов продаж.</w:t>
            </w:r>
          </w:p>
        </w:tc>
        <w:tc>
          <w:tcPr>
            <w:tcW w:w="1871" w:type="dxa"/>
          </w:tcPr>
          <w:p w14:paraId="4F18514D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Быстрый запуск, понятная воронка, тарифы от 599 руб./польз. в месяц [8].</w:t>
            </w:r>
          </w:p>
        </w:tc>
        <w:tc>
          <w:tcPr>
            <w:tcW w:w="1871" w:type="dxa"/>
          </w:tcPr>
          <w:p w14:paraId="72F3D36E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Переход потребует миграции и не решит отраслевую специфику без интеграций.</w:t>
            </w:r>
          </w:p>
        </w:tc>
        <w:tc>
          <w:tcPr>
            <w:tcW w:w="1871" w:type="dxa"/>
          </w:tcPr>
          <w:p w14:paraId="0F0328B6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 xml:space="preserve">Не выбирать как основное направление, использовать только как </w:t>
            </w:r>
            <w:r>
              <w:rPr>
                <w:color w:val="000000"/>
                <w:sz w:val="24"/>
              </w:rPr>
              <w:lastRenderedPageBreak/>
              <w:t>бенчмарк простоты.</w:t>
            </w:r>
          </w:p>
        </w:tc>
      </w:tr>
      <w:tr w:rsidR="00E86D28" w14:paraId="09ABA231" w14:textId="77777777">
        <w:trPr>
          <w:jc w:val="center"/>
        </w:trPr>
        <w:tc>
          <w:tcPr>
            <w:tcW w:w="1871" w:type="dxa"/>
          </w:tcPr>
          <w:p w14:paraId="5EF4A6A1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lastRenderedPageBreak/>
              <w:t>Profitbase</w:t>
            </w:r>
          </w:p>
        </w:tc>
        <w:tc>
          <w:tcPr>
            <w:tcW w:w="1871" w:type="dxa"/>
          </w:tcPr>
          <w:p w14:paraId="6AA95450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Отраслевая платформа девелопера: ассортимент, брони, аналитика.</w:t>
            </w:r>
          </w:p>
        </w:tc>
        <w:tc>
          <w:tcPr>
            <w:tcW w:w="1871" w:type="dxa"/>
          </w:tcPr>
          <w:p w14:paraId="7D147B7E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Специализация на недвижимости, интеграции с CRM, актуальные статусы объектов [9; 10].</w:t>
            </w:r>
          </w:p>
        </w:tc>
        <w:tc>
          <w:tcPr>
            <w:tcW w:w="1871" w:type="dxa"/>
          </w:tcPr>
          <w:p w14:paraId="15D28956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Не закрывает полностью уникальную модель мотивации и AI-помощника ГК «Ресурс».</w:t>
            </w:r>
          </w:p>
        </w:tc>
        <w:tc>
          <w:tcPr>
            <w:tcW w:w="1871" w:type="dxa"/>
          </w:tcPr>
          <w:p w14:paraId="48EB65C2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Использовать как источник данных по лотам и статусам.</w:t>
            </w:r>
          </w:p>
        </w:tc>
      </w:tr>
      <w:tr w:rsidR="00E86D28" w14:paraId="14C0FF33" w14:textId="77777777">
        <w:trPr>
          <w:jc w:val="center"/>
        </w:trPr>
        <w:tc>
          <w:tcPr>
            <w:tcW w:w="1871" w:type="dxa"/>
          </w:tcPr>
          <w:p w14:paraId="1879D5B2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Классифайды и банковские экосистемы</w:t>
            </w:r>
          </w:p>
        </w:tc>
        <w:tc>
          <w:tcPr>
            <w:tcW w:w="1871" w:type="dxa"/>
          </w:tcPr>
          <w:p w14:paraId="1507C15E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Охват покупателей и публикация объявлений.</w:t>
            </w:r>
          </w:p>
        </w:tc>
        <w:tc>
          <w:tcPr>
            <w:tcW w:w="1871" w:type="dxa"/>
          </w:tcPr>
          <w:p w14:paraId="6591F35C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Широкая аудитория, привычный канал поиска недвижимости.</w:t>
            </w:r>
          </w:p>
        </w:tc>
        <w:tc>
          <w:tcPr>
            <w:tcW w:w="1871" w:type="dxa"/>
          </w:tcPr>
          <w:p w14:paraId="2B3203D0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Высокая конкуренция, слабый контроль партнерских KPI.</w:t>
            </w:r>
          </w:p>
        </w:tc>
        <w:tc>
          <w:tcPr>
            <w:tcW w:w="1871" w:type="dxa"/>
          </w:tcPr>
          <w:p w14:paraId="38C911EA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Использовать как канал охвата, но не как ядро проекта.</w:t>
            </w:r>
          </w:p>
        </w:tc>
      </w:tr>
      <w:tr w:rsidR="00E86D28" w14:paraId="266723AA" w14:textId="77777777">
        <w:trPr>
          <w:jc w:val="center"/>
        </w:trPr>
        <w:tc>
          <w:tcPr>
            <w:tcW w:w="1871" w:type="dxa"/>
          </w:tcPr>
          <w:p w14:paraId="4B0AFC0D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Resource Partner AI</w:t>
            </w:r>
          </w:p>
        </w:tc>
        <w:tc>
          <w:tcPr>
            <w:tcW w:w="1871" w:type="dxa"/>
          </w:tcPr>
          <w:p w14:paraId="7F746539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Собственный B2B AI SaaS / PRM-портал.</w:t>
            </w:r>
          </w:p>
        </w:tc>
        <w:tc>
          <w:tcPr>
            <w:tcW w:w="1871" w:type="dxa"/>
          </w:tcPr>
          <w:p w14:paraId="2F5C2821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Учитывает бизнес-логику компании, быстро реализуется как MVP, интегрируется с текущими системами.</w:t>
            </w:r>
          </w:p>
        </w:tc>
        <w:tc>
          <w:tcPr>
            <w:tcW w:w="1871" w:type="dxa"/>
          </w:tcPr>
          <w:p w14:paraId="7D7C4D88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Требует разработки, поддержки и дисциплины ведения данных.</w:t>
            </w:r>
          </w:p>
        </w:tc>
        <w:tc>
          <w:tcPr>
            <w:tcW w:w="1871" w:type="dxa"/>
          </w:tcPr>
          <w:p w14:paraId="24B7488E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Выбрать как целевое решение.</w:t>
            </w:r>
          </w:p>
        </w:tc>
      </w:tr>
    </w:tbl>
    <w:p w14:paraId="5DCFED73" w14:textId="77777777" w:rsidR="00E86D28" w:rsidRDefault="00E86D28"/>
    <w:p w14:paraId="0CD53391" w14:textId="77777777" w:rsidR="00E86D28" w:rsidRPr="004774A0" w:rsidRDefault="00CD2567">
      <w:pPr>
        <w:pStyle w:val="21"/>
        <w:rPr>
          <w:lang w:val="en-US"/>
        </w:rPr>
      </w:pPr>
      <w:r w:rsidRPr="004774A0">
        <w:rPr>
          <w:lang w:val="en-US"/>
        </w:rPr>
        <w:t xml:space="preserve">3.2. </w:t>
      </w:r>
      <w:r>
        <w:t>Концепция</w:t>
      </w:r>
      <w:r w:rsidRPr="004774A0">
        <w:rPr>
          <w:lang w:val="en-US"/>
        </w:rPr>
        <w:t xml:space="preserve"> B2B AI SaaS-</w:t>
      </w:r>
      <w:r>
        <w:t>портала</w:t>
      </w:r>
      <w:r w:rsidRPr="004774A0">
        <w:rPr>
          <w:lang w:val="en-US"/>
        </w:rPr>
        <w:t xml:space="preserve"> Resource Partner AI</w:t>
      </w:r>
    </w:p>
    <w:p w14:paraId="6A27EC88" w14:textId="77777777" w:rsidR="00E86D28" w:rsidRDefault="00CD2567">
      <w:r>
        <w:rPr>
          <w:color w:val="000000"/>
        </w:rPr>
        <w:t>Resource Partner AI предлагается рассматривать как B2B AI SaaS-решение для управления партнерскими продажами девелопера. B2B означает, что основным пользователем является не конечный покупатель квартиры, а агентство недвижимости и его специалисты. SaaS означает, что функциональность предоставляется через веб-интерфейс без установки локального ПО у партнера. AI-компонент означает возможность подключения интеллектуальных подсказок, скоринга и рекомендаций на основе данных о клиентах, объектах и эффективности агентств.</w:t>
      </w:r>
    </w:p>
    <w:p w14:paraId="18AA19B7" w14:textId="77777777" w:rsidR="00E86D28" w:rsidRDefault="00CD2567">
      <w:r>
        <w:rPr>
          <w:color w:val="000000"/>
        </w:rPr>
        <w:lastRenderedPageBreak/>
        <w:t>Цель портала - превратить агентский канал из неформальной сети коммуникаций в управляемую цифровую экосистему. Для агента портал должен быть рабочим кабинетом: регистрация клиента, проверка уникальности, подбор объектов, просмотр презентационных материалов, фиксация брони и отслеживание статуса комиссии. Для менеджера ГК «Ресурс» портал должен быть инструментом контроля и обработки качественных обращений. Для РОПа - системой визуализации KPI и раннего выявления проблем в партнерской сети.</w:t>
      </w:r>
    </w:p>
    <w:p w14:paraId="50A94211" w14:textId="77777777" w:rsidR="00E86D28" w:rsidRDefault="00CD2567">
      <w:r>
        <w:rPr>
          <w:color w:val="000000"/>
        </w:rPr>
        <w:t>Функциональная архитектура портала включает шесть модулей: личный кабинет агента; каталог объектов и лотов; модуль защиты сделки; модуль бронирования; кабинет менеджера; BI-дашборд руководителя. Дополнительно предусматривается AI-ассистент, который помогает агенту сформировать аргументацию по объекту, подобрать лоты под параметры клиента и подготовить краткое коммерческое предложение.</w:t>
      </w:r>
    </w:p>
    <w:p w14:paraId="0858760C" w14:textId="77777777" w:rsidR="00E86D28" w:rsidRDefault="00CD2567">
      <w:r>
        <w:rPr>
          <w:color w:val="000000"/>
        </w:rPr>
        <w:t>В рамках проектной работы уже создан MVP на Python/Django. Выбор Django обоснован тем, что фреймворк включает ORM, маршрутизацию, шаблоны и административный интерфейс, что ускоряет создание database-driven веб-приложений [11]. Для защиты MVP достаточно показать ролевую модель, каталог объектов, карточку клиента, регистрацию сделки, панель менеджера и Dashboard РОПа.</w:t>
      </w:r>
    </w:p>
    <w:p w14:paraId="44B5651A" w14:textId="77777777" w:rsidR="00E86D28" w:rsidRDefault="00CD2567">
      <w:pPr>
        <w:ind w:firstLine="0"/>
        <w:jc w:val="center"/>
      </w:pPr>
      <w:r>
        <w:rPr>
          <w:b/>
          <w:color w:val="000000"/>
        </w:rPr>
        <w:t>Таблица 3.2 - Ролевая модель Resource Partner AI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3114"/>
        <w:gridCol w:w="3115"/>
        <w:gridCol w:w="3116"/>
      </w:tblGrid>
      <w:tr w:rsidR="00E86D28" w14:paraId="69DE5EF1" w14:textId="77777777">
        <w:trPr>
          <w:jc w:val="center"/>
        </w:trPr>
        <w:tc>
          <w:tcPr>
            <w:tcW w:w="3118" w:type="dxa"/>
            <w:vAlign w:val="center"/>
          </w:tcPr>
          <w:p w14:paraId="7DF47FDE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Роль пользователя</w:t>
            </w:r>
          </w:p>
        </w:tc>
        <w:tc>
          <w:tcPr>
            <w:tcW w:w="3118" w:type="dxa"/>
            <w:vAlign w:val="center"/>
          </w:tcPr>
          <w:p w14:paraId="27DA574B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Ключевые функции</w:t>
            </w:r>
          </w:p>
        </w:tc>
        <w:tc>
          <w:tcPr>
            <w:tcW w:w="3118" w:type="dxa"/>
            <w:vAlign w:val="center"/>
          </w:tcPr>
          <w:p w14:paraId="7E53A498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Ожидаемый эффект</w:t>
            </w:r>
          </w:p>
        </w:tc>
      </w:tr>
      <w:tr w:rsidR="00E86D28" w14:paraId="0745909F" w14:textId="77777777">
        <w:trPr>
          <w:jc w:val="center"/>
        </w:trPr>
        <w:tc>
          <w:tcPr>
            <w:tcW w:w="3118" w:type="dxa"/>
          </w:tcPr>
          <w:p w14:paraId="12ED29FB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Агент / риелтор</w:t>
            </w:r>
          </w:p>
        </w:tc>
        <w:tc>
          <w:tcPr>
            <w:tcW w:w="3118" w:type="dxa"/>
          </w:tcPr>
          <w:p w14:paraId="2F704146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Регистрация клиента, подбор лота, защита сделки, просмотр статуса брони и комиссии.</w:t>
            </w:r>
          </w:p>
        </w:tc>
        <w:tc>
          <w:tcPr>
            <w:tcW w:w="3118" w:type="dxa"/>
          </w:tcPr>
          <w:p w14:paraId="0084F206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Сокращение времени ожидания ответа и повышение лояльности к застройщику.</w:t>
            </w:r>
          </w:p>
        </w:tc>
      </w:tr>
      <w:tr w:rsidR="00E86D28" w14:paraId="2AF76BF2" w14:textId="77777777">
        <w:trPr>
          <w:jc w:val="center"/>
        </w:trPr>
        <w:tc>
          <w:tcPr>
            <w:tcW w:w="3118" w:type="dxa"/>
          </w:tcPr>
          <w:p w14:paraId="12C9DF55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Менеджер продаж</w:t>
            </w:r>
          </w:p>
        </w:tc>
        <w:tc>
          <w:tcPr>
            <w:tcW w:w="3118" w:type="dxa"/>
          </w:tcPr>
          <w:p w14:paraId="65898E5D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Обработка заявок, подтверждение брони, коммуникация по качественным лидам.</w:t>
            </w:r>
          </w:p>
        </w:tc>
        <w:tc>
          <w:tcPr>
            <w:tcW w:w="3118" w:type="dxa"/>
          </w:tcPr>
          <w:p w14:paraId="69277D1B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Снижение нагрузки на ручную фильтрацию и повышение фокуса на сделках.</w:t>
            </w:r>
          </w:p>
        </w:tc>
      </w:tr>
      <w:tr w:rsidR="00E86D28" w14:paraId="0C493F81" w14:textId="77777777">
        <w:trPr>
          <w:jc w:val="center"/>
        </w:trPr>
        <w:tc>
          <w:tcPr>
            <w:tcW w:w="3118" w:type="dxa"/>
          </w:tcPr>
          <w:p w14:paraId="70F4F568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lastRenderedPageBreak/>
              <w:t>РОП</w:t>
            </w:r>
          </w:p>
        </w:tc>
        <w:tc>
          <w:tcPr>
            <w:tcW w:w="3118" w:type="dxa"/>
          </w:tcPr>
          <w:p w14:paraId="00779677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Контроль KPI агентств, конверсии, SLA, структуры бронирований и воронки.</w:t>
            </w:r>
          </w:p>
        </w:tc>
        <w:tc>
          <w:tcPr>
            <w:tcW w:w="3118" w:type="dxa"/>
          </w:tcPr>
          <w:p w14:paraId="06D3F421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Переход от ручной отчетности к управлению на основе данных.</w:t>
            </w:r>
          </w:p>
        </w:tc>
      </w:tr>
      <w:tr w:rsidR="00E86D28" w14:paraId="7FCBCCE8" w14:textId="77777777">
        <w:trPr>
          <w:jc w:val="center"/>
        </w:trPr>
        <w:tc>
          <w:tcPr>
            <w:tcW w:w="3118" w:type="dxa"/>
          </w:tcPr>
          <w:p w14:paraId="7115E89A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Администратор</w:t>
            </w:r>
          </w:p>
        </w:tc>
        <w:tc>
          <w:tcPr>
            <w:tcW w:w="3118" w:type="dxa"/>
          </w:tcPr>
          <w:p w14:paraId="70894EFF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Управление справочниками, пользователями, объектами, ролями и настройками.</w:t>
            </w:r>
          </w:p>
        </w:tc>
        <w:tc>
          <w:tcPr>
            <w:tcW w:w="3118" w:type="dxa"/>
          </w:tcPr>
          <w:p w14:paraId="5EA87636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Стабильность данных и возможность масштабирования.</w:t>
            </w:r>
          </w:p>
        </w:tc>
      </w:tr>
    </w:tbl>
    <w:p w14:paraId="4880D193" w14:textId="77777777" w:rsidR="00E86D28" w:rsidRDefault="00E86D28"/>
    <w:p w14:paraId="10F4C075" w14:textId="77777777" w:rsidR="00E86D28" w:rsidRDefault="00CD2567">
      <w:pPr>
        <w:pStyle w:val="21"/>
      </w:pPr>
      <w:r>
        <w:t>3.3. Функциональная и техническая архитектура MVP</w:t>
      </w:r>
    </w:p>
    <w:p w14:paraId="188809FE" w14:textId="77777777" w:rsidR="00E86D28" w:rsidRDefault="00CD2567">
      <w:r>
        <w:rPr>
          <w:color w:val="000000"/>
        </w:rPr>
        <w:t>MVP Resource Partner AI реализуется как веб-приложение на Python/Django с использованием серверного рендеринга HTML-страниц. Такой подход соответствует ограничениям проекта: он позволяет быстро собрать рабочий прототип, не усложняя архитектуру отдельным фронтенд-приложением и микросервисами. При дальнейшем развитии MVP может быть преобразован в полноценный SaaS-продукт с отдельным API и масштабируемой базой данных.</w:t>
      </w:r>
    </w:p>
    <w:p w14:paraId="35F425AC" w14:textId="77777777" w:rsidR="00E86D28" w:rsidRDefault="00CD2567">
      <w:r>
        <w:rPr>
          <w:color w:val="000000"/>
        </w:rPr>
        <w:t>В ядре данных предусматриваются сущности: пользователь, агентство, агент, объект недвижимости, лот, клиент, регистрация сделки, бронь, активность партнера и KPI-показатель. Связь между лотом и сделкой позволяет отслеживать, какие квартиры чаще просматриваются, какие уходят в бронь, где возникают задержки и какие агентства дают наиболее качественный поток клиентов.</w:t>
      </w:r>
    </w:p>
    <w:p w14:paraId="72560D80" w14:textId="77777777" w:rsidR="00E86D28" w:rsidRDefault="00CD2567">
      <w:r>
        <w:rPr>
          <w:color w:val="000000"/>
        </w:rPr>
        <w:t>Интеграционный слой должен поддерживать обмен данными с Bitrix24 и Profitbase. Bitrix24 целесообразно использовать для передачи лидов и сделок в основную CRM, а Profitbase - для получения актуальных статусов лотов, цен и параметров объектов. На MVP-этапе допускается использовать демонстрационные данные, однако архитектура должна быть подготовлена к подключению REST API и вебхуков [6; 10].</w:t>
      </w:r>
    </w:p>
    <w:p w14:paraId="6A50D56B" w14:textId="77777777" w:rsidR="00E86D28" w:rsidRDefault="00CD2567">
      <w:r>
        <w:rPr>
          <w:color w:val="000000"/>
        </w:rPr>
        <w:t xml:space="preserve">AI-слой на первом этапе может работать как вспомогательная функция: формирование текстового описания объекта для агента, подсказки по </w:t>
      </w:r>
      <w:r>
        <w:rPr>
          <w:color w:val="000000"/>
        </w:rPr>
        <w:lastRenderedPageBreak/>
        <w:t>аргументации, оценка приоритета обращения и рекомендация следующего действия. На промышленном этапе AI-модуль целесообразно подключать только после накопления достаточного набора качественных данных и проверки юридических ограничений на обработку персональных данных.</w:t>
      </w:r>
    </w:p>
    <w:p w14:paraId="3A1855B2" w14:textId="77777777" w:rsidR="00E86D28" w:rsidRDefault="00CD2567">
      <w:pPr>
        <w:ind w:firstLine="0"/>
        <w:jc w:val="center"/>
      </w:pPr>
      <w:r>
        <w:rPr>
          <w:b/>
          <w:color w:val="000000"/>
        </w:rPr>
        <w:t>Таблица 3.3 - Функциональный состав MVP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86D28" w14:paraId="69EBB8D7" w14:textId="77777777">
        <w:trPr>
          <w:jc w:val="center"/>
        </w:trPr>
        <w:tc>
          <w:tcPr>
            <w:tcW w:w="3118" w:type="dxa"/>
            <w:vAlign w:val="center"/>
          </w:tcPr>
          <w:p w14:paraId="529C4FC0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Модуль</w:t>
            </w:r>
          </w:p>
        </w:tc>
        <w:tc>
          <w:tcPr>
            <w:tcW w:w="3118" w:type="dxa"/>
            <w:vAlign w:val="center"/>
          </w:tcPr>
          <w:p w14:paraId="51AC5A88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Содержание</w:t>
            </w:r>
          </w:p>
        </w:tc>
        <w:tc>
          <w:tcPr>
            <w:tcW w:w="3118" w:type="dxa"/>
            <w:vAlign w:val="center"/>
          </w:tcPr>
          <w:p w14:paraId="5C19EED1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MVP-реализация</w:t>
            </w:r>
          </w:p>
        </w:tc>
      </w:tr>
      <w:tr w:rsidR="00E86D28" w14:paraId="5BCC595D" w14:textId="77777777">
        <w:trPr>
          <w:jc w:val="center"/>
        </w:trPr>
        <w:tc>
          <w:tcPr>
            <w:tcW w:w="3118" w:type="dxa"/>
          </w:tcPr>
          <w:p w14:paraId="131F060C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Авторизация и роли</w:t>
            </w:r>
          </w:p>
        </w:tc>
        <w:tc>
          <w:tcPr>
            <w:tcW w:w="3118" w:type="dxa"/>
          </w:tcPr>
          <w:p w14:paraId="2837AA17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Разграничение доступа агента, менеджера, РОПа и администратора.</w:t>
            </w:r>
          </w:p>
        </w:tc>
        <w:tc>
          <w:tcPr>
            <w:tcW w:w="3118" w:type="dxa"/>
          </w:tcPr>
          <w:p w14:paraId="7A8502E1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Django authentication, группы пользователей, тестовые учетные записи.</w:t>
            </w:r>
          </w:p>
        </w:tc>
      </w:tr>
      <w:tr w:rsidR="00E86D28" w14:paraId="27EDAAA0" w14:textId="77777777">
        <w:trPr>
          <w:jc w:val="center"/>
        </w:trPr>
        <w:tc>
          <w:tcPr>
            <w:tcW w:w="3118" w:type="dxa"/>
          </w:tcPr>
          <w:p w14:paraId="498D26B7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Каталог объектов</w:t>
            </w:r>
          </w:p>
        </w:tc>
        <w:tc>
          <w:tcPr>
            <w:tcW w:w="3118" w:type="dxa"/>
          </w:tcPr>
          <w:p w14:paraId="471323D4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Карточки ЖК, лоты, площади, цены, статусы.</w:t>
            </w:r>
          </w:p>
        </w:tc>
        <w:tc>
          <w:tcPr>
            <w:tcW w:w="3118" w:type="dxa"/>
          </w:tcPr>
          <w:p w14:paraId="445264B1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Демонстрационная база объектов и фильтры по параметрам.</w:t>
            </w:r>
          </w:p>
        </w:tc>
      </w:tr>
      <w:tr w:rsidR="00E86D28" w14:paraId="0994043B" w14:textId="77777777">
        <w:trPr>
          <w:jc w:val="center"/>
        </w:trPr>
        <w:tc>
          <w:tcPr>
            <w:tcW w:w="3118" w:type="dxa"/>
          </w:tcPr>
          <w:p w14:paraId="63B78B2C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Защита сделки</w:t>
            </w:r>
          </w:p>
        </w:tc>
        <w:tc>
          <w:tcPr>
            <w:tcW w:w="3118" w:type="dxa"/>
          </w:tcPr>
          <w:p w14:paraId="13630907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Регистрация клиента агентом и проверка статуса.</w:t>
            </w:r>
          </w:p>
        </w:tc>
        <w:tc>
          <w:tcPr>
            <w:tcW w:w="3118" w:type="dxa"/>
          </w:tcPr>
          <w:p w14:paraId="595E168D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Форма создания лида, статусная модель, список заявок.</w:t>
            </w:r>
          </w:p>
        </w:tc>
      </w:tr>
      <w:tr w:rsidR="00E86D28" w14:paraId="00F56ED2" w14:textId="77777777">
        <w:trPr>
          <w:jc w:val="center"/>
        </w:trPr>
        <w:tc>
          <w:tcPr>
            <w:tcW w:w="3118" w:type="dxa"/>
          </w:tcPr>
          <w:p w14:paraId="0E72F938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Бронирование</w:t>
            </w:r>
          </w:p>
        </w:tc>
        <w:tc>
          <w:tcPr>
            <w:tcW w:w="3118" w:type="dxa"/>
          </w:tcPr>
          <w:p w14:paraId="6BCF8C25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Фиксация выбранного лота и срока брони.</w:t>
            </w:r>
          </w:p>
        </w:tc>
        <w:tc>
          <w:tcPr>
            <w:tcW w:w="3118" w:type="dxa"/>
          </w:tcPr>
          <w:p w14:paraId="14404721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Прототип статусов: свободно, бронь, продано.</w:t>
            </w:r>
          </w:p>
        </w:tc>
      </w:tr>
      <w:tr w:rsidR="00E86D28" w14:paraId="0B3A4AF3" w14:textId="77777777">
        <w:trPr>
          <w:jc w:val="center"/>
        </w:trPr>
        <w:tc>
          <w:tcPr>
            <w:tcW w:w="3118" w:type="dxa"/>
          </w:tcPr>
          <w:p w14:paraId="62A919BF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Dashboard РОПа</w:t>
            </w:r>
          </w:p>
        </w:tc>
        <w:tc>
          <w:tcPr>
            <w:tcW w:w="3118" w:type="dxa"/>
          </w:tcPr>
          <w:p w14:paraId="0C4D9BB8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Визуализация лидов, сделок, конверсии и активности партнеров.</w:t>
            </w:r>
          </w:p>
        </w:tc>
        <w:tc>
          <w:tcPr>
            <w:tcW w:w="3118" w:type="dxa"/>
          </w:tcPr>
          <w:p w14:paraId="185B8CEE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HTML-дашборд с агрегированными KPI и диаграммами.</w:t>
            </w:r>
          </w:p>
        </w:tc>
      </w:tr>
      <w:tr w:rsidR="00E86D28" w14:paraId="4ECC2466" w14:textId="77777777">
        <w:trPr>
          <w:jc w:val="center"/>
        </w:trPr>
        <w:tc>
          <w:tcPr>
            <w:tcW w:w="3118" w:type="dxa"/>
          </w:tcPr>
          <w:p w14:paraId="565A0080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AI-ассистент</w:t>
            </w:r>
          </w:p>
        </w:tc>
        <w:tc>
          <w:tcPr>
            <w:tcW w:w="3118" w:type="dxa"/>
          </w:tcPr>
          <w:p w14:paraId="55D21F7E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Подсказки по подбору и коммуникации.</w:t>
            </w:r>
          </w:p>
        </w:tc>
        <w:tc>
          <w:tcPr>
            <w:tcW w:w="3118" w:type="dxa"/>
          </w:tcPr>
          <w:p w14:paraId="790EFB50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Демонстрационный сценарий генерации рекомендаций.</w:t>
            </w:r>
          </w:p>
        </w:tc>
      </w:tr>
    </w:tbl>
    <w:p w14:paraId="089D2C1C" w14:textId="77777777" w:rsidR="00E86D28" w:rsidRDefault="00E86D28"/>
    <w:p w14:paraId="10B1D37D" w14:textId="77777777" w:rsidR="00E86D28" w:rsidRDefault="00CD2567">
      <w:pPr>
        <w:pStyle w:val="21"/>
      </w:pPr>
      <w:r>
        <w:t>3.4. Реинжиниринг бизнес-процессов агентских продаж</w:t>
      </w:r>
    </w:p>
    <w:p w14:paraId="110B276C" w14:textId="77777777" w:rsidR="00E86D28" w:rsidRDefault="00CD2567">
      <w:r>
        <w:rPr>
          <w:color w:val="000000"/>
        </w:rPr>
        <w:t>Внедрение портала требует изменения логики работы коммерческого блока. В текущей модели агент отправляет запрос менеджеру, менеджер вручную проверяет клиента, уточняет наличие лота, согласует бронь и сообщает результат. В целевой модели агент выполняет первичное действие самостоятельно, а менеджер подключается на этапах, где действительно требуется экспертное решение или подтверждение нестандартных условий.</w:t>
      </w:r>
    </w:p>
    <w:p w14:paraId="73F418DF" w14:textId="77777777" w:rsidR="00E86D28" w:rsidRDefault="00CD2567">
      <w:r>
        <w:rPr>
          <w:color w:val="000000"/>
        </w:rPr>
        <w:lastRenderedPageBreak/>
        <w:t>Целевой процесс начинается с авторизации агента и регистрации клиента. Система фиксирует время регистрации, агентство, контактные данные и интересующий объект. Далее выполняется проверка уникальности клиента: если клиент уже закреплен за другим источником, система показывает конфликтный статус; если клиент свободен, агент получает защиту сделки на регламентированный срок.</w:t>
      </w:r>
    </w:p>
    <w:p w14:paraId="766B1D84" w14:textId="77777777" w:rsidR="00E86D28" w:rsidRDefault="00CD2567">
      <w:r>
        <w:rPr>
          <w:color w:val="000000"/>
        </w:rPr>
        <w:t>После защиты сделки агент подбирает лот из актуального каталога и инициирует бронь. В идеальной архитектуре статус лота синхронизируется с Profitbase; на MVP-этапе статус хранится в демонстрационной базе. Менеджер видит заявку в кабинете и подтверждает бронь либо запрашивает уточнение. РОП в Dashboard отслеживает скорость реакции, количество активных броней, конверсию агентств и долю просроченных задач.</w:t>
      </w:r>
    </w:p>
    <w:p w14:paraId="0658508F" w14:textId="77777777" w:rsidR="00E86D28" w:rsidRDefault="00CD2567">
      <w:pPr>
        <w:ind w:firstLine="0"/>
        <w:jc w:val="center"/>
      </w:pPr>
      <w:r>
        <w:rPr>
          <w:b/>
          <w:color w:val="000000"/>
        </w:rPr>
        <w:t>Таблица 3.4 - Реинжиниринг процесса агентской продажи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3114"/>
        <w:gridCol w:w="3115"/>
        <w:gridCol w:w="3116"/>
      </w:tblGrid>
      <w:tr w:rsidR="00E86D28" w14:paraId="1E5B3D9B" w14:textId="77777777">
        <w:trPr>
          <w:jc w:val="center"/>
        </w:trPr>
        <w:tc>
          <w:tcPr>
            <w:tcW w:w="3118" w:type="dxa"/>
            <w:vAlign w:val="center"/>
          </w:tcPr>
          <w:p w14:paraId="05173E51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Этап</w:t>
            </w:r>
          </w:p>
        </w:tc>
        <w:tc>
          <w:tcPr>
            <w:tcW w:w="3118" w:type="dxa"/>
            <w:vAlign w:val="center"/>
          </w:tcPr>
          <w:p w14:paraId="67BE5E06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As-Is</w:t>
            </w:r>
          </w:p>
        </w:tc>
        <w:tc>
          <w:tcPr>
            <w:tcW w:w="3118" w:type="dxa"/>
            <w:vAlign w:val="center"/>
          </w:tcPr>
          <w:p w14:paraId="0D29F9A7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To-Be после внедрения портала</w:t>
            </w:r>
          </w:p>
        </w:tc>
      </w:tr>
      <w:tr w:rsidR="00E86D28" w14:paraId="07200D20" w14:textId="77777777">
        <w:trPr>
          <w:jc w:val="center"/>
        </w:trPr>
        <w:tc>
          <w:tcPr>
            <w:tcW w:w="3118" w:type="dxa"/>
          </w:tcPr>
          <w:p w14:paraId="2D573728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Регистрация клиента</w:t>
            </w:r>
          </w:p>
        </w:tc>
        <w:tc>
          <w:tcPr>
            <w:tcW w:w="3118" w:type="dxa"/>
          </w:tcPr>
          <w:p w14:paraId="05EBB6D4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Через мессенджер или звонок менеджеру.</w:t>
            </w:r>
          </w:p>
        </w:tc>
        <w:tc>
          <w:tcPr>
            <w:tcW w:w="3118" w:type="dxa"/>
          </w:tcPr>
          <w:p w14:paraId="3ED18675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Форма в кабинете агента с фиксацией времени и источника.</w:t>
            </w:r>
          </w:p>
        </w:tc>
      </w:tr>
      <w:tr w:rsidR="00E86D28" w14:paraId="3216A17E" w14:textId="77777777">
        <w:trPr>
          <w:jc w:val="center"/>
        </w:trPr>
        <w:tc>
          <w:tcPr>
            <w:tcW w:w="3118" w:type="dxa"/>
          </w:tcPr>
          <w:p w14:paraId="73A43733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Проверка уникальности</w:t>
            </w:r>
          </w:p>
        </w:tc>
        <w:tc>
          <w:tcPr>
            <w:tcW w:w="3118" w:type="dxa"/>
          </w:tcPr>
          <w:p w14:paraId="7DE690AA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Ручная проверка в CRM.</w:t>
            </w:r>
          </w:p>
        </w:tc>
        <w:tc>
          <w:tcPr>
            <w:tcW w:w="3118" w:type="dxa"/>
          </w:tcPr>
          <w:p w14:paraId="1148D4C1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Автоматизированная проверка по базе лидов и сделок.</w:t>
            </w:r>
          </w:p>
        </w:tc>
      </w:tr>
      <w:tr w:rsidR="00E86D28" w14:paraId="4D6A0FA5" w14:textId="77777777">
        <w:trPr>
          <w:jc w:val="center"/>
        </w:trPr>
        <w:tc>
          <w:tcPr>
            <w:tcW w:w="3118" w:type="dxa"/>
          </w:tcPr>
          <w:p w14:paraId="293E2D26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Подбор лота</w:t>
            </w:r>
          </w:p>
        </w:tc>
        <w:tc>
          <w:tcPr>
            <w:tcW w:w="3118" w:type="dxa"/>
          </w:tcPr>
          <w:p w14:paraId="5156E47E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Запрос актуальной шахматки у менеджера.</w:t>
            </w:r>
          </w:p>
        </w:tc>
        <w:tc>
          <w:tcPr>
            <w:tcW w:w="3118" w:type="dxa"/>
          </w:tcPr>
          <w:p w14:paraId="0D889FE0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Самостоятельный просмотр каталога с актуальными статусами.</w:t>
            </w:r>
          </w:p>
        </w:tc>
      </w:tr>
      <w:tr w:rsidR="00E86D28" w14:paraId="06A7CBED" w14:textId="77777777">
        <w:trPr>
          <w:jc w:val="center"/>
        </w:trPr>
        <w:tc>
          <w:tcPr>
            <w:tcW w:w="3118" w:type="dxa"/>
          </w:tcPr>
          <w:p w14:paraId="78E6FA6A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Бронь</w:t>
            </w:r>
          </w:p>
        </w:tc>
        <w:tc>
          <w:tcPr>
            <w:tcW w:w="3118" w:type="dxa"/>
          </w:tcPr>
          <w:p w14:paraId="5021ADAB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Ручное согласование и риск задержки.</w:t>
            </w:r>
          </w:p>
        </w:tc>
        <w:tc>
          <w:tcPr>
            <w:tcW w:w="3118" w:type="dxa"/>
          </w:tcPr>
          <w:p w14:paraId="37104805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Статусная заявка на бронь с SLA и уведомлением.</w:t>
            </w:r>
          </w:p>
        </w:tc>
      </w:tr>
      <w:tr w:rsidR="00E86D28" w14:paraId="634D0225" w14:textId="77777777">
        <w:trPr>
          <w:jc w:val="center"/>
        </w:trPr>
        <w:tc>
          <w:tcPr>
            <w:tcW w:w="3118" w:type="dxa"/>
          </w:tcPr>
          <w:p w14:paraId="6E46E9FC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Контроль KPI</w:t>
            </w:r>
          </w:p>
        </w:tc>
        <w:tc>
          <w:tcPr>
            <w:tcW w:w="3118" w:type="dxa"/>
          </w:tcPr>
          <w:p w14:paraId="318B4CCD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Периодическая ручная отчетность.</w:t>
            </w:r>
          </w:p>
        </w:tc>
        <w:tc>
          <w:tcPr>
            <w:tcW w:w="3118" w:type="dxa"/>
          </w:tcPr>
          <w:p w14:paraId="480E2FCF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Оперативный Dashboard РОПа.</w:t>
            </w:r>
          </w:p>
        </w:tc>
      </w:tr>
    </w:tbl>
    <w:p w14:paraId="1C583F81" w14:textId="77777777" w:rsidR="00E86D28" w:rsidRDefault="00E86D28"/>
    <w:p w14:paraId="0088E739" w14:textId="77777777" w:rsidR="00E86D28" w:rsidRDefault="00CD2567">
      <w:pPr>
        <w:pStyle w:val="21"/>
      </w:pPr>
      <w:r>
        <w:lastRenderedPageBreak/>
        <w:t>3.5. План внедрения и диаграмма Ганта</w:t>
      </w:r>
    </w:p>
    <w:p w14:paraId="1F1B2164" w14:textId="77777777" w:rsidR="00E86D28" w:rsidRDefault="00CD2567">
      <w:r>
        <w:rPr>
          <w:color w:val="000000"/>
        </w:rPr>
        <w:t>С учетом ограничений бюджета и необходимости быстро получить демонстрируемый результат проект целесообразно внедрять в четыре этапа. Первый этап связан с уточнением требований, описанием ролей и подготовкой демо-данных. Второй этап - разработка MVP и проверка ключевых сценариев. Третий этап - пилотирование с ограниченным кругом агентств. Четвертый этап - интеграция с действующими системами и промышленный запуск.</w:t>
      </w:r>
    </w:p>
    <w:p w14:paraId="6EDCCF32" w14:textId="77777777" w:rsidR="00E86D28" w:rsidRDefault="00CD2567">
      <w:r>
        <w:rPr>
          <w:color w:val="000000"/>
        </w:rPr>
        <w:t>План внедрения предполагает, что MVP может быть подготовлен в течение 4-6 недель, а пилот с агентствами - в течение 2-3 месяцев. Такой срок реалистичен, поскольку проект не требует замены Bitrix24 и Profitbase, а строится как надстройка над уже используемыми системами.</w:t>
      </w:r>
    </w:p>
    <w:p w14:paraId="28059CA7" w14:textId="77777777" w:rsidR="00E86D28" w:rsidRDefault="00CD2567">
      <w:pPr>
        <w:ind w:firstLine="0"/>
        <w:jc w:val="center"/>
      </w:pPr>
      <w:r>
        <w:rPr>
          <w:b/>
          <w:color w:val="000000"/>
        </w:rPr>
        <w:t>Таблица 3.5 - Диаграмма Ганта внедрения Resource Partner AI</w:t>
      </w:r>
    </w:p>
    <w:tbl>
      <w:tblPr>
        <w:tblStyle w:val="a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04"/>
        <w:gridCol w:w="2438"/>
        <w:gridCol w:w="453"/>
        <w:gridCol w:w="453"/>
        <w:gridCol w:w="453"/>
        <w:gridCol w:w="453"/>
        <w:gridCol w:w="2381"/>
      </w:tblGrid>
      <w:tr w:rsidR="00E86D28" w14:paraId="59CE913B" w14:textId="77777777">
        <w:trPr>
          <w:jc w:val="center"/>
        </w:trPr>
        <w:tc>
          <w:tcPr>
            <w:tcW w:w="1304" w:type="dxa"/>
            <w:vAlign w:val="center"/>
          </w:tcPr>
          <w:p w14:paraId="7A5768B0" w14:textId="77777777" w:rsidR="00873FFA" w:rsidRDefault="00050AD7">
            <w:pPr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Этап</w:t>
            </w:r>
          </w:p>
        </w:tc>
        <w:tc>
          <w:tcPr>
            <w:tcW w:w="2438" w:type="dxa"/>
            <w:vAlign w:val="center"/>
          </w:tcPr>
          <w:p w14:paraId="065826B8" w14:textId="77777777" w:rsidR="00873FFA" w:rsidRDefault="00050AD7">
            <w:pPr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Работы</w:t>
            </w:r>
          </w:p>
        </w:tc>
        <w:tc>
          <w:tcPr>
            <w:tcW w:w="453" w:type="dxa"/>
            <w:noWrap/>
            <w:vAlign w:val="center"/>
          </w:tcPr>
          <w:p w14:paraId="7ED22134" w14:textId="77777777" w:rsidR="00873FFA" w:rsidRDefault="00050AD7">
            <w:pPr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1</w:t>
            </w:r>
          </w:p>
        </w:tc>
        <w:tc>
          <w:tcPr>
            <w:tcW w:w="453" w:type="dxa"/>
            <w:noWrap/>
            <w:vAlign w:val="center"/>
          </w:tcPr>
          <w:p w14:paraId="5E50C937" w14:textId="77777777" w:rsidR="00873FFA" w:rsidRDefault="00050AD7">
            <w:pPr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2</w:t>
            </w:r>
          </w:p>
        </w:tc>
        <w:tc>
          <w:tcPr>
            <w:tcW w:w="453" w:type="dxa"/>
            <w:noWrap/>
            <w:vAlign w:val="center"/>
          </w:tcPr>
          <w:p w14:paraId="5C443099" w14:textId="77777777" w:rsidR="00873FFA" w:rsidRDefault="00050AD7">
            <w:pPr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3</w:t>
            </w:r>
          </w:p>
        </w:tc>
        <w:tc>
          <w:tcPr>
            <w:tcW w:w="453" w:type="dxa"/>
            <w:noWrap/>
            <w:vAlign w:val="center"/>
          </w:tcPr>
          <w:p w14:paraId="3F0953D2" w14:textId="77777777" w:rsidR="00873FFA" w:rsidRDefault="00050AD7">
            <w:pPr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4</w:t>
            </w:r>
          </w:p>
        </w:tc>
        <w:tc>
          <w:tcPr>
            <w:tcW w:w="2381" w:type="dxa"/>
            <w:vAlign w:val="center"/>
          </w:tcPr>
          <w:p w14:paraId="63E16AE4" w14:textId="77777777" w:rsidR="00873FFA" w:rsidRDefault="00050AD7">
            <w:pPr>
              <w:spacing w:line="240" w:lineRule="auto"/>
              <w:ind w:firstLine="0"/>
              <w:jc w:val="center"/>
            </w:pPr>
            <w:r>
              <w:rPr>
                <w:b/>
                <w:sz w:val="18"/>
              </w:rPr>
              <w:t>Итог</w:t>
            </w:r>
          </w:p>
        </w:tc>
      </w:tr>
      <w:tr w:rsidR="00E86D28" w14:paraId="1C2B5D53" w14:textId="77777777">
        <w:trPr>
          <w:jc w:val="center"/>
        </w:trPr>
        <w:tc>
          <w:tcPr>
            <w:tcW w:w="1304" w:type="dxa"/>
          </w:tcPr>
          <w:p w14:paraId="64A66D8E" w14:textId="77777777" w:rsidR="00F64C58" w:rsidRDefault="00AC0D15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1. Проектирование</w:t>
            </w:r>
          </w:p>
        </w:tc>
        <w:tc>
          <w:tcPr>
            <w:tcW w:w="2438" w:type="dxa"/>
          </w:tcPr>
          <w:p w14:paraId="5FC5DAB8" w14:textId="77777777" w:rsidR="00F64C58" w:rsidRDefault="00AC0D15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ТЗ, роли, сценарии, структура данных, требования к KPI.</w:t>
            </w:r>
          </w:p>
        </w:tc>
        <w:tc>
          <w:tcPr>
            <w:tcW w:w="453" w:type="dxa"/>
            <w:noWrap/>
          </w:tcPr>
          <w:p w14:paraId="4464A188" w14:textId="77777777" w:rsidR="00F64C58" w:rsidRDefault="00AC0D15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X</w:t>
            </w:r>
          </w:p>
        </w:tc>
        <w:tc>
          <w:tcPr>
            <w:tcW w:w="453" w:type="dxa"/>
            <w:noWrap/>
          </w:tcPr>
          <w:p w14:paraId="6395AC54" w14:textId="77777777" w:rsidR="00F64C58" w:rsidRDefault="00F64C58">
            <w:pPr>
              <w:spacing w:line="240" w:lineRule="auto"/>
              <w:ind w:firstLine="0"/>
              <w:jc w:val="center"/>
            </w:pPr>
          </w:p>
        </w:tc>
        <w:tc>
          <w:tcPr>
            <w:tcW w:w="453" w:type="dxa"/>
            <w:noWrap/>
          </w:tcPr>
          <w:p w14:paraId="00010F20" w14:textId="77777777" w:rsidR="00F64C58" w:rsidRDefault="00F64C58">
            <w:pPr>
              <w:spacing w:line="240" w:lineRule="auto"/>
              <w:ind w:firstLine="0"/>
              <w:jc w:val="center"/>
            </w:pPr>
          </w:p>
        </w:tc>
        <w:tc>
          <w:tcPr>
            <w:tcW w:w="453" w:type="dxa"/>
            <w:noWrap/>
          </w:tcPr>
          <w:p w14:paraId="43ADF4B9" w14:textId="77777777" w:rsidR="00F64C58" w:rsidRDefault="00F64C58">
            <w:pPr>
              <w:spacing w:line="240" w:lineRule="auto"/>
              <w:ind w:firstLine="0"/>
              <w:jc w:val="center"/>
            </w:pPr>
          </w:p>
        </w:tc>
        <w:tc>
          <w:tcPr>
            <w:tcW w:w="2381" w:type="dxa"/>
          </w:tcPr>
          <w:p w14:paraId="03923C99" w14:textId="77777777" w:rsidR="00F64C58" w:rsidRDefault="00AC0D15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Согласованное ТЗ и прототип процессов.</w:t>
            </w:r>
          </w:p>
        </w:tc>
      </w:tr>
      <w:tr w:rsidR="00E86D28" w14:paraId="08618151" w14:textId="77777777">
        <w:trPr>
          <w:jc w:val="center"/>
        </w:trPr>
        <w:tc>
          <w:tcPr>
            <w:tcW w:w="1304" w:type="dxa"/>
          </w:tcPr>
          <w:p w14:paraId="46A80548" w14:textId="77777777" w:rsidR="00F64C58" w:rsidRDefault="00AC0D15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2. MVP</w:t>
            </w:r>
          </w:p>
        </w:tc>
        <w:tc>
          <w:tcPr>
            <w:tcW w:w="2438" w:type="dxa"/>
          </w:tcPr>
          <w:p w14:paraId="36DF639D" w14:textId="77777777" w:rsidR="00F64C58" w:rsidRDefault="00AC0D15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Кабинеты агента, менеджера и РОПа, каталог и защита сделки.</w:t>
            </w:r>
          </w:p>
        </w:tc>
        <w:tc>
          <w:tcPr>
            <w:tcW w:w="453" w:type="dxa"/>
            <w:noWrap/>
          </w:tcPr>
          <w:p w14:paraId="32FD4A50" w14:textId="77777777" w:rsidR="00F64C58" w:rsidRDefault="00AC0D15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X</w:t>
            </w:r>
          </w:p>
        </w:tc>
        <w:tc>
          <w:tcPr>
            <w:tcW w:w="453" w:type="dxa"/>
            <w:noWrap/>
          </w:tcPr>
          <w:p w14:paraId="3A18B575" w14:textId="77777777" w:rsidR="00F64C58" w:rsidRDefault="00AC0D15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X</w:t>
            </w:r>
          </w:p>
        </w:tc>
        <w:tc>
          <w:tcPr>
            <w:tcW w:w="453" w:type="dxa"/>
            <w:noWrap/>
          </w:tcPr>
          <w:p w14:paraId="60F60D8A" w14:textId="77777777" w:rsidR="00F64C58" w:rsidRDefault="00F64C58">
            <w:pPr>
              <w:spacing w:line="240" w:lineRule="auto"/>
              <w:ind w:firstLine="0"/>
              <w:jc w:val="center"/>
            </w:pPr>
          </w:p>
        </w:tc>
        <w:tc>
          <w:tcPr>
            <w:tcW w:w="453" w:type="dxa"/>
            <w:noWrap/>
          </w:tcPr>
          <w:p w14:paraId="5A723E46" w14:textId="77777777" w:rsidR="00F64C58" w:rsidRDefault="00F64C58">
            <w:pPr>
              <w:spacing w:line="240" w:lineRule="auto"/>
              <w:ind w:firstLine="0"/>
              <w:jc w:val="center"/>
            </w:pPr>
          </w:p>
        </w:tc>
        <w:tc>
          <w:tcPr>
            <w:tcW w:w="2381" w:type="dxa"/>
          </w:tcPr>
          <w:p w14:paraId="6BCBE6C8" w14:textId="77777777" w:rsidR="00F64C58" w:rsidRDefault="00AC0D15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Рабочий прототип для демонстрации.</w:t>
            </w:r>
          </w:p>
        </w:tc>
      </w:tr>
      <w:tr w:rsidR="00E86D28" w14:paraId="4A7C4C09" w14:textId="77777777">
        <w:trPr>
          <w:jc w:val="center"/>
        </w:trPr>
        <w:tc>
          <w:tcPr>
            <w:tcW w:w="1304" w:type="dxa"/>
          </w:tcPr>
          <w:p w14:paraId="1FAAC13E" w14:textId="77777777" w:rsidR="00F64C58" w:rsidRDefault="00AC0D15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3. Тестирование</w:t>
            </w:r>
          </w:p>
        </w:tc>
        <w:tc>
          <w:tcPr>
            <w:tcW w:w="2438" w:type="dxa"/>
          </w:tcPr>
          <w:p w14:paraId="74C41F91" w14:textId="77777777" w:rsidR="00F64C58" w:rsidRDefault="00AC0D15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Демо-данные: объекты, лиды, агентства; проверка сценариев.</w:t>
            </w:r>
          </w:p>
        </w:tc>
        <w:tc>
          <w:tcPr>
            <w:tcW w:w="453" w:type="dxa"/>
            <w:noWrap/>
          </w:tcPr>
          <w:p w14:paraId="22FBF8C9" w14:textId="77777777" w:rsidR="00F64C58" w:rsidRDefault="00F64C58">
            <w:pPr>
              <w:spacing w:line="240" w:lineRule="auto"/>
              <w:ind w:firstLine="0"/>
              <w:jc w:val="center"/>
            </w:pPr>
          </w:p>
        </w:tc>
        <w:tc>
          <w:tcPr>
            <w:tcW w:w="453" w:type="dxa"/>
            <w:noWrap/>
          </w:tcPr>
          <w:p w14:paraId="3783FB48" w14:textId="77777777" w:rsidR="00F64C58" w:rsidRDefault="00AC0D15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X</w:t>
            </w:r>
          </w:p>
        </w:tc>
        <w:tc>
          <w:tcPr>
            <w:tcW w:w="453" w:type="dxa"/>
            <w:noWrap/>
          </w:tcPr>
          <w:p w14:paraId="5D4BBED7" w14:textId="77777777" w:rsidR="00F64C58" w:rsidRDefault="00F64C58">
            <w:pPr>
              <w:spacing w:line="240" w:lineRule="auto"/>
              <w:ind w:firstLine="0"/>
              <w:jc w:val="center"/>
            </w:pPr>
          </w:p>
        </w:tc>
        <w:tc>
          <w:tcPr>
            <w:tcW w:w="453" w:type="dxa"/>
            <w:noWrap/>
          </w:tcPr>
          <w:p w14:paraId="3DE51519" w14:textId="77777777" w:rsidR="00F64C58" w:rsidRDefault="00F64C58">
            <w:pPr>
              <w:spacing w:line="240" w:lineRule="auto"/>
              <w:ind w:firstLine="0"/>
              <w:jc w:val="center"/>
            </w:pPr>
          </w:p>
        </w:tc>
        <w:tc>
          <w:tcPr>
            <w:tcW w:w="2381" w:type="dxa"/>
          </w:tcPr>
          <w:p w14:paraId="18673581" w14:textId="77777777" w:rsidR="00F64C58" w:rsidRDefault="00AC0D15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MVP без критичных ошибок.</w:t>
            </w:r>
          </w:p>
        </w:tc>
      </w:tr>
      <w:tr w:rsidR="00E86D28" w14:paraId="12A1C3CC" w14:textId="77777777">
        <w:trPr>
          <w:jc w:val="center"/>
        </w:trPr>
        <w:tc>
          <w:tcPr>
            <w:tcW w:w="1304" w:type="dxa"/>
          </w:tcPr>
          <w:p w14:paraId="1D7DDBA0" w14:textId="77777777" w:rsidR="00F64C58" w:rsidRDefault="00AC0D15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4. Пилот</w:t>
            </w:r>
          </w:p>
        </w:tc>
        <w:tc>
          <w:tcPr>
            <w:tcW w:w="2438" w:type="dxa"/>
          </w:tcPr>
          <w:p w14:paraId="005F4140" w14:textId="77777777" w:rsidR="00F64C58" w:rsidRDefault="00AC0D15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Подключение 5-10 агентств, сбор обратной связи, корректировка UX.</w:t>
            </w:r>
          </w:p>
        </w:tc>
        <w:tc>
          <w:tcPr>
            <w:tcW w:w="453" w:type="dxa"/>
            <w:noWrap/>
          </w:tcPr>
          <w:p w14:paraId="6156E999" w14:textId="77777777" w:rsidR="00F64C58" w:rsidRDefault="00F64C58">
            <w:pPr>
              <w:spacing w:line="240" w:lineRule="auto"/>
              <w:ind w:firstLine="0"/>
              <w:jc w:val="center"/>
            </w:pPr>
          </w:p>
        </w:tc>
        <w:tc>
          <w:tcPr>
            <w:tcW w:w="453" w:type="dxa"/>
            <w:noWrap/>
          </w:tcPr>
          <w:p w14:paraId="5E4C7902" w14:textId="77777777" w:rsidR="00F64C58" w:rsidRDefault="00AC0D15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X</w:t>
            </w:r>
          </w:p>
        </w:tc>
        <w:tc>
          <w:tcPr>
            <w:tcW w:w="453" w:type="dxa"/>
            <w:noWrap/>
          </w:tcPr>
          <w:p w14:paraId="36CB3591" w14:textId="77777777" w:rsidR="00F64C58" w:rsidRDefault="00AC0D15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X</w:t>
            </w:r>
          </w:p>
        </w:tc>
        <w:tc>
          <w:tcPr>
            <w:tcW w:w="453" w:type="dxa"/>
            <w:noWrap/>
          </w:tcPr>
          <w:p w14:paraId="2CD2CE79" w14:textId="77777777" w:rsidR="00F64C58" w:rsidRDefault="00F64C58">
            <w:pPr>
              <w:spacing w:line="240" w:lineRule="auto"/>
              <w:ind w:firstLine="0"/>
              <w:jc w:val="center"/>
            </w:pPr>
          </w:p>
        </w:tc>
        <w:tc>
          <w:tcPr>
            <w:tcW w:w="2381" w:type="dxa"/>
          </w:tcPr>
          <w:p w14:paraId="2E47C6C8" w14:textId="77777777" w:rsidR="00F64C58" w:rsidRDefault="00AC0D15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Подтверждение удобства и регламентов.</w:t>
            </w:r>
          </w:p>
        </w:tc>
      </w:tr>
      <w:tr w:rsidR="00E86D28" w14:paraId="1D515B46" w14:textId="77777777">
        <w:trPr>
          <w:jc w:val="center"/>
        </w:trPr>
        <w:tc>
          <w:tcPr>
            <w:tcW w:w="1304" w:type="dxa"/>
          </w:tcPr>
          <w:p w14:paraId="62E1141E" w14:textId="77777777" w:rsidR="00F64C58" w:rsidRDefault="00AC0D15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5. Интеграции</w:t>
            </w:r>
          </w:p>
        </w:tc>
        <w:tc>
          <w:tcPr>
            <w:tcW w:w="2438" w:type="dxa"/>
          </w:tcPr>
          <w:p w14:paraId="6FCDA6C6" w14:textId="77777777" w:rsidR="00F64C58" w:rsidRDefault="00AC0D15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Bitrix24 REST API, синхронизация статусов Profitbase.</w:t>
            </w:r>
          </w:p>
        </w:tc>
        <w:tc>
          <w:tcPr>
            <w:tcW w:w="453" w:type="dxa"/>
            <w:noWrap/>
          </w:tcPr>
          <w:p w14:paraId="3F83FF01" w14:textId="77777777" w:rsidR="00F64C58" w:rsidRDefault="00F64C58">
            <w:pPr>
              <w:spacing w:line="240" w:lineRule="auto"/>
              <w:ind w:firstLine="0"/>
              <w:jc w:val="center"/>
            </w:pPr>
          </w:p>
        </w:tc>
        <w:tc>
          <w:tcPr>
            <w:tcW w:w="453" w:type="dxa"/>
            <w:noWrap/>
          </w:tcPr>
          <w:p w14:paraId="45DA939E" w14:textId="77777777" w:rsidR="00F64C58" w:rsidRDefault="00F64C58">
            <w:pPr>
              <w:spacing w:line="240" w:lineRule="auto"/>
              <w:ind w:firstLine="0"/>
              <w:jc w:val="center"/>
            </w:pPr>
          </w:p>
        </w:tc>
        <w:tc>
          <w:tcPr>
            <w:tcW w:w="453" w:type="dxa"/>
            <w:noWrap/>
          </w:tcPr>
          <w:p w14:paraId="6D5DEE76" w14:textId="77777777" w:rsidR="00F64C58" w:rsidRDefault="00AC0D15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X</w:t>
            </w:r>
          </w:p>
        </w:tc>
        <w:tc>
          <w:tcPr>
            <w:tcW w:w="453" w:type="dxa"/>
            <w:noWrap/>
          </w:tcPr>
          <w:p w14:paraId="47920B72" w14:textId="77777777" w:rsidR="00F64C58" w:rsidRDefault="00AC0D15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X</w:t>
            </w:r>
          </w:p>
        </w:tc>
        <w:tc>
          <w:tcPr>
            <w:tcW w:w="2381" w:type="dxa"/>
          </w:tcPr>
          <w:p w14:paraId="48CDE184" w14:textId="77777777" w:rsidR="00F64C58" w:rsidRDefault="00AC0D15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Обмен данными с базовыми системами.</w:t>
            </w:r>
          </w:p>
        </w:tc>
      </w:tr>
      <w:tr w:rsidR="00E86D28" w14:paraId="16BD3957" w14:textId="77777777">
        <w:trPr>
          <w:jc w:val="center"/>
        </w:trPr>
        <w:tc>
          <w:tcPr>
            <w:tcW w:w="1304" w:type="dxa"/>
          </w:tcPr>
          <w:p w14:paraId="5527497F" w14:textId="77777777" w:rsidR="00F64C58" w:rsidRDefault="00AC0D15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6. Запуск</w:t>
            </w:r>
          </w:p>
        </w:tc>
        <w:tc>
          <w:tcPr>
            <w:tcW w:w="2438" w:type="dxa"/>
          </w:tcPr>
          <w:p w14:paraId="5F3B6866" w14:textId="77777777" w:rsidR="00F64C58" w:rsidRDefault="00AC0D15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Обучение менеджеров и агентств, KPI-регламент, поддержка.</w:t>
            </w:r>
          </w:p>
        </w:tc>
        <w:tc>
          <w:tcPr>
            <w:tcW w:w="453" w:type="dxa"/>
            <w:noWrap/>
          </w:tcPr>
          <w:p w14:paraId="0520F40A" w14:textId="77777777" w:rsidR="00F64C58" w:rsidRDefault="00F64C58">
            <w:pPr>
              <w:spacing w:line="240" w:lineRule="auto"/>
              <w:ind w:firstLine="0"/>
              <w:jc w:val="center"/>
            </w:pPr>
          </w:p>
        </w:tc>
        <w:tc>
          <w:tcPr>
            <w:tcW w:w="453" w:type="dxa"/>
            <w:noWrap/>
          </w:tcPr>
          <w:p w14:paraId="5C3ED516" w14:textId="77777777" w:rsidR="00F64C58" w:rsidRDefault="00F64C58">
            <w:pPr>
              <w:spacing w:line="240" w:lineRule="auto"/>
              <w:ind w:firstLine="0"/>
              <w:jc w:val="center"/>
            </w:pPr>
          </w:p>
        </w:tc>
        <w:tc>
          <w:tcPr>
            <w:tcW w:w="453" w:type="dxa"/>
            <w:noWrap/>
          </w:tcPr>
          <w:p w14:paraId="71818255" w14:textId="77777777" w:rsidR="00F64C58" w:rsidRDefault="00F64C58">
            <w:pPr>
              <w:spacing w:line="240" w:lineRule="auto"/>
              <w:ind w:firstLine="0"/>
              <w:jc w:val="center"/>
            </w:pPr>
          </w:p>
        </w:tc>
        <w:tc>
          <w:tcPr>
            <w:tcW w:w="453" w:type="dxa"/>
            <w:noWrap/>
          </w:tcPr>
          <w:p w14:paraId="1071F2D0" w14:textId="77777777" w:rsidR="00F64C58" w:rsidRDefault="00AC0D15">
            <w:pPr>
              <w:spacing w:line="240" w:lineRule="auto"/>
              <w:ind w:firstLine="0"/>
              <w:jc w:val="center"/>
            </w:pPr>
            <w:r>
              <w:rPr>
                <w:sz w:val="18"/>
              </w:rPr>
              <w:t>X</w:t>
            </w:r>
          </w:p>
        </w:tc>
        <w:tc>
          <w:tcPr>
            <w:tcW w:w="2381" w:type="dxa"/>
          </w:tcPr>
          <w:p w14:paraId="7E7CD9D2" w14:textId="77777777" w:rsidR="00F64C58" w:rsidRDefault="00AC0D15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Регулярная эксплуатация.</w:t>
            </w:r>
          </w:p>
        </w:tc>
      </w:tr>
    </w:tbl>
    <w:p w14:paraId="744D6F62" w14:textId="77777777" w:rsidR="00E86D28" w:rsidRDefault="00E86D28"/>
    <w:p w14:paraId="59B6E5F5" w14:textId="77777777" w:rsidR="00E86D28" w:rsidRDefault="00CD2567">
      <w:pPr>
        <w:pStyle w:val="21"/>
      </w:pPr>
      <w:r>
        <w:t>3.6. Ожидаемые результаты внедрения и экономический эффект</w:t>
      </w:r>
    </w:p>
    <w:p w14:paraId="58A0BC72" w14:textId="77777777" w:rsidR="00E86D28" w:rsidRDefault="00CD2567">
      <w:r>
        <w:rPr>
          <w:color w:val="000000"/>
        </w:rPr>
        <w:t xml:space="preserve">Экономический эффект проекта формируется не только за счет прямого роста выручки, но и за счет снижения управленческих потерь. Портал уменьшает время на ручную обработку запросов, снижает вероятность потери теплого клиента, повышает прозрачность агентского канала и позволяет </w:t>
      </w:r>
      <w:r>
        <w:rPr>
          <w:color w:val="000000"/>
        </w:rPr>
        <w:lastRenderedPageBreak/>
        <w:t>перераспределить маркетинговый бюджет в пользу каналов с оплатой за результат.</w:t>
      </w:r>
    </w:p>
    <w:p w14:paraId="296A5674" w14:textId="77777777" w:rsidR="00E86D28" w:rsidRDefault="00CD2567">
      <w:r>
        <w:rPr>
          <w:color w:val="000000"/>
        </w:rPr>
        <w:t>Базовый прогноз строится на повышении конверсии с 2,11% до 4,5%. При объеме 5858 лидов такой рост означает увеличение числа успешных сделок примерно до 263. Дополнительный прирост составит 139 сделок по сравнению с 2025 г. Даже при более консервативном среднем чеке 6,5 млн руб. потенциальный дополнительный оборот составляет 903,5 млн руб. Данный показатель является расчетным ориентиром, а не гарантированным результатом, поскольку зависит от ассортимента, цен, макроэкономики и дисциплины внедрения.</w:t>
      </w:r>
    </w:p>
    <w:p w14:paraId="6F836F56" w14:textId="77777777" w:rsidR="00E86D28" w:rsidRDefault="00CD2567">
      <w:r>
        <w:rPr>
          <w:color w:val="000000"/>
        </w:rPr>
        <w:t>Для оценки окупаемости можно использовать более осторожный сценарий. Если внедрение портала позволит обеспечить дополнительно хотя бы 10 сделок по среднему чеку 8 млн руб., прирост выручки составит 80 млн руб. При агентской комиссии 4% переменные выплаты составят 3,2 млн руб., однако они возникают только при фактической продаже. При бюджете разработки MVP и пилота 1,5-2,2 млн руб. проект окупается при 3-5 дополнительных сделках.</w:t>
      </w:r>
    </w:p>
    <w:p w14:paraId="20533639" w14:textId="77777777" w:rsidR="00E86D28" w:rsidRDefault="00CD2567">
      <w:pPr>
        <w:ind w:firstLine="0"/>
        <w:jc w:val="center"/>
      </w:pPr>
      <w:r>
        <w:rPr>
          <w:b/>
          <w:color w:val="000000"/>
        </w:rPr>
        <w:t>Таблица 3.6 - Ожидаемые результаты внедрения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337"/>
        <w:gridCol w:w="2332"/>
        <w:gridCol w:w="2338"/>
        <w:gridCol w:w="2338"/>
      </w:tblGrid>
      <w:tr w:rsidR="00E86D28" w14:paraId="00AA4BD4" w14:textId="77777777">
        <w:trPr>
          <w:jc w:val="center"/>
        </w:trPr>
        <w:tc>
          <w:tcPr>
            <w:tcW w:w="2339" w:type="dxa"/>
            <w:vAlign w:val="center"/>
          </w:tcPr>
          <w:p w14:paraId="3353E57A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Показатель</w:t>
            </w:r>
          </w:p>
        </w:tc>
        <w:tc>
          <w:tcPr>
            <w:tcW w:w="2339" w:type="dxa"/>
            <w:vAlign w:val="center"/>
          </w:tcPr>
          <w:p w14:paraId="349738B6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As-Is 2025</w:t>
            </w:r>
          </w:p>
        </w:tc>
        <w:tc>
          <w:tcPr>
            <w:tcW w:w="2339" w:type="dxa"/>
            <w:vAlign w:val="center"/>
          </w:tcPr>
          <w:p w14:paraId="28676B38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To-Be 2026</w:t>
            </w:r>
          </w:p>
        </w:tc>
        <w:tc>
          <w:tcPr>
            <w:tcW w:w="2339" w:type="dxa"/>
            <w:vAlign w:val="center"/>
          </w:tcPr>
          <w:p w14:paraId="228919AA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Ожидаемый эффект</w:t>
            </w:r>
          </w:p>
        </w:tc>
      </w:tr>
      <w:tr w:rsidR="00E86D28" w14:paraId="16BFD903" w14:textId="77777777">
        <w:trPr>
          <w:jc w:val="center"/>
        </w:trPr>
        <w:tc>
          <w:tcPr>
            <w:tcW w:w="2339" w:type="dxa"/>
          </w:tcPr>
          <w:p w14:paraId="202BB8EB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Выручка</w:t>
            </w:r>
          </w:p>
        </w:tc>
        <w:tc>
          <w:tcPr>
            <w:tcW w:w="2339" w:type="dxa"/>
          </w:tcPr>
          <w:p w14:paraId="4861CBFD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606,4 млн руб.</w:t>
            </w:r>
          </w:p>
        </w:tc>
        <w:tc>
          <w:tcPr>
            <w:tcW w:w="2339" w:type="dxa"/>
          </w:tcPr>
          <w:p w14:paraId="6ADB8C3A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1 000 млн руб.</w:t>
            </w:r>
          </w:p>
        </w:tc>
        <w:tc>
          <w:tcPr>
            <w:tcW w:w="2339" w:type="dxa"/>
          </w:tcPr>
          <w:p w14:paraId="039F7107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Восстановление до целевого уровня.</w:t>
            </w:r>
          </w:p>
        </w:tc>
      </w:tr>
      <w:tr w:rsidR="00E86D28" w14:paraId="25CC3FAA" w14:textId="77777777">
        <w:trPr>
          <w:jc w:val="center"/>
        </w:trPr>
        <w:tc>
          <w:tcPr>
            <w:tcW w:w="2339" w:type="dxa"/>
          </w:tcPr>
          <w:p w14:paraId="58F4F5CB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Конверсия лидов в продажи</w:t>
            </w:r>
          </w:p>
        </w:tc>
        <w:tc>
          <w:tcPr>
            <w:tcW w:w="2339" w:type="dxa"/>
          </w:tcPr>
          <w:p w14:paraId="4886654E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2,11%</w:t>
            </w:r>
          </w:p>
        </w:tc>
        <w:tc>
          <w:tcPr>
            <w:tcW w:w="2339" w:type="dxa"/>
          </w:tcPr>
          <w:p w14:paraId="66E94523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4,5%</w:t>
            </w:r>
          </w:p>
        </w:tc>
        <w:tc>
          <w:tcPr>
            <w:tcW w:w="2339" w:type="dxa"/>
          </w:tcPr>
          <w:p w14:paraId="1E0E4DD2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Рост более чем в 2 раза за счет качества обработки.</w:t>
            </w:r>
          </w:p>
        </w:tc>
      </w:tr>
      <w:tr w:rsidR="00E86D28" w14:paraId="0EF9C1E0" w14:textId="77777777">
        <w:trPr>
          <w:jc w:val="center"/>
        </w:trPr>
        <w:tc>
          <w:tcPr>
            <w:tcW w:w="2339" w:type="dxa"/>
          </w:tcPr>
          <w:p w14:paraId="27B33673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Доля агентских сделок</w:t>
            </w:r>
          </w:p>
        </w:tc>
        <w:tc>
          <w:tcPr>
            <w:tcW w:w="2339" w:type="dxa"/>
          </w:tcPr>
          <w:p w14:paraId="213C9D84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77,5%</w:t>
            </w:r>
          </w:p>
        </w:tc>
        <w:tc>
          <w:tcPr>
            <w:tcW w:w="2339" w:type="dxa"/>
          </w:tcPr>
          <w:p w14:paraId="2D738C39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90-95%</w:t>
            </w:r>
          </w:p>
        </w:tc>
        <w:tc>
          <w:tcPr>
            <w:tcW w:w="2339" w:type="dxa"/>
          </w:tcPr>
          <w:p w14:paraId="44D7342F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Усиление канала с оплатой за результат.</w:t>
            </w:r>
          </w:p>
        </w:tc>
      </w:tr>
      <w:tr w:rsidR="00E86D28" w14:paraId="0DABFC2D" w14:textId="77777777">
        <w:trPr>
          <w:jc w:val="center"/>
        </w:trPr>
        <w:tc>
          <w:tcPr>
            <w:tcW w:w="2339" w:type="dxa"/>
          </w:tcPr>
          <w:p w14:paraId="1E8F56D7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Время подтверждения статуса лота</w:t>
            </w:r>
          </w:p>
        </w:tc>
        <w:tc>
          <w:tcPr>
            <w:tcW w:w="2339" w:type="dxa"/>
          </w:tcPr>
          <w:p w14:paraId="7C032CE0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До нескольких часов при ручной коммуникации.</w:t>
            </w:r>
          </w:p>
        </w:tc>
        <w:tc>
          <w:tcPr>
            <w:tcW w:w="2339" w:type="dxa"/>
          </w:tcPr>
          <w:p w14:paraId="20DD851D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Минуты при доступе к каталогу и статусам.</w:t>
            </w:r>
          </w:p>
        </w:tc>
        <w:tc>
          <w:tcPr>
            <w:tcW w:w="2339" w:type="dxa"/>
          </w:tcPr>
          <w:p w14:paraId="6D486733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Снижение потери теплых клиентов.</w:t>
            </w:r>
          </w:p>
        </w:tc>
      </w:tr>
      <w:tr w:rsidR="00E86D28" w14:paraId="4A4D5148" w14:textId="77777777">
        <w:trPr>
          <w:jc w:val="center"/>
        </w:trPr>
        <w:tc>
          <w:tcPr>
            <w:tcW w:w="2339" w:type="dxa"/>
          </w:tcPr>
          <w:p w14:paraId="19F60C83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lastRenderedPageBreak/>
              <w:t>Управленческая отчетность</w:t>
            </w:r>
          </w:p>
        </w:tc>
        <w:tc>
          <w:tcPr>
            <w:tcW w:w="2339" w:type="dxa"/>
          </w:tcPr>
          <w:p w14:paraId="0F4ABFFB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Ручная консолидация.</w:t>
            </w:r>
          </w:p>
        </w:tc>
        <w:tc>
          <w:tcPr>
            <w:tcW w:w="2339" w:type="dxa"/>
          </w:tcPr>
          <w:p w14:paraId="41B3B11D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Dashboard РОПа.</w:t>
            </w:r>
          </w:p>
        </w:tc>
        <w:tc>
          <w:tcPr>
            <w:tcW w:w="2339" w:type="dxa"/>
          </w:tcPr>
          <w:p w14:paraId="259E7077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Оперативное управление KPI.</w:t>
            </w:r>
          </w:p>
        </w:tc>
      </w:tr>
      <w:tr w:rsidR="00E86D28" w14:paraId="1F8A19E3" w14:textId="77777777">
        <w:trPr>
          <w:jc w:val="center"/>
        </w:trPr>
        <w:tc>
          <w:tcPr>
            <w:tcW w:w="2339" w:type="dxa"/>
          </w:tcPr>
          <w:p w14:paraId="13341F03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Рекламный риск</w:t>
            </w:r>
          </w:p>
        </w:tc>
        <w:tc>
          <w:tcPr>
            <w:tcW w:w="2339" w:type="dxa"/>
          </w:tcPr>
          <w:p w14:paraId="51966020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Высокий авансовый бюджет в digital.</w:t>
            </w:r>
          </w:p>
        </w:tc>
        <w:tc>
          <w:tcPr>
            <w:tcW w:w="2339" w:type="dxa"/>
          </w:tcPr>
          <w:p w14:paraId="10F281A5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Перераспределение в success fee.</w:t>
            </w:r>
          </w:p>
        </w:tc>
        <w:tc>
          <w:tcPr>
            <w:tcW w:w="2339" w:type="dxa"/>
          </w:tcPr>
          <w:p w14:paraId="42645E80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Снижение риска неэффективных затрат.</w:t>
            </w:r>
          </w:p>
        </w:tc>
      </w:tr>
    </w:tbl>
    <w:p w14:paraId="100FD496" w14:textId="77777777" w:rsidR="00E86D28" w:rsidRDefault="00E86D28"/>
    <w:p w14:paraId="4A5B3E08" w14:textId="77777777" w:rsidR="00E86D28" w:rsidRDefault="00CD2567">
      <w:pPr>
        <w:ind w:firstLine="0"/>
        <w:jc w:val="center"/>
      </w:pPr>
      <w:r>
        <w:rPr>
          <w:b/>
          <w:color w:val="000000"/>
        </w:rPr>
        <w:t>Таблица 3.7 - Оценка бюджета внедрения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4"/>
        <w:gridCol w:w="3116"/>
      </w:tblGrid>
      <w:tr w:rsidR="00E86D28" w14:paraId="2C0A5494" w14:textId="77777777">
        <w:trPr>
          <w:jc w:val="center"/>
        </w:trPr>
        <w:tc>
          <w:tcPr>
            <w:tcW w:w="3118" w:type="dxa"/>
            <w:vAlign w:val="center"/>
          </w:tcPr>
          <w:p w14:paraId="296793F2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Статья</w:t>
            </w:r>
          </w:p>
        </w:tc>
        <w:tc>
          <w:tcPr>
            <w:tcW w:w="3118" w:type="dxa"/>
            <w:vAlign w:val="center"/>
          </w:tcPr>
          <w:p w14:paraId="05A378FE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Оценка</w:t>
            </w:r>
          </w:p>
        </w:tc>
        <w:tc>
          <w:tcPr>
            <w:tcW w:w="3118" w:type="dxa"/>
            <w:vAlign w:val="center"/>
          </w:tcPr>
          <w:p w14:paraId="6B656616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Комментарий</w:t>
            </w:r>
          </w:p>
        </w:tc>
      </w:tr>
      <w:tr w:rsidR="00E86D28" w14:paraId="5D32F6D8" w14:textId="77777777">
        <w:trPr>
          <w:jc w:val="center"/>
        </w:trPr>
        <w:tc>
          <w:tcPr>
            <w:tcW w:w="3118" w:type="dxa"/>
          </w:tcPr>
          <w:p w14:paraId="235B6B8A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Разработка MVP</w:t>
            </w:r>
          </w:p>
        </w:tc>
        <w:tc>
          <w:tcPr>
            <w:tcW w:w="3118" w:type="dxa"/>
          </w:tcPr>
          <w:p w14:paraId="05394256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0,6-0,9 млн руб.</w:t>
            </w:r>
          </w:p>
        </w:tc>
        <w:tc>
          <w:tcPr>
            <w:tcW w:w="3118" w:type="dxa"/>
          </w:tcPr>
          <w:p w14:paraId="00B28F60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Прототип на Python/Django, базовые роли и сценарии.</w:t>
            </w:r>
          </w:p>
        </w:tc>
      </w:tr>
      <w:tr w:rsidR="00E86D28" w14:paraId="0AE7A44F" w14:textId="77777777">
        <w:trPr>
          <w:jc w:val="center"/>
        </w:trPr>
        <w:tc>
          <w:tcPr>
            <w:tcW w:w="3118" w:type="dxa"/>
          </w:tcPr>
          <w:p w14:paraId="07349351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Пилот и доработка UX</w:t>
            </w:r>
          </w:p>
        </w:tc>
        <w:tc>
          <w:tcPr>
            <w:tcW w:w="3118" w:type="dxa"/>
          </w:tcPr>
          <w:p w14:paraId="07043703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0,3-0,5 млн руб.</w:t>
            </w:r>
          </w:p>
        </w:tc>
        <w:tc>
          <w:tcPr>
            <w:tcW w:w="3118" w:type="dxa"/>
          </w:tcPr>
          <w:p w14:paraId="47BF247D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Адаптация по обратной связи агентств и менеджеров.</w:t>
            </w:r>
          </w:p>
        </w:tc>
      </w:tr>
      <w:tr w:rsidR="00E86D28" w14:paraId="4F199577" w14:textId="77777777">
        <w:trPr>
          <w:jc w:val="center"/>
        </w:trPr>
        <w:tc>
          <w:tcPr>
            <w:tcW w:w="3118" w:type="dxa"/>
          </w:tcPr>
          <w:p w14:paraId="73971674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Интеграции</w:t>
            </w:r>
          </w:p>
        </w:tc>
        <w:tc>
          <w:tcPr>
            <w:tcW w:w="3118" w:type="dxa"/>
          </w:tcPr>
          <w:p w14:paraId="06456358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0,4-0,6 млн руб.</w:t>
            </w:r>
          </w:p>
        </w:tc>
        <w:tc>
          <w:tcPr>
            <w:tcW w:w="3118" w:type="dxa"/>
          </w:tcPr>
          <w:p w14:paraId="2F00DC8B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Bitrix24 REST API, подготовка обмена с Profitbase.</w:t>
            </w:r>
          </w:p>
        </w:tc>
      </w:tr>
      <w:tr w:rsidR="00E86D28" w14:paraId="583D39EC" w14:textId="77777777">
        <w:trPr>
          <w:jc w:val="center"/>
        </w:trPr>
        <w:tc>
          <w:tcPr>
            <w:tcW w:w="3118" w:type="dxa"/>
          </w:tcPr>
          <w:p w14:paraId="2387CF53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Обучение и запуск</w:t>
            </w:r>
          </w:p>
        </w:tc>
        <w:tc>
          <w:tcPr>
            <w:tcW w:w="3118" w:type="dxa"/>
          </w:tcPr>
          <w:p w14:paraId="2C295581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0,2 млн руб.</w:t>
            </w:r>
          </w:p>
        </w:tc>
        <w:tc>
          <w:tcPr>
            <w:tcW w:w="3118" w:type="dxa"/>
          </w:tcPr>
          <w:p w14:paraId="48C2121A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Регламенты, инструкции, ввод партнеров.</w:t>
            </w:r>
          </w:p>
        </w:tc>
      </w:tr>
      <w:tr w:rsidR="00E86D28" w14:paraId="29AD0BA7" w14:textId="77777777">
        <w:trPr>
          <w:jc w:val="center"/>
        </w:trPr>
        <w:tc>
          <w:tcPr>
            <w:tcW w:w="3118" w:type="dxa"/>
          </w:tcPr>
          <w:p w14:paraId="3FE401B4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Итого</w:t>
            </w:r>
          </w:p>
        </w:tc>
        <w:tc>
          <w:tcPr>
            <w:tcW w:w="3118" w:type="dxa"/>
          </w:tcPr>
          <w:p w14:paraId="2922309B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1,5-2,2 млн руб.</w:t>
            </w:r>
          </w:p>
        </w:tc>
        <w:tc>
          <w:tcPr>
            <w:tcW w:w="3118" w:type="dxa"/>
          </w:tcPr>
          <w:p w14:paraId="1FAF7876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Бюджет пилотного проекта без учета долгосрочной поддержки.</w:t>
            </w:r>
          </w:p>
        </w:tc>
      </w:tr>
    </w:tbl>
    <w:p w14:paraId="6EA4D5C4" w14:textId="77777777" w:rsidR="00E86D28" w:rsidRDefault="00E86D28"/>
    <w:p w14:paraId="44A9A0B6" w14:textId="77777777" w:rsidR="00E86D28" w:rsidRDefault="00CD2567">
      <w:pPr>
        <w:pStyle w:val="21"/>
      </w:pPr>
      <w:r>
        <w:t>3.7. MVP Resource Partner AI для демонстрации на защите</w:t>
      </w:r>
    </w:p>
    <w:p w14:paraId="3A873E29" w14:textId="77777777" w:rsidR="00E86D28" w:rsidRDefault="00CD2567">
      <w:r>
        <w:rPr>
          <w:color w:val="000000"/>
        </w:rPr>
        <w:t>Наличие демонстрируемого MVP усиливает практическую ценность работы, поскольку проектная часть перестает быть только концепцией. MVP показывает, как предложенная модель может работать в реальном интерфейсе: агент заходит в личный кабинет, выбирает объект, регистрирует клиента, фиксирует интерес к квартире, а РОП видит агрегированные показатели партнерской сети.</w:t>
      </w:r>
    </w:p>
    <w:p w14:paraId="71686EC7" w14:textId="77777777" w:rsidR="00E86D28" w:rsidRDefault="00CD2567">
      <w:r>
        <w:rPr>
          <w:color w:val="000000"/>
        </w:rPr>
        <w:t xml:space="preserve">Реализованный Python-сценарий соответствует логике быстрого прототипирования. В отличие от тяжелого корпоративного внедрения, MVP </w:t>
      </w:r>
      <w:r>
        <w:rPr>
          <w:color w:val="000000"/>
        </w:rPr>
        <w:lastRenderedPageBreak/>
        <w:t>позволяет проверить гипотезу и получить обратную связь до существенных затрат. При положительном результате прототип может быть развит в промышленный продукт: подключить реальные API, добавить уведомления, расширить аналитику, ввести журнал аудита и подключить AI-модуль для рекомендаций.</w:t>
      </w:r>
    </w:p>
    <w:p w14:paraId="4E6EB7DC" w14:textId="77777777" w:rsidR="00E86D28" w:rsidRDefault="00CD2567">
      <w:r>
        <w:rPr>
          <w:color w:val="000000"/>
        </w:rPr>
        <w:t>Демонстрационный сценарий защиты может состоять из пяти шагов: вход агента; регистрация клиента; выбор лота ЖК «Lighthouse»; передача заявки менеджеру; просмотр Dashboard РОПа с показателями конверсии и активности агентств. Такой сценарий напрямую подтверждает логику ВКР: сначала выявлена проблема, затем выбран инструмент, после этого показано проектное решение и ожидаемый результат.</w:t>
      </w:r>
    </w:p>
    <w:p w14:paraId="08905E99" w14:textId="77777777" w:rsidR="00E86D28" w:rsidRDefault="00CD2567">
      <w:pPr>
        <w:ind w:firstLine="0"/>
        <w:jc w:val="center"/>
      </w:pPr>
      <w:r>
        <w:rPr>
          <w:b/>
          <w:color w:val="000000"/>
        </w:rPr>
        <w:t>Таблица 3.8 - Сценарий демонстрации MVP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3"/>
        <w:gridCol w:w="3114"/>
      </w:tblGrid>
      <w:tr w:rsidR="00E86D28" w14:paraId="186DA8B9" w14:textId="77777777">
        <w:trPr>
          <w:jc w:val="center"/>
        </w:trPr>
        <w:tc>
          <w:tcPr>
            <w:tcW w:w="3118" w:type="dxa"/>
            <w:vAlign w:val="center"/>
          </w:tcPr>
          <w:p w14:paraId="2589C7BC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Демонстрационный экран</w:t>
            </w:r>
          </w:p>
        </w:tc>
        <w:tc>
          <w:tcPr>
            <w:tcW w:w="3118" w:type="dxa"/>
            <w:vAlign w:val="center"/>
          </w:tcPr>
          <w:p w14:paraId="31C03AF5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Что показывает</w:t>
            </w:r>
          </w:p>
        </w:tc>
        <w:tc>
          <w:tcPr>
            <w:tcW w:w="3118" w:type="dxa"/>
            <w:vAlign w:val="center"/>
          </w:tcPr>
          <w:p w14:paraId="36A2A3AB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Связь с задачей ВКР</w:t>
            </w:r>
          </w:p>
        </w:tc>
      </w:tr>
      <w:tr w:rsidR="00E86D28" w14:paraId="04B83719" w14:textId="77777777">
        <w:trPr>
          <w:jc w:val="center"/>
        </w:trPr>
        <w:tc>
          <w:tcPr>
            <w:tcW w:w="3118" w:type="dxa"/>
          </w:tcPr>
          <w:p w14:paraId="41EE6D44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Кабинет агента</w:t>
            </w:r>
          </w:p>
        </w:tc>
        <w:tc>
          <w:tcPr>
            <w:tcW w:w="3118" w:type="dxa"/>
          </w:tcPr>
          <w:p w14:paraId="72E29C0C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Роль внешнего партнера и самостоятельная работа с лидами.</w:t>
            </w:r>
          </w:p>
        </w:tc>
        <w:tc>
          <w:tcPr>
            <w:tcW w:w="3118" w:type="dxa"/>
          </w:tcPr>
          <w:p w14:paraId="7A896A19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Устранение ручной регистрации через менеджера.</w:t>
            </w:r>
          </w:p>
        </w:tc>
      </w:tr>
      <w:tr w:rsidR="00E86D28" w14:paraId="407FE051" w14:textId="77777777">
        <w:trPr>
          <w:jc w:val="center"/>
        </w:trPr>
        <w:tc>
          <w:tcPr>
            <w:tcW w:w="3118" w:type="dxa"/>
          </w:tcPr>
          <w:p w14:paraId="2A2670DB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Каталог объектов</w:t>
            </w:r>
          </w:p>
        </w:tc>
        <w:tc>
          <w:tcPr>
            <w:tcW w:w="3118" w:type="dxa"/>
          </w:tcPr>
          <w:p w14:paraId="1FC452EF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Актуальный ассортимент, статусы, параметры лотов.</w:t>
            </w:r>
          </w:p>
        </w:tc>
        <w:tc>
          <w:tcPr>
            <w:tcW w:w="3118" w:type="dxa"/>
          </w:tcPr>
          <w:p w14:paraId="49AE5857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Снижение информационного разрыва.</w:t>
            </w:r>
          </w:p>
        </w:tc>
      </w:tr>
      <w:tr w:rsidR="00E86D28" w14:paraId="401803C1" w14:textId="77777777">
        <w:trPr>
          <w:jc w:val="center"/>
        </w:trPr>
        <w:tc>
          <w:tcPr>
            <w:tcW w:w="3118" w:type="dxa"/>
          </w:tcPr>
          <w:p w14:paraId="04CD4DAF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Форма защиты сделки</w:t>
            </w:r>
          </w:p>
        </w:tc>
        <w:tc>
          <w:tcPr>
            <w:tcW w:w="3118" w:type="dxa"/>
          </w:tcPr>
          <w:p w14:paraId="5329E646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Фиксация клиента и прозрачный статус.</w:t>
            </w:r>
          </w:p>
        </w:tc>
        <w:tc>
          <w:tcPr>
            <w:tcW w:w="3118" w:type="dxa"/>
          </w:tcPr>
          <w:p w14:paraId="0973F203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Повышение доверия агентств.</w:t>
            </w:r>
          </w:p>
        </w:tc>
      </w:tr>
      <w:tr w:rsidR="00E86D28" w14:paraId="27DA0FCC" w14:textId="77777777">
        <w:trPr>
          <w:jc w:val="center"/>
        </w:trPr>
        <w:tc>
          <w:tcPr>
            <w:tcW w:w="3118" w:type="dxa"/>
          </w:tcPr>
          <w:p w14:paraId="7454D276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Кабинет менеджера</w:t>
            </w:r>
          </w:p>
        </w:tc>
        <w:tc>
          <w:tcPr>
            <w:tcW w:w="3118" w:type="dxa"/>
          </w:tcPr>
          <w:p w14:paraId="751AE06A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Обработка качественных заявок и бронирований.</w:t>
            </w:r>
          </w:p>
        </w:tc>
        <w:tc>
          <w:tcPr>
            <w:tcW w:w="3118" w:type="dxa"/>
          </w:tcPr>
          <w:p w14:paraId="232043E9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Снижение операционной нагрузки.</w:t>
            </w:r>
          </w:p>
        </w:tc>
      </w:tr>
      <w:tr w:rsidR="00E86D28" w14:paraId="2DF3453E" w14:textId="77777777">
        <w:trPr>
          <w:jc w:val="center"/>
        </w:trPr>
        <w:tc>
          <w:tcPr>
            <w:tcW w:w="3118" w:type="dxa"/>
          </w:tcPr>
          <w:p w14:paraId="739CC9E4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Dashboard РОПа</w:t>
            </w:r>
          </w:p>
        </w:tc>
        <w:tc>
          <w:tcPr>
            <w:tcW w:w="3118" w:type="dxa"/>
          </w:tcPr>
          <w:p w14:paraId="60FA264A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KPI, конверсия, активность партнеров.</w:t>
            </w:r>
          </w:p>
        </w:tc>
        <w:tc>
          <w:tcPr>
            <w:tcW w:w="3118" w:type="dxa"/>
          </w:tcPr>
          <w:p w14:paraId="779BC576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Управление продажами на основе данных.</w:t>
            </w:r>
          </w:p>
        </w:tc>
      </w:tr>
    </w:tbl>
    <w:p w14:paraId="68B41B49" w14:textId="77777777" w:rsidR="00E86D28" w:rsidRDefault="00E86D28"/>
    <w:p w14:paraId="6087AF76" w14:textId="77777777" w:rsidR="00E86D28" w:rsidRDefault="00CD2567">
      <w:r>
        <w:rPr>
          <w:color w:val="000000"/>
        </w:rPr>
        <w:t xml:space="preserve">Вывод по главе 3. Сравнение инструментов показало, что для ГК «Ресурс» оптимальна не замена CRM, а разработка B2B AI SaaS-надстройки над существующими Bitrix24 и Profitbase. Resource Partner AI позволяет совместить партнерский кабинет, автоматизацию защиты сделки, каталог объектов, KPI-аналитику и перспективу AI-подсказок. Предложенный план </w:t>
      </w:r>
      <w:r>
        <w:rPr>
          <w:color w:val="000000"/>
        </w:rPr>
        <w:lastRenderedPageBreak/>
        <w:t>внедрения реалистичен для пилота, а ожидаемый эффект подтверждает экономическую целесообразность проекта.</w:t>
      </w:r>
    </w:p>
    <w:p w14:paraId="506329F1" w14:textId="77777777" w:rsidR="00E86D28" w:rsidRDefault="00CD2567">
      <w:pPr>
        <w:pStyle w:val="11"/>
      </w:pPr>
      <w:r>
        <w:lastRenderedPageBreak/>
        <w:t>ЗАКЛЮЧЕНИЕ</w:t>
      </w:r>
    </w:p>
    <w:p w14:paraId="074CE7DC" w14:textId="77777777" w:rsidR="00E86D28" w:rsidRDefault="00CD2567">
      <w:r>
        <w:rPr>
          <w:color w:val="000000"/>
        </w:rPr>
        <w:t>В ходе выпускной квалификационной работы была рассмотрена задача оптимизации системы продаж строительной компании ГК «Ресурс» в условиях изменения ипотечной среды, роста конкуренции и цифровизации рынка недвижимости. Проведенный анализ подтвердил, что проблема компании имеет комплексный характер: снижение продаж связано не только с макроэкономическими ограничениями, но и с недостаточной цифровой управляемостью агентского канала.</w:t>
      </w:r>
    </w:p>
    <w:p w14:paraId="2C678637" w14:textId="77777777" w:rsidR="00E86D28" w:rsidRDefault="00CD2567">
      <w:r>
        <w:rPr>
          <w:color w:val="000000"/>
        </w:rPr>
        <w:t>В первой главе выявлено, что в 2025 г. продажи компании сократились до 606,4 млн руб., а зависимость от агентского канала достигла 77,5% сделок. При этом прямой digital-маркетинг характеризуется высокой стоимостью привлечения и низкой конверсией. Во второй главе рассчитан рыночный потенциал по модели TAM-SAM-SOM и показано, что достижение выручки 1 млрд руб. требует увеличения доли в доступном рынке до 2,46%, что является реалистичной задачей при повышении управляемости продаж.</w:t>
      </w:r>
    </w:p>
    <w:p w14:paraId="1A94B4AA" w14:textId="77777777" w:rsidR="00E86D28" w:rsidRDefault="00CD2567">
      <w:r>
        <w:rPr>
          <w:color w:val="000000"/>
        </w:rPr>
        <w:t>SWOT-анализ был уточнен с разделением внутренней и внешней среды. К сильным сторонам отнесены наличие Bitrix24 и Profitbase, гибкость коммерческих условий и перспективный объект бизнес-класса. К возможностям внешней среды отнесены цифровизация девелопмента, рост B2B AI SaaS-решений, распространение API-интеграций и повышение роли риелтора как консультанта покупателя.</w:t>
      </w:r>
    </w:p>
    <w:p w14:paraId="55E39893" w14:textId="77777777" w:rsidR="00E86D28" w:rsidRDefault="00CD2567">
      <w:r>
        <w:rPr>
          <w:color w:val="000000"/>
        </w:rPr>
        <w:t>В третьей главе проведен обзор инструментов рынка: Bitrix24, amoCRM, Profitbase, классифайды и собственный портал. Обоснован выбор гибридной модели, при которой текущие системы сохраняются как ядро данных, а Resource Partner AI внедряется как внешняя PRM-надстройка. Такой подход учитывает бюджетные ограничения компании и позволяет быстро получить MVP.</w:t>
      </w:r>
    </w:p>
    <w:p w14:paraId="17612FCC" w14:textId="77777777" w:rsidR="00E86D28" w:rsidRDefault="00CD2567">
      <w:r>
        <w:rPr>
          <w:color w:val="000000"/>
        </w:rPr>
        <w:t xml:space="preserve">Предложенный портал Resource Partner AI включает кабинет агента, каталог объектов, защиту сделки, бронирование, кабинет менеджера, </w:t>
      </w:r>
      <w:r>
        <w:rPr>
          <w:color w:val="000000"/>
        </w:rPr>
        <w:lastRenderedPageBreak/>
        <w:t>Dashboard РОПа и перспективный AI-ассистент. Для защиты подготовлена концепция демонстрируемого MVP на Python/Django, что повышает практическую ценность работы и позволяет показать не только расчетный эффект, но и работающий интерфейс проектного решения.</w:t>
      </w:r>
    </w:p>
    <w:p w14:paraId="06736A46" w14:textId="77777777" w:rsidR="00E86D28" w:rsidRDefault="00CD2567">
      <w:r>
        <w:rPr>
          <w:color w:val="000000"/>
        </w:rPr>
        <w:t>Ожидаемый результат внедрения выражается в повышении конверсии лидов, снижении ручной нагрузки на отдел продаж, росте прозрачности KPI агентств, ускорении бронирования и перераспределении маркетингового бюджета в сторону оплаты за результат. При целевой выручке 1 млрд руб. проект может стать одним из ключевых инструментов восстановления коммерческой устойчивости ГК «Ресурс» в 2026 г.</w:t>
      </w:r>
    </w:p>
    <w:p w14:paraId="14C0A5A5" w14:textId="77777777" w:rsidR="00E86D28" w:rsidRDefault="00CD2567">
      <w:pPr>
        <w:pStyle w:val="11"/>
      </w:pPr>
      <w:r>
        <w:lastRenderedPageBreak/>
        <w:t>СПИСОК ИСПОЛЬЗОВАННЫХ ИСТОЧНИКОВ</w:t>
      </w:r>
    </w:p>
    <w:p w14:paraId="3D9F76D8" w14:textId="77777777" w:rsidR="00E86D28" w:rsidRDefault="00CD2567">
      <w:pPr>
        <w:ind w:firstLine="0"/>
      </w:pPr>
      <w:r>
        <w:rPr>
          <w:color w:val="000000"/>
        </w:rPr>
        <w:t>ГОСТ 7.32-2017. Отчет о научно-исследовательской работе. Структура и правила оформления. - М.: Стандартинформ, 2017.</w:t>
      </w:r>
    </w:p>
    <w:p w14:paraId="299F1662" w14:textId="77777777" w:rsidR="00E86D28" w:rsidRDefault="00CD2567">
      <w:pPr>
        <w:ind w:firstLine="0"/>
      </w:pPr>
      <w:r>
        <w:rPr>
          <w:color w:val="000000"/>
        </w:rPr>
        <w:t>ГОСТ Р 7.0.5-2008. Библиографическая ссылка. Общие требования и правила составления. - М.: Стандартинформ, 2008.</w:t>
      </w:r>
    </w:p>
    <w:p w14:paraId="572A863E" w14:textId="77777777" w:rsidR="00E86D28" w:rsidRDefault="00CD2567">
      <w:pPr>
        <w:ind w:firstLine="0"/>
      </w:pPr>
      <w:r>
        <w:rPr>
          <w:color w:val="000000"/>
        </w:rPr>
        <w:t>Решение Совета директоров Банка России о ключевой ставке Банка России от 25.10.2024 // Банк России. URL: https://cbr.ru/rbr/dir_decisions/rsd_2024-10-25_20_02/ (дата обращения: 19.05.2026).</w:t>
      </w:r>
    </w:p>
    <w:p w14:paraId="156CCDCB" w14:textId="77777777" w:rsidR="00E86D28" w:rsidRDefault="00CD2567">
      <w:pPr>
        <w:ind w:firstLine="0"/>
      </w:pPr>
      <w:r>
        <w:rPr>
          <w:color w:val="000000"/>
        </w:rPr>
        <w:t>Льготная ипотека // ДОМ.РФ. URL: https://xn--d1aqf.xn--p1ai/mortgage/privilege-mortgage/ (дата обращения: 19.05.2026).</w:t>
      </w:r>
    </w:p>
    <w:p w14:paraId="0A1FB359" w14:textId="77777777" w:rsidR="00E86D28" w:rsidRPr="004774A0" w:rsidRDefault="00CD2567">
      <w:pPr>
        <w:ind w:firstLine="0"/>
        <w:rPr>
          <w:lang w:val="en-US"/>
        </w:rPr>
      </w:pPr>
      <w:r>
        <w:rPr>
          <w:color w:val="000000"/>
        </w:rPr>
        <w:t xml:space="preserve">Указ Президента Российской Федерации от 15.02.2024 № 124 «О внесении изменений в Указ Президента Российской Федерации от 10 октября 2019 г. № 490...» // Официальное опубликование правовых актов. </w:t>
      </w:r>
      <w:r w:rsidRPr="004774A0">
        <w:rPr>
          <w:color w:val="000000"/>
          <w:lang w:val="en-US"/>
        </w:rPr>
        <w:t>URL: https://publication.pravo.gov.ru/document/0001202402150063 (</w:t>
      </w:r>
      <w:r>
        <w:rPr>
          <w:color w:val="000000"/>
        </w:rPr>
        <w:t>дата</w:t>
      </w:r>
      <w:r w:rsidRPr="004774A0">
        <w:rPr>
          <w:color w:val="000000"/>
          <w:lang w:val="en-US"/>
        </w:rPr>
        <w:t xml:space="preserve"> </w:t>
      </w:r>
      <w:r>
        <w:rPr>
          <w:color w:val="000000"/>
        </w:rPr>
        <w:t>обращения</w:t>
      </w:r>
      <w:r w:rsidRPr="004774A0">
        <w:rPr>
          <w:color w:val="000000"/>
          <w:lang w:val="en-US"/>
        </w:rPr>
        <w:t>: 19.05.2026).</w:t>
      </w:r>
    </w:p>
    <w:p w14:paraId="7D30258F" w14:textId="77777777" w:rsidR="00E86D28" w:rsidRDefault="00CD2567">
      <w:pPr>
        <w:ind w:firstLine="0"/>
      </w:pPr>
      <w:r w:rsidRPr="004774A0">
        <w:rPr>
          <w:color w:val="000000"/>
          <w:lang w:val="en-US"/>
        </w:rPr>
        <w:t xml:space="preserve">Overview of REST API 3.0 // Bitrix24 REST API and Marketplace Applications. </w:t>
      </w:r>
      <w:r>
        <w:rPr>
          <w:color w:val="000000"/>
        </w:rPr>
        <w:t>URL: https://apidocs.bitrix24.com/api-reference/rest-v3/index.html (дата обращения: 19.05.2026).</w:t>
      </w:r>
    </w:p>
    <w:p w14:paraId="3B1DE30C" w14:textId="77777777" w:rsidR="00E86D28" w:rsidRDefault="00CD2567">
      <w:pPr>
        <w:ind w:firstLine="0"/>
      </w:pPr>
      <w:r w:rsidRPr="004774A0">
        <w:rPr>
          <w:color w:val="000000"/>
          <w:lang w:val="en-US"/>
        </w:rPr>
        <w:t xml:space="preserve">Bitrix24 plans and pricing // Bitrix24. </w:t>
      </w:r>
      <w:r>
        <w:rPr>
          <w:color w:val="000000"/>
        </w:rPr>
        <w:t>URL: https://www.bitrix24.com/prices/ (дата обращения: 19.05.2026).</w:t>
      </w:r>
    </w:p>
    <w:p w14:paraId="049C2632" w14:textId="77777777" w:rsidR="00E86D28" w:rsidRDefault="00CD2567">
      <w:pPr>
        <w:ind w:firstLine="0"/>
      </w:pPr>
      <w:r>
        <w:rPr>
          <w:color w:val="000000"/>
        </w:rPr>
        <w:t>Купить CRM систему. Цена, стоимость, сколько стоит CRM // amoCRM. URL: https://www.amocrm.ru/buy/ (дата обращения: 19.05.2026).</w:t>
      </w:r>
    </w:p>
    <w:p w14:paraId="7571EFAD" w14:textId="77777777" w:rsidR="00E86D28" w:rsidRDefault="00CD2567">
      <w:pPr>
        <w:ind w:firstLine="0"/>
      </w:pPr>
      <w:r>
        <w:rPr>
          <w:color w:val="000000"/>
        </w:rPr>
        <w:t>Profitbase - особенности платформы, функционал // Блог Profitbase. URL: https://blog.profitbase.ru/chto-takoie-profitbase/ (дата обращения: 19.05.2026).</w:t>
      </w:r>
    </w:p>
    <w:p w14:paraId="2F04C3CC" w14:textId="77777777" w:rsidR="00E86D28" w:rsidRPr="004774A0" w:rsidRDefault="00CD2567">
      <w:pPr>
        <w:ind w:firstLine="0"/>
        <w:rPr>
          <w:lang w:val="en-US"/>
        </w:rPr>
      </w:pPr>
      <w:r w:rsidRPr="004774A0">
        <w:rPr>
          <w:color w:val="000000"/>
          <w:lang w:val="en-US"/>
        </w:rPr>
        <w:t>CRM for property developers // Profitbase.Global. URL: https://profitbase.global/en/crm (</w:t>
      </w:r>
      <w:r>
        <w:rPr>
          <w:color w:val="000000"/>
        </w:rPr>
        <w:t>дата</w:t>
      </w:r>
      <w:r w:rsidRPr="004774A0">
        <w:rPr>
          <w:color w:val="000000"/>
          <w:lang w:val="en-US"/>
        </w:rPr>
        <w:t xml:space="preserve"> </w:t>
      </w:r>
      <w:r>
        <w:rPr>
          <w:color w:val="000000"/>
        </w:rPr>
        <w:t>обращения</w:t>
      </w:r>
      <w:r w:rsidRPr="004774A0">
        <w:rPr>
          <w:color w:val="000000"/>
          <w:lang w:val="en-US"/>
        </w:rPr>
        <w:t>: 19.05.2026).</w:t>
      </w:r>
    </w:p>
    <w:p w14:paraId="64D83E00" w14:textId="77777777" w:rsidR="00E86D28" w:rsidRDefault="00CD2567">
      <w:pPr>
        <w:ind w:firstLine="0"/>
      </w:pPr>
      <w:r w:rsidRPr="004774A0">
        <w:rPr>
          <w:color w:val="000000"/>
          <w:lang w:val="en-US"/>
        </w:rPr>
        <w:t xml:space="preserve">Django at a glance // Django documentation. </w:t>
      </w:r>
      <w:r>
        <w:rPr>
          <w:color w:val="000000"/>
        </w:rPr>
        <w:t>URL: https://docs.djangoproject.com/en/5.2/intro/overview/ (дата обращения: 19.05.2026).</w:t>
      </w:r>
    </w:p>
    <w:p w14:paraId="56CF7E7C" w14:textId="77777777" w:rsidR="00E86D28" w:rsidRPr="004774A0" w:rsidRDefault="00CD2567">
      <w:pPr>
        <w:ind w:firstLine="0"/>
        <w:rPr>
          <w:lang w:val="en-US"/>
        </w:rPr>
      </w:pPr>
      <w:r w:rsidRPr="004774A0">
        <w:rPr>
          <w:color w:val="000000"/>
          <w:lang w:val="en-US"/>
        </w:rPr>
        <w:lastRenderedPageBreak/>
        <w:t>Chart.js documentation // Chart.js. URL: https://www.chartjs.org/docs/latest/ (</w:t>
      </w:r>
      <w:r>
        <w:rPr>
          <w:color w:val="000000"/>
        </w:rPr>
        <w:t>дата</w:t>
      </w:r>
      <w:r w:rsidRPr="004774A0">
        <w:rPr>
          <w:color w:val="000000"/>
          <w:lang w:val="en-US"/>
        </w:rPr>
        <w:t xml:space="preserve"> </w:t>
      </w:r>
      <w:r>
        <w:rPr>
          <w:color w:val="000000"/>
        </w:rPr>
        <w:t>обращения</w:t>
      </w:r>
      <w:r w:rsidRPr="004774A0">
        <w:rPr>
          <w:color w:val="000000"/>
          <w:lang w:val="en-US"/>
        </w:rPr>
        <w:t>: 19.05.2026).</w:t>
      </w:r>
    </w:p>
    <w:p w14:paraId="713437E1" w14:textId="77777777" w:rsidR="00E86D28" w:rsidRDefault="00CD2567">
      <w:pPr>
        <w:ind w:firstLine="0"/>
      </w:pPr>
      <w:r>
        <w:rPr>
          <w:color w:val="000000"/>
        </w:rPr>
        <w:t>Внутренняя управленческая отчетность ГК «Ресурс» за 2023-2025 гг. - Предоставлено заказчиком.</w:t>
      </w:r>
    </w:p>
    <w:p w14:paraId="7B50B4F6" w14:textId="77777777" w:rsidR="00E86D28" w:rsidRDefault="00CD2567">
      <w:pPr>
        <w:ind w:firstLine="0"/>
      </w:pPr>
      <w:r>
        <w:rPr>
          <w:color w:val="000000"/>
        </w:rPr>
        <w:t>Выгрузка лидов, сделок и стадий продаж из Bitrix24 ГК «Ресурс» за 2025 г. - Предоставлено заказчиком.</w:t>
      </w:r>
    </w:p>
    <w:p w14:paraId="623B35E1" w14:textId="77777777" w:rsidR="00E86D28" w:rsidRDefault="00CD2567">
      <w:pPr>
        <w:ind w:firstLine="0"/>
      </w:pPr>
      <w:r>
        <w:rPr>
          <w:color w:val="000000"/>
        </w:rPr>
        <w:t>Выгрузка товарного запаса и статусов объектов из Profitbase ГК «Ресурс» за 2025 г. - Предоставлено заказчиком.</w:t>
      </w:r>
    </w:p>
    <w:p w14:paraId="148EE3F7" w14:textId="77777777" w:rsidR="00E86D28" w:rsidRDefault="00CD2567">
      <w:pPr>
        <w:pStyle w:val="11"/>
      </w:pPr>
      <w:r>
        <w:lastRenderedPageBreak/>
        <w:t>ПРИЛОЖЕНИЕ А. Описание MVP Resource Partner AI</w:t>
      </w:r>
    </w:p>
    <w:p w14:paraId="48CC2B6F" w14:textId="77777777" w:rsidR="00E86D28" w:rsidRDefault="00CD2567">
      <w:r>
        <w:rPr>
          <w:color w:val="000000"/>
        </w:rPr>
        <w:t>MVP Resource Partner AI представляет собой веб-приложение на Python/Django, размещенное в локальном проекте и подготовленное для публикации в удаленном репозитории GitHub: https://github.com/MaximillianVoss/resource-partner-ai.git.</w:t>
      </w:r>
    </w:p>
    <w:p w14:paraId="5BAB1DB6" w14:textId="77777777" w:rsidR="00E86D28" w:rsidRDefault="00CD2567">
      <w:r>
        <w:rPr>
          <w:color w:val="000000"/>
        </w:rPr>
        <w:t>Структура MVP включает Django-проект resource_partner_ai и приложение portal. В приложении portal реализованы модели предметной области, формы, представления, маршруты, HTML-шаблоны и статические стили. Демонстрационные данные создаются управленческой командой seed_demo.</w:t>
      </w:r>
    </w:p>
    <w:p w14:paraId="4E9FA788" w14:textId="77777777" w:rsidR="00E86D28" w:rsidRDefault="00CD2567">
      <w:r>
        <w:rPr>
          <w:color w:val="000000"/>
        </w:rPr>
        <w:t>Ключевые экраны MVP: главная страница, кабинет агента, кабинет менеджера, Dashboard РОПа, страница AI-помощника и инструменты работы с объектами. Наличие этих экранов позволяет показать полный цикл от регистрации клиента агентом до управленческой аналитики.</w:t>
      </w:r>
    </w:p>
    <w:p w14:paraId="5DEAF322" w14:textId="77777777" w:rsidR="00E86D28" w:rsidRDefault="00CD2567">
      <w:pPr>
        <w:ind w:firstLine="0"/>
        <w:jc w:val="center"/>
      </w:pPr>
      <w:r>
        <w:rPr>
          <w:b/>
          <w:color w:val="000000"/>
        </w:rPr>
        <w:t>Таблица А.1 - Структура MVP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4677"/>
        <w:gridCol w:w="4668"/>
      </w:tblGrid>
      <w:tr w:rsidR="00E86D28" w14:paraId="20D7D5B5" w14:textId="77777777">
        <w:trPr>
          <w:jc w:val="center"/>
        </w:trPr>
        <w:tc>
          <w:tcPr>
            <w:tcW w:w="4677" w:type="dxa"/>
            <w:vAlign w:val="center"/>
          </w:tcPr>
          <w:p w14:paraId="197E3A51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Файл / модуль</w:t>
            </w:r>
          </w:p>
        </w:tc>
        <w:tc>
          <w:tcPr>
            <w:tcW w:w="4677" w:type="dxa"/>
            <w:vAlign w:val="center"/>
          </w:tcPr>
          <w:p w14:paraId="1A8FFC89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Назначение</w:t>
            </w:r>
          </w:p>
        </w:tc>
      </w:tr>
      <w:tr w:rsidR="00E86D28" w14:paraId="3782CEF7" w14:textId="77777777">
        <w:trPr>
          <w:jc w:val="center"/>
        </w:trPr>
        <w:tc>
          <w:tcPr>
            <w:tcW w:w="4677" w:type="dxa"/>
          </w:tcPr>
          <w:p w14:paraId="132E549A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portal/models.py</w:t>
            </w:r>
          </w:p>
        </w:tc>
        <w:tc>
          <w:tcPr>
            <w:tcW w:w="4677" w:type="dxa"/>
          </w:tcPr>
          <w:p w14:paraId="7370553C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Описание сущностей: агентства, агенты, объекты, лиды, сделки, активности.</w:t>
            </w:r>
          </w:p>
        </w:tc>
      </w:tr>
      <w:tr w:rsidR="00E86D28" w14:paraId="236EF51A" w14:textId="77777777">
        <w:trPr>
          <w:jc w:val="center"/>
        </w:trPr>
        <w:tc>
          <w:tcPr>
            <w:tcW w:w="4677" w:type="dxa"/>
          </w:tcPr>
          <w:p w14:paraId="304AB06C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portal/views.py</w:t>
            </w:r>
          </w:p>
        </w:tc>
        <w:tc>
          <w:tcPr>
            <w:tcW w:w="4677" w:type="dxa"/>
          </w:tcPr>
          <w:p w14:paraId="3C5EFF25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Логика экранов агента, менеджера, РОПа и AI-помощника.</w:t>
            </w:r>
          </w:p>
        </w:tc>
      </w:tr>
      <w:tr w:rsidR="00E86D28" w14:paraId="2CD8712D" w14:textId="77777777">
        <w:trPr>
          <w:jc w:val="center"/>
        </w:trPr>
        <w:tc>
          <w:tcPr>
            <w:tcW w:w="4677" w:type="dxa"/>
          </w:tcPr>
          <w:p w14:paraId="72BDA4EF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portal/templates/portal/*.html</w:t>
            </w:r>
          </w:p>
        </w:tc>
        <w:tc>
          <w:tcPr>
            <w:tcW w:w="4677" w:type="dxa"/>
          </w:tcPr>
          <w:p w14:paraId="706D5165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Пользовательские интерфейсы MVP.</w:t>
            </w:r>
          </w:p>
        </w:tc>
      </w:tr>
      <w:tr w:rsidR="00E86D28" w14:paraId="629FE9D4" w14:textId="77777777">
        <w:trPr>
          <w:jc w:val="center"/>
        </w:trPr>
        <w:tc>
          <w:tcPr>
            <w:tcW w:w="4677" w:type="dxa"/>
          </w:tcPr>
          <w:p w14:paraId="067A8AF7" w14:textId="77777777" w:rsidR="00E86D28" w:rsidRPr="004774A0" w:rsidRDefault="00CD2567">
            <w:pPr>
              <w:ind w:firstLine="0"/>
              <w:jc w:val="left"/>
              <w:rPr>
                <w:lang w:val="en-US"/>
              </w:rPr>
            </w:pPr>
            <w:r w:rsidRPr="004774A0">
              <w:rPr>
                <w:color w:val="000000"/>
                <w:sz w:val="24"/>
                <w:lang w:val="en-US"/>
              </w:rPr>
              <w:t>portal/management/commands/seed_demo.py</w:t>
            </w:r>
          </w:p>
        </w:tc>
        <w:tc>
          <w:tcPr>
            <w:tcW w:w="4677" w:type="dxa"/>
          </w:tcPr>
          <w:p w14:paraId="2631E160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Наполнение демонстрационными данными для защиты.</w:t>
            </w:r>
          </w:p>
        </w:tc>
      </w:tr>
      <w:tr w:rsidR="00E86D28" w14:paraId="6906A930" w14:textId="77777777">
        <w:trPr>
          <w:jc w:val="center"/>
        </w:trPr>
        <w:tc>
          <w:tcPr>
            <w:tcW w:w="4677" w:type="dxa"/>
          </w:tcPr>
          <w:p w14:paraId="2BDA4E92" w14:textId="77777777" w:rsidR="00E86D28" w:rsidRPr="004774A0" w:rsidRDefault="00CD2567">
            <w:pPr>
              <w:ind w:firstLine="0"/>
              <w:jc w:val="left"/>
              <w:rPr>
                <w:lang w:val="en-US"/>
              </w:rPr>
            </w:pPr>
            <w:r w:rsidRPr="004774A0">
              <w:rPr>
                <w:color w:val="000000"/>
                <w:sz w:val="24"/>
                <w:lang w:val="en-US"/>
              </w:rPr>
              <w:t>portal/static/portal/styles.css</w:t>
            </w:r>
          </w:p>
        </w:tc>
        <w:tc>
          <w:tcPr>
            <w:tcW w:w="4677" w:type="dxa"/>
          </w:tcPr>
          <w:p w14:paraId="710507BC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Стили интерфейса портала.</w:t>
            </w:r>
          </w:p>
        </w:tc>
      </w:tr>
    </w:tbl>
    <w:p w14:paraId="3F9573E0" w14:textId="77777777" w:rsidR="00E86D28" w:rsidRDefault="00E86D28"/>
    <w:p w14:paraId="638B1F41" w14:textId="77777777" w:rsidR="00E86D28" w:rsidRDefault="00CD2567">
      <w:pPr>
        <w:pStyle w:val="11"/>
      </w:pPr>
      <w:r>
        <w:lastRenderedPageBreak/>
        <w:t>ПРИЛОЖЕНИЕ Б. Карта редакционных правок по выделенным фрагментам</w:t>
      </w:r>
    </w:p>
    <w:p w14:paraId="6B3AFA5F" w14:textId="77777777" w:rsidR="00E86D28" w:rsidRDefault="00CD2567">
      <w:pPr>
        <w:ind w:firstLine="0"/>
        <w:jc w:val="center"/>
      </w:pPr>
      <w:r>
        <w:rPr>
          <w:b/>
          <w:color w:val="000000"/>
        </w:rPr>
        <w:t>Таблица Б.1 - Основные редакционные замены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3114"/>
        <w:gridCol w:w="3116"/>
        <w:gridCol w:w="3115"/>
      </w:tblGrid>
      <w:tr w:rsidR="00E86D28" w14:paraId="496BB698" w14:textId="77777777">
        <w:trPr>
          <w:jc w:val="center"/>
        </w:trPr>
        <w:tc>
          <w:tcPr>
            <w:tcW w:w="3118" w:type="dxa"/>
            <w:vAlign w:val="center"/>
          </w:tcPr>
          <w:p w14:paraId="50A3EEB8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Исходный фрагмент</w:t>
            </w:r>
          </w:p>
        </w:tc>
        <w:tc>
          <w:tcPr>
            <w:tcW w:w="3118" w:type="dxa"/>
            <w:vAlign w:val="center"/>
          </w:tcPr>
          <w:p w14:paraId="3C09EB60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Редакционная замена</w:t>
            </w:r>
          </w:p>
        </w:tc>
        <w:tc>
          <w:tcPr>
            <w:tcW w:w="3118" w:type="dxa"/>
            <w:vAlign w:val="center"/>
          </w:tcPr>
          <w:p w14:paraId="6397963E" w14:textId="77777777" w:rsidR="00E86D28" w:rsidRDefault="00CD2567">
            <w:pPr>
              <w:jc w:val="center"/>
            </w:pPr>
            <w:r>
              <w:rPr>
                <w:b/>
                <w:color w:val="000000"/>
                <w:sz w:val="24"/>
              </w:rPr>
              <w:t>Причина</w:t>
            </w:r>
          </w:p>
        </w:tc>
      </w:tr>
      <w:tr w:rsidR="00E86D28" w14:paraId="0F4A6D41" w14:textId="77777777">
        <w:trPr>
          <w:jc w:val="center"/>
        </w:trPr>
        <w:tc>
          <w:tcPr>
            <w:tcW w:w="3118" w:type="dxa"/>
          </w:tcPr>
          <w:p w14:paraId="4448B88A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«ипотечный паралич»</w:t>
            </w:r>
          </w:p>
        </w:tc>
        <w:tc>
          <w:tcPr>
            <w:tcW w:w="3118" w:type="dxa"/>
          </w:tcPr>
          <w:p w14:paraId="34DC5F60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«кризис доступности ипотечного кредитования»</w:t>
            </w:r>
          </w:p>
        </w:tc>
        <w:tc>
          <w:tcPr>
            <w:tcW w:w="3118" w:type="dxa"/>
          </w:tcPr>
          <w:p w14:paraId="0543A62B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Исключен публицистический оборот.</w:t>
            </w:r>
          </w:p>
        </w:tc>
      </w:tr>
      <w:tr w:rsidR="00E86D28" w14:paraId="5309B653" w14:textId="77777777">
        <w:trPr>
          <w:jc w:val="center"/>
        </w:trPr>
        <w:tc>
          <w:tcPr>
            <w:tcW w:w="3118" w:type="dxa"/>
          </w:tcPr>
          <w:p w14:paraId="354E21D8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«комплексного освоения территорий (КОТ)»</w:t>
            </w:r>
          </w:p>
        </w:tc>
        <w:tc>
          <w:tcPr>
            <w:tcW w:w="3118" w:type="dxa"/>
          </w:tcPr>
          <w:p w14:paraId="11751D09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«комплексного развития территорий (КРТ)»</w:t>
            </w:r>
          </w:p>
        </w:tc>
        <w:tc>
          <w:tcPr>
            <w:tcW w:w="3118" w:type="dxa"/>
          </w:tcPr>
          <w:p w14:paraId="54E79346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Исправлена терминология.</w:t>
            </w:r>
          </w:p>
        </w:tc>
      </w:tr>
      <w:tr w:rsidR="00E86D28" w14:paraId="7B5D3AEA" w14:textId="77777777">
        <w:trPr>
          <w:jc w:val="center"/>
        </w:trPr>
        <w:tc>
          <w:tcPr>
            <w:tcW w:w="3118" w:type="dxa"/>
          </w:tcPr>
          <w:p w14:paraId="36A47C73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«дискретным»</w:t>
            </w:r>
          </w:p>
        </w:tc>
        <w:tc>
          <w:tcPr>
            <w:tcW w:w="3118" w:type="dxa"/>
          </w:tcPr>
          <w:p w14:paraId="5F4709A3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«локальным / ограниченным»</w:t>
            </w:r>
          </w:p>
        </w:tc>
        <w:tc>
          <w:tcPr>
            <w:tcW w:w="3118" w:type="dxa"/>
          </w:tcPr>
          <w:p w14:paraId="4349A574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Снижена стилистическая неясность.</w:t>
            </w:r>
          </w:p>
        </w:tc>
      </w:tr>
      <w:tr w:rsidR="00E86D28" w14:paraId="4A3B7F40" w14:textId="77777777">
        <w:trPr>
          <w:jc w:val="center"/>
        </w:trPr>
        <w:tc>
          <w:tcPr>
            <w:tcW w:w="3118" w:type="dxa"/>
          </w:tcPr>
          <w:p w14:paraId="42AA12CD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«деградация»</w:t>
            </w:r>
          </w:p>
        </w:tc>
        <w:tc>
          <w:tcPr>
            <w:tcW w:w="3118" w:type="dxa"/>
          </w:tcPr>
          <w:p w14:paraId="11A01C9D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«снижение эффективности»</w:t>
            </w:r>
          </w:p>
        </w:tc>
        <w:tc>
          <w:tcPr>
            <w:tcW w:w="3118" w:type="dxa"/>
          </w:tcPr>
          <w:p w14:paraId="46767A38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Использован нейтральный научный стиль.</w:t>
            </w:r>
          </w:p>
        </w:tc>
      </w:tr>
      <w:tr w:rsidR="00E86D28" w14:paraId="5D59CCAD" w14:textId="77777777">
        <w:trPr>
          <w:jc w:val="center"/>
        </w:trPr>
        <w:tc>
          <w:tcPr>
            <w:tcW w:w="3118" w:type="dxa"/>
          </w:tcPr>
          <w:p w14:paraId="678D89F9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«галопирующая стоимость»</w:t>
            </w:r>
          </w:p>
        </w:tc>
        <w:tc>
          <w:tcPr>
            <w:tcW w:w="3118" w:type="dxa"/>
          </w:tcPr>
          <w:p w14:paraId="3BF2F97D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«значительный рост стоимости»</w:t>
            </w:r>
          </w:p>
        </w:tc>
        <w:tc>
          <w:tcPr>
            <w:tcW w:w="3118" w:type="dxa"/>
          </w:tcPr>
          <w:p w14:paraId="7359F6B1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Убран разговорно-публицистический оттенок.</w:t>
            </w:r>
          </w:p>
        </w:tc>
      </w:tr>
      <w:tr w:rsidR="00E86D28" w14:paraId="31C88BE1" w14:textId="77777777">
        <w:trPr>
          <w:jc w:val="center"/>
        </w:trPr>
        <w:tc>
          <w:tcPr>
            <w:tcW w:w="3118" w:type="dxa"/>
          </w:tcPr>
          <w:p w14:paraId="590DE3BC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«в лоб»</w:t>
            </w:r>
          </w:p>
        </w:tc>
        <w:tc>
          <w:tcPr>
            <w:tcW w:w="3118" w:type="dxa"/>
          </w:tcPr>
          <w:p w14:paraId="04E689CD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«прямым способом / напрямую»</w:t>
            </w:r>
          </w:p>
        </w:tc>
        <w:tc>
          <w:tcPr>
            <w:tcW w:w="3118" w:type="dxa"/>
          </w:tcPr>
          <w:p w14:paraId="1B414388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Заменено просторечие.</w:t>
            </w:r>
          </w:p>
        </w:tc>
      </w:tr>
      <w:tr w:rsidR="00E86D28" w14:paraId="13E38AC5" w14:textId="77777777">
        <w:trPr>
          <w:jc w:val="center"/>
        </w:trPr>
        <w:tc>
          <w:tcPr>
            <w:tcW w:w="3118" w:type="dxa"/>
          </w:tcPr>
          <w:p w14:paraId="75AAF78C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«луч света», «спасательный круг»</w:t>
            </w:r>
          </w:p>
        </w:tc>
        <w:tc>
          <w:tcPr>
            <w:tcW w:w="3118" w:type="dxa"/>
          </w:tcPr>
          <w:p w14:paraId="3AE7BAA2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«ключевой фактор сохранения маржинальности»</w:t>
            </w:r>
          </w:p>
        </w:tc>
        <w:tc>
          <w:tcPr>
            <w:tcW w:w="3118" w:type="dxa"/>
          </w:tcPr>
          <w:p w14:paraId="66EFAD98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Убраны метафоры.</w:t>
            </w:r>
          </w:p>
        </w:tc>
      </w:tr>
      <w:tr w:rsidR="00E86D28" w14:paraId="5AA2993B" w14:textId="77777777">
        <w:trPr>
          <w:jc w:val="center"/>
        </w:trPr>
        <w:tc>
          <w:tcPr>
            <w:tcW w:w="3118" w:type="dxa"/>
          </w:tcPr>
          <w:p w14:paraId="1B4F6649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«захлебнулся в информационном шуме»</w:t>
            </w:r>
          </w:p>
        </w:tc>
        <w:tc>
          <w:tcPr>
            <w:tcW w:w="3118" w:type="dxa"/>
          </w:tcPr>
          <w:p w14:paraId="5013B345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«столкнулся с перегрузкой нерелевантными обращениями»</w:t>
            </w:r>
          </w:p>
        </w:tc>
        <w:tc>
          <w:tcPr>
            <w:tcW w:w="3118" w:type="dxa"/>
          </w:tcPr>
          <w:p w14:paraId="1ED1331D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Формулировка приведена к деловому стилю.</w:t>
            </w:r>
          </w:p>
        </w:tc>
      </w:tr>
      <w:tr w:rsidR="00E86D28" w14:paraId="583A5CC6" w14:textId="77777777">
        <w:trPr>
          <w:jc w:val="center"/>
        </w:trPr>
        <w:tc>
          <w:tcPr>
            <w:tcW w:w="3118" w:type="dxa"/>
          </w:tcPr>
          <w:p w14:paraId="2ADD4107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Возможности SWOT как внутренние действия</w:t>
            </w:r>
          </w:p>
        </w:tc>
        <w:tc>
          <w:tcPr>
            <w:tcW w:w="3118" w:type="dxa"/>
          </w:tcPr>
          <w:p w14:paraId="05148629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Внешние возможности: цифровизация, B2B AI SaaS, API-интеграции</w:t>
            </w:r>
          </w:p>
        </w:tc>
        <w:tc>
          <w:tcPr>
            <w:tcW w:w="3118" w:type="dxa"/>
          </w:tcPr>
          <w:p w14:paraId="7F6B737C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SWOT приведен к методически корректной структуре.</w:t>
            </w:r>
          </w:p>
        </w:tc>
      </w:tr>
      <w:tr w:rsidR="00E86D28" w14:paraId="0015E2F1" w14:textId="77777777">
        <w:trPr>
          <w:jc w:val="center"/>
        </w:trPr>
        <w:tc>
          <w:tcPr>
            <w:tcW w:w="3118" w:type="dxa"/>
          </w:tcPr>
          <w:p w14:paraId="5205F42A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Raw LaTeX-формулы</w:t>
            </w:r>
          </w:p>
        </w:tc>
        <w:tc>
          <w:tcPr>
            <w:tcW w:w="3118" w:type="dxa"/>
          </w:tcPr>
          <w:p w14:paraId="4974E019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Текстовые формулы с символом умножения</w:t>
            </w:r>
          </w:p>
        </w:tc>
        <w:tc>
          <w:tcPr>
            <w:tcW w:w="3118" w:type="dxa"/>
          </w:tcPr>
          <w:p w14:paraId="23C60E0E" w14:textId="77777777" w:rsidR="00E86D28" w:rsidRDefault="00CD2567">
            <w:pPr>
              <w:ind w:firstLine="0"/>
              <w:jc w:val="left"/>
            </w:pPr>
            <w:r>
              <w:rPr>
                <w:color w:val="000000"/>
                <w:sz w:val="24"/>
              </w:rPr>
              <w:t>Формулы адаптированы для Word-документа.</w:t>
            </w:r>
          </w:p>
        </w:tc>
      </w:tr>
    </w:tbl>
    <w:p w14:paraId="62AFDF56" w14:textId="77777777" w:rsidR="00E86D28" w:rsidRDefault="00E86D28"/>
    <w:sectPr w:rsidR="00E86D28" w:rsidSect="00B633D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850" w:bottom="1134" w:left="1701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233390" w14:textId="77777777" w:rsidR="00050AD7" w:rsidRDefault="00050AD7" w:rsidP="00C951D0">
      <w:pPr>
        <w:spacing w:line="240" w:lineRule="auto"/>
      </w:pPr>
      <w:r>
        <w:separator/>
      </w:r>
    </w:p>
  </w:endnote>
  <w:endnote w:type="continuationSeparator" w:id="0">
    <w:p w14:paraId="5220E916" w14:textId="77777777" w:rsidR="00050AD7" w:rsidRDefault="00050AD7" w:rsidP="00C951D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7F1141" w14:textId="77777777" w:rsidR="00176E50" w:rsidRDefault="00176E50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19BBC8" w14:textId="77777777" w:rsidR="00E86D28" w:rsidRDefault="00CD2567">
    <w:pPr>
      <w:jc w:val="right"/>
    </w:pPr>
    <w:r>
      <w:fldChar w:fldCharType="begin"/>
    </w:r>
    <w:r>
      <w:instrText>PAGE</w:instrText>
    </w:r>
    <w:r>
      <w:fldChar w:fldCharType="separate"/>
    </w:r>
    <w:r>
      <w:rPr>
        <w:color w:val="000000"/>
        <w:sz w:val="20"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33D7B" w14:textId="77777777" w:rsidR="00176E50" w:rsidRDefault="00176E50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7C9F07" w14:textId="77777777" w:rsidR="00050AD7" w:rsidRDefault="00050AD7" w:rsidP="00C951D0">
      <w:pPr>
        <w:spacing w:line="240" w:lineRule="auto"/>
      </w:pPr>
      <w:r>
        <w:separator/>
      </w:r>
    </w:p>
  </w:footnote>
  <w:footnote w:type="continuationSeparator" w:id="0">
    <w:p w14:paraId="477CE952" w14:textId="77777777" w:rsidR="00050AD7" w:rsidRDefault="00050AD7" w:rsidP="00C951D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4F843" w14:textId="77777777" w:rsidR="00176E50" w:rsidRDefault="00176E50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D0863" w14:textId="77777777" w:rsidR="00176E50" w:rsidRDefault="00176E50">
    <w:pPr>
      <w:pStyle w:val="a7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9D4DF" w14:textId="77777777" w:rsidR="00176E50" w:rsidRDefault="00176E50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4F2CAB"/>
    <w:multiLevelType w:val="hybridMultilevel"/>
    <w:tmpl w:val="92E61FF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E935A07"/>
    <w:multiLevelType w:val="multilevel"/>
    <w:tmpl w:val="8DC6706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42F209D4"/>
    <w:multiLevelType w:val="multilevel"/>
    <w:tmpl w:val="0E0C57B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D7A6B6A"/>
    <w:multiLevelType w:val="hybridMultilevel"/>
    <w:tmpl w:val="38522A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5DE155DC"/>
    <w:multiLevelType w:val="hybridMultilevel"/>
    <w:tmpl w:val="8452C8DA"/>
    <w:lvl w:ilvl="0" w:tplc="02F0FB42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A95304A"/>
    <w:multiLevelType w:val="multilevel"/>
    <w:tmpl w:val="9FFC0F26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71CF667A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069310556">
    <w:abstractNumId w:val="3"/>
  </w:num>
  <w:num w:numId="2" w16cid:durableId="2090540456">
    <w:abstractNumId w:val="2"/>
  </w:num>
  <w:num w:numId="3" w16cid:durableId="607199802">
    <w:abstractNumId w:val="1"/>
  </w:num>
  <w:num w:numId="4" w16cid:durableId="1553036871">
    <w:abstractNumId w:val="4"/>
  </w:num>
  <w:num w:numId="5" w16cid:durableId="1183472487">
    <w:abstractNumId w:val="0"/>
  </w:num>
  <w:num w:numId="6" w16cid:durableId="1528300615">
    <w:abstractNumId w:val="6"/>
  </w:num>
  <w:num w:numId="7" w16cid:durableId="1762141042">
    <w:abstractNumId w:val="5"/>
  </w:num>
  <w:num w:numId="8" w16cid:durableId="192630451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923827937">
    <w:abstractNumId w:val="5"/>
  </w:num>
  <w:num w:numId="10" w16cid:durableId="1603033207">
    <w:abstractNumId w:val="5"/>
  </w:num>
  <w:num w:numId="11" w16cid:durableId="915280643">
    <w:abstractNumId w:val="5"/>
  </w:num>
  <w:num w:numId="12" w16cid:durableId="74195416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B04"/>
    <w:rsid w:val="000437AE"/>
    <w:rsid w:val="00044E75"/>
    <w:rsid w:val="00050AD7"/>
    <w:rsid w:val="000A2571"/>
    <w:rsid w:val="000A2F7A"/>
    <w:rsid w:val="000E4DA3"/>
    <w:rsid w:val="0010410F"/>
    <w:rsid w:val="00157550"/>
    <w:rsid w:val="001742C0"/>
    <w:rsid w:val="00176E50"/>
    <w:rsid w:val="00182CA7"/>
    <w:rsid w:val="001A3AF5"/>
    <w:rsid w:val="001B2A11"/>
    <w:rsid w:val="00241030"/>
    <w:rsid w:val="00242F50"/>
    <w:rsid w:val="00265573"/>
    <w:rsid w:val="002A3A91"/>
    <w:rsid w:val="002A4F12"/>
    <w:rsid w:val="002C3498"/>
    <w:rsid w:val="003008E3"/>
    <w:rsid w:val="00306322"/>
    <w:rsid w:val="00314CBE"/>
    <w:rsid w:val="00315AD7"/>
    <w:rsid w:val="00346D2A"/>
    <w:rsid w:val="00353A2C"/>
    <w:rsid w:val="00355D2F"/>
    <w:rsid w:val="0043007D"/>
    <w:rsid w:val="00444496"/>
    <w:rsid w:val="004453BC"/>
    <w:rsid w:val="0045088D"/>
    <w:rsid w:val="00465D89"/>
    <w:rsid w:val="004774A0"/>
    <w:rsid w:val="004860A7"/>
    <w:rsid w:val="004B1829"/>
    <w:rsid w:val="004B42A9"/>
    <w:rsid w:val="004F3F9E"/>
    <w:rsid w:val="00535609"/>
    <w:rsid w:val="0054680A"/>
    <w:rsid w:val="00553010"/>
    <w:rsid w:val="005A58F7"/>
    <w:rsid w:val="005C2F13"/>
    <w:rsid w:val="005F1FE3"/>
    <w:rsid w:val="0061449F"/>
    <w:rsid w:val="0061656F"/>
    <w:rsid w:val="006A1A2A"/>
    <w:rsid w:val="006A1FA4"/>
    <w:rsid w:val="006B4AFF"/>
    <w:rsid w:val="006D29D7"/>
    <w:rsid w:val="006E2B04"/>
    <w:rsid w:val="007735C5"/>
    <w:rsid w:val="007A26A7"/>
    <w:rsid w:val="007D29E7"/>
    <w:rsid w:val="007F1794"/>
    <w:rsid w:val="007F497B"/>
    <w:rsid w:val="008158B9"/>
    <w:rsid w:val="00873FFA"/>
    <w:rsid w:val="008C04C7"/>
    <w:rsid w:val="008D6411"/>
    <w:rsid w:val="00926378"/>
    <w:rsid w:val="0092708D"/>
    <w:rsid w:val="00936C41"/>
    <w:rsid w:val="00962E06"/>
    <w:rsid w:val="00975B50"/>
    <w:rsid w:val="00975DDF"/>
    <w:rsid w:val="00991A4F"/>
    <w:rsid w:val="009A1B3B"/>
    <w:rsid w:val="009E7A30"/>
    <w:rsid w:val="00A145A1"/>
    <w:rsid w:val="00A14B43"/>
    <w:rsid w:val="00A25ED1"/>
    <w:rsid w:val="00A2626B"/>
    <w:rsid w:val="00A52166"/>
    <w:rsid w:val="00A6405D"/>
    <w:rsid w:val="00A73FDA"/>
    <w:rsid w:val="00A74EE4"/>
    <w:rsid w:val="00A97528"/>
    <w:rsid w:val="00AB203F"/>
    <w:rsid w:val="00AB4342"/>
    <w:rsid w:val="00AC0D15"/>
    <w:rsid w:val="00AD0694"/>
    <w:rsid w:val="00B60321"/>
    <w:rsid w:val="00B633D7"/>
    <w:rsid w:val="00B93099"/>
    <w:rsid w:val="00B94F2A"/>
    <w:rsid w:val="00BB2CFB"/>
    <w:rsid w:val="00C345AD"/>
    <w:rsid w:val="00C951D0"/>
    <w:rsid w:val="00CC5EEA"/>
    <w:rsid w:val="00CD2567"/>
    <w:rsid w:val="00CD78FD"/>
    <w:rsid w:val="00CE6C06"/>
    <w:rsid w:val="00D2123B"/>
    <w:rsid w:val="00D338A6"/>
    <w:rsid w:val="00D349EE"/>
    <w:rsid w:val="00D5778C"/>
    <w:rsid w:val="00D61B7A"/>
    <w:rsid w:val="00D81602"/>
    <w:rsid w:val="00DA479A"/>
    <w:rsid w:val="00DA6348"/>
    <w:rsid w:val="00DE02B8"/>
    <w:rsid w:val="00DE06CD"/>
    <w:rsid w:val="00E40463"/>
    <w:rsid w:val="00E724C5"/>
    <w:rsid w:val="00E75E74"/>
    <w:rsid w:val="00E86D28"/>
    <w:rsid w:val="00EA19DD"/>
    <w:rsid w:val="00EA437F"/>
    <w:rsid w:val="00EB4B37"/>
    <w:rsid w:val="00EB6915"/>
    <w:rsid w:val="00ED4C56"/>
    <w:rsid w:val="00F21708"/>
    <w:rsid w:val="00F409E8"/>
    <w:rsid w:val="00F60840"/>
    <w:rsid w:val="00F64C58"/>
    <w:rsid w:val="00F77BA2"/>
    <w:rsid w:val="00F86AB5"/>
    <w:rsid w:val="00FA5416"/>
    <w:rsid w:val="00FC1129"/>
    <w:rsid w:val="00FF20F9"/>
    <w:rsid w:val="00FF69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435301E"/>
  <w15:chartTrackingRefBased/>
  <w15:docId w15:val="{4DDE6117-649E-4AF5-8DCF-F8FA923ACD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82CA7"/>
    <w:pPr>
      <w:keepNext/>
      <w:keepLines/>
      <w:pageBreakBefore/>
      <w:spacing w:after="120"/>
      <w:ind w:firstLine="0"/>
      <w:jc w:val="center"/>
      <w:outlineLvl w:val="0"/>
    </w:pPr>
    <w:rPr>
      <w:rFonts w:asciiTheme="majorHAnsi" w:eastAsiaTheme="majorEastAsia" w:hAnsiTheme="majorHAnsi" w:cstheme="majorBidi"/>
      <w:b/>
      <w:color w:val="000000"/>
      <w:sz w:val="40"/>
      <w:szCs w:val="32"/>
    </w:rPr>
  </w:style>
  <w:style w:type="paragraph" w:styleId="2">
    <w:name w:val="heading 2"/>
    <w:basedOn w:val="1"/>
    <w:next w:val="a"/>
    <w:link w:val="20"/>
    <w:uiPriority w:val="9"/>
    <w:unhideWhenUsed/>
    <w:qFormat/>
    <w:rsid w:val="00182CA7"/>
    <w:pPr>
      <w:ind w:right="386"/>
      <w:jc w:val="left"/>
      <w:outlineLvl w:val="1"/>
    </w:pPr>
    <w:rPr>
      <w:rFonts w:ascii="Times New Roman" w:eastAsia="Times New Roman" w:hAnsi="Times New Roman"/>
      <w:sz w:val="36"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182CA7"/>
    <w:pPr>
      <w:keepNext/>
      <w:keepLines/>
      <w:spacing w:after="120"/>
      <w:ind w:firstLine="0"/>
      <w:jc w:val="left"/>
      <w:outlineLvl w:val="2"/>
    </w:pPr>
    <w:rPr>
      <w:rFonts w:eastAsiaTheme="majorEastAsia" w:cstheme="majorBidi"/>
      <w:b/>
      <w:color w:val="000000"/>
      <w:sz w:val="32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2CA7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82CA7"/>
    <w:pPr>
      <w:keepNext/>
      <w:keepLines/>
      <w:numPr>
        <w:ilvl w:val="4"/>
        <w:numId w:val="3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82CA7"/>
    <w:pPr>
      <w:keepNext/>
      <w:keepLines/>
      <w:numPr>
        <w:ilvl w:val="5"/>
        <w:numId w:val="3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82CA7"/>
    <w:pPr>
      <w:keepNext/>
      <w:keepLines/>
      <w:numPr>
        <w:ilvl w:val="6"/>
        <w:numId w:val="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82CA7"/>
    <w:pPr>
      <w:keepNext/>
      <w:keepLines/>
      <w:numPr>
        <w:ilvl w:val="7"/>
        <w:numId w:val="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82CA7"/>
    <w:pPr>
      <w:keepNext/>
      <w:keepLines/>
      <w:numPr>
        <w:ilvl w:val="8"/>
        <w:numId w:val="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82C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182CA7"/>
    <w:pPr>
      <w:outlineLvl w:val="9"/>
    </w:pPr>
    <w:rPr>
      <w:rFonts w:ascii="Times New Roman" w:eastAsia="Times New Roman" w:hAnsi="Times New Roman" w:cs="Times New Roman"/>
      <w:sz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82CA7"/>
    <w:rPr>
      <w:rFonts w:ascii="Times New Roman" w:eastAsiaTheme="majorEastAsia" w:hAnsi="Times New Roman" w:cstheme="majorBidi"/>
      <w:b/>
      <w:color w:val="000000"/>
      <w:sz w:val="32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182CA7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182CA7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182CA7"/>
    <w:rPr>
      <w:rFonts w:asciiTheme="majorHAnsi" w:eastAsiaTheme="majorEastAsia" w:hAnsiTheme="majorHAnsi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182CA7"/>
    <w:rPr>
      <w:rFonts w:asciiTheme="majorHAnsi" w:eastAsiaTheme="majorEastAsia" w:hAnsiTheme="majorHAnsi" w:cstheme="majorBidi"/>
      <w:color w:val="1F3763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182CA7"/>
    <w:rPr>
      <w:rFonts w:asciiTheme="majorHAnsi" w:eastAsiaTheme="majorEastAsia" w:hAnsiTheme="majorHAnsi" w:cstheme="majorBidi"/>
      <w:i/>
      <w:iCs/>
      <w:color w:val="1F3763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182CA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182CA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4">
    <w:name w:val="List Paragraph"/>
    <w:basedOn w:val="a"/>
    <w:uiPriority w:val="99"/>
    <w:qFormat/>
    <w:rsid w:val="00182CA7"/>
    <w:pPr>
      <w:spacing w:after="120"/>
      <w:ind w:left="720"/>
    </w:pPr>
    <w:rPr>
      <w:rFonts w:eastAsia="Calibri" w:cs="Calibri"/>
    </w:rPr>
  </w:style>
  <w:style w:type="paragraph" w:customStyle="1" w:styleId="a5">
    <w:name w:val="ГОСТ Текст"/>
    <w:basedOn w:val="a"/>
    <w:link w:val="a6"/>
    <w:qFormat/>
    <w:rsid w:val="005C2F13"/>
    <w:rPr>
      <w:rFonts w:cs="Times New Roman"/>
      <w:color w:val="000000"/>
    </w:rPr>
  </w:style>
  <w:style w:type="paragraph" w:customStyle="1" w:styleId="11">
    <w:name w:val="ГОСТ Заголовок 1"/>
    <w:basedOn w:val="a"/>
    <w:next w:val="a5"/>
    <w:link w:val="12"/>
    <w:qFormat/>
    <w:rsid w:val="00E40463"/>
    <w:pPr>
      <w:keepNext/>
      <w:keepLines/>
      <w:pageBreakBefore/>
      <w:spacing w:after="120"/>
      <w:ind w:firstLine="0"/>
      <w:jc w:val="center"/>
      <w:outlineLvl w:val="0"/>
    </w:pPr>
    <w:rPr>
      <w:rFonts w:cs="Times New Roman"/>
      <w:b/>
      <w:color w:val="000000"/>
      <w:sz w:val="40"/>
    </w:rPr>
  </w:style>
  <w:style w:type="character" w:customStyle="1" w:styleId="a6">
    <w:name w:val="ГОСТ Текст Знак"/>
    <w:basedOn w:val="a0"/>
    <w:link w:val="a5"/>
    <w:rsid w:val="005C2F13"/>
    <w:rPr>
      <w:rFonts w:ascii="Times New Roman" w:hAnsi="Times New Roman"/>
      <w:sz w:val="28"/>
    </w:rPr>
  </w:style>
  <w:style w:type="paragraph" w:customStyle="1" w:styleId="21">
    <w:name w:val="ГОСТ Заголовок 2"/>
    <w:basedOn w:val="a"/>
    <w:next w:val="a5"/>
    <w:link w:val="22"/>
    <w:qFormat/>
    <w:rsid w:val="00E40463"/>
    <w:pPr>
      <w:keepNext/>
      <w:keepLines/>
      <w:spacing w:after="120"/>
      <w:ind w:firstLine="0"/>
      <w:jc w:val="left"/>
      <w:outlineLvl w:val="1"/>
    </w:pPr>
    <w:rPr>
      <w:rFonts w:cs="Times New Roman"/>
      <w:b/>
      <w:color w:val="000000"/>
      <w:sz w:val="36"/>
    </w:rPr>
  </w:style>
  <w:style w:type="character" w:customStyle="1" w:styleId="12">
    <w:name w:val="ГОСТ Заголовок 1 Знак"/>
    <w:basedOn w:val="10"/>
    <w:link w:val="11"/>
    <w:rsid w:val="00E40463"/>
    <w:rPr>
      <w:rFonts w:ascii="Times New Roman" w:eastAsiaTheme="majorEastAsia" w:hAnsi="Times New Roman" w:cstheme="majorBidi"/>
      <w:b/>
      <w:color w:val="000000" w:themeColor="text1"/>
      <w:sz w:val="40"/>
      <w:szCs w:val="32"/>
    </w:rPr>
  </w:style>
  <w:style w:type="paragraph" w:customStyle="1" w:styleId="31">
    <w:name w:val="ГОСТ Заголовок 3"/>
    <w:basedOn w:val="a"/>
    <w:next w:val="a5"/>
    <w:link w:val="32"/>
    <w:qFormat/>
    <w:rsid w:val="00E40463"/>
    <w:pPr>
      <w:keepNext/>
      <w:keepLines/>
      <w:spacing w:after="120"/>
      <w:ind w:firstLine="0"/>
      <w:jc w:val="left"/>
      <w:outlineLvl w:val="2"/>
    </w:pPr>
    <w:rPr>
      <w:rFonts w:cs="Times New Roman"/>
      <w:b/>
      <w:color w:val="000000"/>
      <w:sz w:val="32"/>
    </w:rPr>
  </w:style>
  <w:style w:type="character" w:customStyle="1" w:styleId="22">
    <w:name w:val="ГОСТ Заголовок 2 Знак"/>
    <w:basedOn w:val="20"/>
    <w:link w:val="21"/>
    <w:rsid w:val="00E40463"/>
    <w:rPr>
      <w:rFonts w:ascii="Times New Roman" w:eastAsiaTheme="majorEastAsia" w:hAnsi="Times New Roman" w:cstheme="majorBidi"/>
      <w:b/>
      <w:color w:val="000000"/>
      <w:sz w:val="32"/>
      <w:szCs w:val="26"/>
      <w:lang w:eastAsia="ru-RU"/>
    </w:rPr>
  </w:style>
  <w:style w:type="paragraph" w:styleId="a7">
    <w:name w:val="header"/>
    <w:basedOn w:val="a"/>
    <w:link w:val="a8"/>
    <w:uiPriority w:val="99"/>
    <w:unhideWhenUsed/>
    <w:rsid w:val="00C951D0"/>
    <w:pPr>
      <w:tabs>
        <w:tab w:val="center" w:pos="4677"/>
        <w:tab w:val="right" w:pos="9355"/>
      </w:tabs>
      <w:spacing w:line="240" w:lineRule="auto"/>
    </w:pPr>
  </w:style>
  <w:style w:type="character" w:customStyle="1" w:styleId="32">
    <w:name w:val="ГОСТ Заголовок 3 Знак"/>
    <w:basedOn w:val="30"/>
    <w:link w:val="31"/>
    <w:rsid w:val="00E40463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customStyle="1" w:styleId="a8">
    <w:name w:val="Верхний колонтитул Знак"/>
    <w:basedOn w:val="a0"/>
    <w:link w:val="a7"/>
    <w:uiPriority w:val="99"/>
    <w:rsid w:val="00C951D0"/>
  </w:style>
  <w:style w:type="paragraph" w:styleId="a9">
    <w:name w:val="footer"/>
    <w:basedOn w:val="a"/>
    <w:link w:val="aa"/>
    <w:uiPriority w:val="99"/>
    <w:unhideWhenUsed/>
    <w:rsid w:val="00C951D0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C951D0"/>
  </w:style>
  <w:style w:type="paragraph" w:styleId="13">
    <w:name w:val="toc 1"/>
    <w:basedOn w:val="a"/>
    <w:next w:val="a"/>
    <w:autoRedefine/>
    <w:uiPriority w:val="39"/>
    <w:unhideWhenUsed/>
    <w:rsid w:val="00F60840"/>
    <w:rPr>
      <w:rFonts w:cs="Times New Roman"/>
    </w:rPr>
  </w:style>
  <w:style w:type="character" w:styleId="ab">
    <w:name w:val="Hyperlink"/>
    <w:basedOn w:val="a0"/>
    <w:uiPriority w:val="99"/>
    <w:unhideWhenUsed/>
    <w:rsid w:val="00F60840"/>
    <w:rPr>
      <w:color w:val="0563C1" w:themeColor="hyperlink"/>
      <w:u w:val="single"/>
    </w:rPr>
  </w:style>
  <w:style w:type="paragraph" w:styleId="ac">
    <w:name w:val="caption"/>
    <w:basedOn w:val="a"/>
    <w:next w:val="a5"/>
    <w:uiPriority w:val="35"/>
    <w:unhideWhenUsed/>
    <w:qFormat/>
    <w:rsid w:val="00A2626B"/>
    <w:pPr>
      <w:spacing w:line="240" w:lineRule="auto"/>
      <w:jc w:val="center"/>
    </w:pPr>
    <w:rPr>
      <w:rFonts w:cs="Times New Roman"/>
      <w:iCs/>
      <w:color w:val="000000" w:themeColor="text1"/>
      <w:sz w:val="24"/>
      <w:szCs w:val="18"/>
    </w:rPr>
  </w:style>
  <w:style w:type="table" w:styleId="ad">
    <w:name w:val="Table Grid"/>
    <w:basedOn w:val="a1"/>
    <w:uiPriority w:val="39"/>
    <w:rsid w:val="001742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4">
    <w:name w:val="Table Simple 1"/>
    <w:basedOn w:val="a1"/>
    <w:uiPriority w:val="99"/>
    <w:semiHidden/>
    <w:unhideWhenUsed/>
    <w:rsid w:val="00EB6915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ae">
    <w:name w:val="ГОСТ.Черный"/>
    <w:basedOn w:val="a1"/>
    <w:uiPriority w:val="99"/>
    <w:rsid w:val="00EB4B37"/>
    <w:pPr>
      <w:spacing w:after="0" w:line="36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6" w:space="0" w:color="auto"/>
        <w:insideV w:val="single" w:sz="6" w:space="0" w:color="auto"/>
      </w:tblBorders>
    </w:tblPr>
  </w:style>
  <w:style w:type="paragraph" w:styleId="23">
    <w:name w:val="toc 2"/>
    <w:basedOn w:val="a"/>
    <w:next w:val="a"/>
    <w:autoRedefine/>
    <w:uiPriority w:val="39"/>
    <w:unhideWhenUsed/>
    <w:rsid w:val="00936C41"/>
    <w:pPr>
      <w:spacing w:after="100"/>
      <w:ind w:left="220"/>
    </w:pPr>
  </w:style>
  <w:style w:type="paragraph" w:customStyle="1" w:styleId="af">
    <w:name w:val="ГОСТ Список"/>
    <w:basedOn w:val="a"/>
    <w:pPr>
      <w:ind w:firstLine="0"/>
    </w:pPr>
    <w:rPr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553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0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8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17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9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8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5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9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0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9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8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5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8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3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4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1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0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7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2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1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4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2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4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1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13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1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9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33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4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0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0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8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44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4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065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3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7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6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3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9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0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7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1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0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8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2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0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4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2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2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1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8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0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9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3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ossW\OneDrive\&#1044;&#1086;&#1082;&#1091;&#1084;&#1077;&#1085;&#1090;&#1099;\&#1053;&#1072;&#1089;&#1090;&#1088;&#1072;&#1080;&#1074;&#1072;&#1077;&#1084;&#1099;&#1077;%20&#1096;&#1072;&#1073;&#1083;&#1086;&#1085;&#1099;%20Office\&#1064;&#1072;&#1073;&#1083;&#1086;&#1085;%20&#1087;&#1086;&#1103;&#1089;&#1085;&#1080;&#1090;&#1077;&#1083;&#1100;&#1085;&#1086;&#1081;%20&#1079;&#1072;&#1087;&#1080;&#1089;&#1082;&#1080;%20&#1089;%20&#1084;&#1072;&#1082;&#1088;&#1086;&#1089;&#1072;&#1084;&#1080;%20-%20&#1089;%20&#1091;&#1082;&#1072;&#1079;&#1072;&#1085;&#1080;&#1077;&#1084;%20&#1076;&#1083;&#1103;%20&#1048;&#1048;%20&#1072;&#1075;&#1077;&#1085;&#1090;&#1072;.dot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Шаблон пояснительной записки с макросами - с указанием для ИИ агента.dotm</Template>
  <TotalTime>6</TotalTime>
  <Pages>36</Pages>
  <Words>5719</Words>
  <Characters>40489</Characters>
  <Application>Microsoft Office Word</Application>
  <DocSecurity>0</DocSecurity>
  <Lines>1387</Lines>
  <Paragraphs>516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45691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Чайковский</dc:creator>
  <cp:keywords/>
  <dc:description/>
  <cp:lastModifiedBy>Александр Чайковский</cp:lastModifiedBy>
  <cp:revision>11</cp:revision>
  <dcterms:created xsi:type="dcterms:W3CDTF">2026-03-18T14:13:00Z</dcterms:created>
  <dcterms:modified xsi:type="dcterms:W3CDTF">2026-05-19T21:01:00Z</dcterms:modified>
</cp:coreProperties>
</file>