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A02</w:t>
      </w:r>
    </w:p>
    <w:p>
      <w:pPr>
        <w:jc w:val="center"/>
      </w:pPr>
      <w:r>
        <w:rPr>
          <w:b/>
          <w:sz w:val="26"/>
        </w:rPr>
        <w:t>Reportes e Indicadores de Gestión</w:t>
      </w:r>
    </w:p>
    <w:p/>
    <w:p>
      <w:pPr>
        <w:pStyle w:val="Heading1"/>
      </w:pPr>
      <w:r>
        <w:t>1. Introducción</w:t>
      </w:r>
    </w:p>
    <w:p>
      <w:r>
        <w:t>Este anexo presenta los reportes e indicadores que el sistema EventAura genera para apoyo a la toma de decisiones administrativas. Cada reporte simula datos de operaciones reales y proporciona vistas agregadas de ventas, comportamiento de usuarios y adopción de servicios.</w:t>
      </w:r>
    </w:p>
    <w:p>
      <w:pPr>
        <w:pStyle w:val="Heading1"/>
      </w:pPr>
      <w:r>
        <w:t>2. Reporte de Ventas por Evento</w:t>
      </w:r>
    </w:p>
    <w:p>
      <w:r>
        <w:t>Propósito: Visualizar el desempeño de ventas de cada evento registrado en el sistema. Permite identificar eventos con mayor demanda y rentabilidad.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</w:tcPr>
          <w:p>
            <w:r>
              <w:rPr>
                <w:b/>
              </w:rPr>
              <w:t>Evento ID</w:t>
            </w:r>
          </w:p>
        </w:tc>
        <w:tc>
          <w:tcPr>
            <w:tcW w:type="dxa" w:w="1884"/>
          </w:tcPr>
          <w:p>
            <w:r>
              <w:rPr>
                <w:b/>
              </w:rPr>
              <w:t>Nombre del Evento</w:t>
            </w:r>
          </w:p>
        </w:tc>
        <w:tc>
          <w:tcPr>
            <w:tcW w:type="dxa" w:w="1884"/>
          </w:tcPr>
          <w:p>
            <w:r>
              <w:rPr>
                <w:b/>
              </w:rPr>
              <w:t>Entradas Vendidas</w:t>
            </w:r>
          </w:p>
        </w:tc>
        <w:tc>
          <w:tcPr>
            <w:tcW w:type="dxa" w:w="1884"/>
          </w:tcPr>
          <w:p>
            <w:r>
              <w:rPr>
                <w:b/>
              </w:rPr>
              <w:t>Ingresos Totales ($)</w:t>
            </w:r>
          </w:p>
        </w:tc>
        <w:tc>
          <w:tcPr>
            <w:tcW w:type="dxa" w:w="1884"/>
          </w:tcPr>
          <w:p>
            <w:r>
              <w:rPr>
                <w:b/>
              </w:rPr>
              <w:t>Porcentaje Ocupación</w:t>
            </w:r>
          </w:p>
        </w:tc>
      </w:tr>
      <w:tr>
        <w:tc>
          <w:tcPr>
            <w:tcW w:type="dxa" w:w="1884"/>
          </w:tcPr>
          <w:p>
            <w:r>
              <w:t>EV-001</w:t>
            </w:r>
          </w:p>
        </w:tc>
        <w:tc>
          <w:tcPr>
            <w:tcW w:type="dxa" w:w="1884"/>
          </w:tcPr>
          <w:p>
            <w:r>
              <w:t>Recital Joaquín Sabina</w:t>
            </w:r>
          </w:p>
        </w:tc>
        <w:tc>
          <w:tcPr>
            <w:tcW w:type="dxa" w:w="1884"/>
          </w:tcPr>
          <w:p>
            <w:r>
              <w:t>85</w:t>
            </w:r>
          </w:p>
        </w:tc>
        <w:tc>
          <w:tcPr>
            <w:tcW w:type="dxa" w:w="1884"/>
          </w:tcPr>
          <w:p>
            <w:r>
              <w:t>$12,750</w:t>
            </w:r>
          </w:p>
        </w:tc>
        <w:tc>
          <w:tcPr>
            <w:tcW w:type="dxa" w:w="1884"/>
          </w:tcPr>
          <w:p>
            <w:r>
              <w:t>85%</w:t>
            </w:r>
          </w:p>
        </w:tc>
      </w:tr>
      <w:tr>
        <w:tc>
          <w:tcPr>
            <w:tcW w:type="dxa" w:w="1884"/>
          </w:tcPr>
          <w:p>
            <w:r>
              <w:t>EV-002</w:t>
            </w:r>
          </w:p>
        </w:tc>
        <w:tc>
          <w:tcPr>
            <w:tcW w:type="dxa" w:w="1884"/>
          </w:tcPr>
          <w:p>
            <w:r>
              <w:t>Clásico Rosario Central vs Newell's</w:t>
            </w:r>
          </w:p>
        </w:tc>
        <w:tc>
          <w:tcPr>
            <w:tcW w:type="dxa" w:w="1884"/>
          </w:tcPr>
          <w:p>
            <w:r>
              <w:t>150</w:t>
            </w:r>
          </w:p>
        </w:tc>
        <w:tc>
          <w:tcPr>
            <w:tcW w:type="dxa" w:w="1884"/>
          </w:tcPr>
          <w:p>
            <w:r>
              <w:t>$22,500</w:t>
            </w:r>
          </w:p>
        </w:tc>
        <w:tc>
          <w:tcPr>
            <w:tcW w:type="dxa" w:w="1884"/>
          </w:tcPr>
          <w:p>
            <w:r>
              <w:t>100%</w:t>
            </w:r>
          </w:p>
        </w:tc>
      </w:tr>
      <w:tr>
        <w:tc>
          <w:tcPr>
            <w:tcW w:type="dxa" w:w="1884"/>
          </w:tcPr>
          <w:p>
            <w:r>
              <w:t>EV-003</w:t>
            </w:r>
          </w:p>
        </w:tc>
        <w:tc>
          <w:tcPr>
            <w:tcW w:type="dxa" w:w="1884"/>
          </w:tcPr>
          <w:p>
            <w:r>
              <w:t>Obra de Teatro "Los Miserables"</w:t>
            </w:r>
          </w:p>
        </w:tc>
        <w:tc>
          <w:tcPr>
            <w:tcW w:type="dxa" w:w="1884"/>
          </w:tcPr>
          <w:p>
            <w:r>
              <w:t>42</w:t>
            </w:r>
          </w:p>
        </w:tc>
        <w:tc>
          <w:tcPr>
            <w:tcW w:type="dxa" w:w="1884"/>
          </w:tcPr>
          <w:p>
            <w:r>
              <w:t>$6,300</w:t>
            </w:r>
          </w:p>
        </w:tc>
        <w:tc>
          <w:tcPr>
            <w:tcW w:type="dxa" w:w="1884"/>
          </w:tcPr>
          <w:p>
            <w:r>
              <w:t>60%</w:t>
            </w:r>
          </w:p>
        </w:tc>
      </w:tr>
      <w:tr>
        <w:tc>
          <w:tcPr>
            <w:tcW w:type="dxa" w:w="1884"/>
          </w:tcPr>
          <w:p>
            <w:r>
              <w:t>EV-004</w:t>
            </w:r>
          </w:p>
        </w:tc>
        <w:tc>
          <w:tcPr>
            <w:tcW w:type="dxa" w:w="1884"/>
          </w:tcPr>
          <w:p>
            <w:r>
              <w:t>Festival de Música Electrónica</w:t>
            </w:r>
          </w:p>
        </w:tc>
        <w:tc>
          <w:tcPr>
            <w:tcW w:type="dxa" w:w="1884"/>
          </w:tcPr>
          <w:p>
            <w:r>
              <w:t>120</w:t>
            </w:r>
          </w:p>
        </w:tc>
        <w:tc>
          <w:tcPr>
            <w:tcW w:type="dxa" w:w="1884"/>
          </w:tcPr>
          <w:p>
            <w:r>
              <w:t>$18,000</w:t>
            </w:r>
          </w:p>
        </w:tc>
        <w:tc>
          <w:tcPr>
            <w:tcW w:type="dxa" w:w="1884"/>
          </w:tcPr>
          <w:p>
            <w:r>
              <w:t>95%</w:t>
            </w:r>
          </w:p>
        </w:tc>
      </w:tr>
      <w:tr>
        <w:tc>
          <w:tcPr>
            <w:tcW w:type="dxa" w:w="1884"/>
          </w:tcPr>
          <w:p>
            <w:r>
              <w:t>EV-005</w:t>
            </w:r>
          </w:p>
        </w:tc>
        <w:tc>
          <w:tcPr>
            <w:tcW w:type="dxa" w:w="1884"/>
          </w:tcPr>
          <w:p>
            <w:r>
              <w:t>Partido Campeonato de Tenis</w:t>
            </w:r>
          </w:p>
        </w:tc>
        <w:tc>
          <w:tcPr>
            <w:tcW w:type="dxa" w:w="1884"/>
          </w:tcPr>
          <w:p>
            <w:r>
              <w:t>38</w:t>
            </w:r>
          </w:p>
        </w:tc>
        <w:tc>
          <w:tcPr>
            <w:tcW w:type="dxa" w:w="1884"/>
          </w:tcPr>
          <w:p>
            <w:r>
              <w:t>$5,700</w:t>
            </w:r>
          </w:p>
        </w:tc>
        <w:tc>
          <w:tcPr>
            <w:tcW w:type="dxa" w:w="1884"/>
          </w:tcPr>
          <w:p>
            <w:r>
              <w:t>55%</w:t>
            </w:r>
          </w:p>
        </w:tc>
      </w:tr>
      <w:tr>
        <w:tc>
          <w:tcPr>
            <w:tcW w:type="dxa" w:w="188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884"/>
          </w:tcPr>
          <w:p>
            <w:r>
              <w:rPr>
                <w:b/>
              </w:rPr>
            </w:r>
          </w:p>
        </w:tc>
        <w:tc>
          <w:tcPr>
            <w:tcW w:type="dxa" w:w="1884"/>
          </w:tcPr>
          <w:p>
            <w:r>
              <w:rPr>
                <w:b/>
              </w:rPr>
              <w:t>435</w:t>
            </w:r>
          </w:p>
        </w:tc>
        <w:tc>
          <w:tcPr>
            <w:tcW w:type="dxa" w:w="1884"/>
          </w:tcPr>
          <w:p>
            <w:r>
              <w:rPr>
                <w:b/>
              </w:rPr>
              <w:t>$65,250</w:t>
            </w:r>
          </w:p>
        </w:tc>
        <w:tc>
          <w:tcPr>
            <w:tcW w:type="dxa" w:w="1884"/>
          </w:tcPr>
          <w:p>
            <w:r>
              <w:rPr>
                <w:b/>
              </w:rPr>
              <w:t>79%</w:t>
            </w:r>
          </w:p>
        </w:tc>
      </w:tr>
    </w:tbl>
    <w:p/>
    <w:p>
      <w:pPr>
        <w:pStyle w:val="Heading1"/>
      </w:pPr>
      <w:r>
        <w:t>3. Reporte de Paquetes Más Vendidos</w:t>
      </w:r>
    </w:p>
    <w:p>
      <w:r>
        <w:t>Propósito: Identificar qué combinaciones de servicios (entrada + hospedaje + traslado + merchandising) tienen mayor acogida entre los clientes.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</w:tcPr>
          <w:p>
            <w:r>
              <w:rPr>
                <w:b/>
              </w:rPr>
              <w:t>Paquete</w:t>
            </w:r>
          </w:p>
        </w:tc>
        <w:tc>
          <w:tcPr>
            <w:tcW w:type="dxa" w:w="2354"/>
          </w:tcPr>
          <w:p>
            <w:r>
              <w:rPr>
                <w:b/>
              </w:rPr>
              <w:t>Cantidad Vendida</w:t>
            </w:r>
          </w:p>
        </w:tc>
        <w:tc>
          <w:tcPr>
            <w:tcW w:type="dxa" w:w="2354"/>
          </w:tcPr>
          <w:p>
            <w:r>
              <w:rPr>
                <w:b/>
              </w:rPr>
              <w:t>Ingresos ($)</w:t>
            </w:r>
          </w:p>
        </w:tc>
        <w:tc>
          <w:tcPr>
            <w:tcW w:type="dxa" w:w="2354"/>
          </w:tcPr>
          <w:p>
            <w:r>
              <w:rPr>
                <w:b/>
              </w:rPr>
              <w:t>Beneficios Incluidos</w:t>
            </w:r>
          </w:p>
        </w:tc>
      </w:tr>
      <w:tr>
        <w:tc>
          <w:tcPr>
            <w:tcW w:type="dxa" w:w="2354"/>
          </w:tcPr>
          <w:p>
            <w:r>
              <w:t>Pack Entrada + Hospedaje (3 noches)</w:t>
            </w:r>
          </w:p>
        </w:tc>
        <w:tc>
          <w:tcPr>
            <w:tcW w:type="dxa" w:w="2354"/>
          </w:tcPr>
          <w:p>
            <w:r>
              <w:t>85</w:t>
            </w:r>
          </w:p>
        </w:tc>
        <w:tc>
          <w:tcPr>
            <w:tcW w:type="dxa" w:w="2354"/>
          </w:tcPr>
          <w:p>
            <w:r>
              <w:t>$8,500</w:t>
            </w:r>
          </w:p>
        </w:tc>
        <w:tc>
          <w:tcPr>
            <w:tcW w:type="dxa" w:w="2354"/>
          </w:tcPr>
          <w:p>
            <w:r>
              <w:t>Hotel 3*, desayuno, transporte</w:t>
            </w:r>
          </w:p>
        </w:tc>
      </w:tr>
      <w:tr>
        <w:tc>
          <w:tcPr>
            <w:tcW w:type="dxa" w:w="2354"/>
          </w:tcPr>
          <w:p>
            <w:r>
              <w:t>Pack VIP - Entrada + Merchandising</w:t>
            </w:r>
          </w:p>
        </w:tc>
        <w:tc>
          <w:tcPr>
            <w:tcW w:type="dxa" w:w="2354"/>
          </w:tcPr>
          <w:p>
            <w:r>
              <w:t>60</w:t>
            </w:r>
          </w:p>
        </w:tc>
        <w:tc>
          <w:tcPr>
            <w:tcW w:type="dxa" w:w="2354"/>
          </w:tcPr>
          <w:p>
            <w:r>
              <w:t>$9,000</w:t>
            </w:r>
          </w:p>
        </w:tc>
        <w:tc>
          <w:tcPr>
            <w:tcW w:type="dxa" w:w="2354"/>
          </w:tcPr>
          <w:p>
            <w:r>
              <w:t>Sector VIP, remera, gorro, entrada prioritaria</w:t>
            </w:r>
          </w:p>
        </w:tc>
      </w:tr>
      <w:tr>
        <w:tc>
          <w:tcPr>
            <w:tcW w:type="dxa" w:w="2354"/>
          </w:tcPr>
          <w:p>
            <w:r>
              <w:t>Pack Entrada + Hospedaje + Traslado</w:t>
            </w:r>
          </w:p>
        </w:tc>
        <w:tc>
          <w:tcPr>
            <w:tcW w:type="dxa" w:w="2354"/>
          </w:tcPr>
          <w:p>
            <w:r>
              <w:t>45</w:t>
            </w:r>
          </w:p>
        </w:tc>
        <w:tc>
          <w:tcPr>
            <w:tcW w:type="dxa" w:w="2354"/>
          </w:tcPr>
          <w:p>
            <w:r>
              <w:t>$7,200</w:t>
            </w:r>
          </w:p>
        </w:tc>
        <w:tc>
          <w:tcPr>
            <w:tcW w:type="dxa" w:w="2354"/>
          </w:tcPr>
          <w:p>
            <w:r>
              <w:t>Hotel 3*, desayuno, transporte ida/vuelta</w:t>
            </w:r>
          </w:p>
        </w:tc>
      </w:tr>
      <w:tr>
        <w:tc>
          <w:tcPr>
            <w:tcW w:type="dxa" w:w="2354"/>
          </w:tcPr>
          <w:p>
            <w:r>
              <w:t>Pack Experiencia - All Inclusive</w:t>
            </w:r>
          </w:p>
        </w:tc>
        <w:tc>
          <w:tcPr>
            <w:tcW w:type="dxa" w:w="2354"/>
          </w:tcPr>
          <w:p>
            <w:r>
              <w:t>32</w:t>
            </w:r>
          </w:p>
        </w:tc>
        <w:tc>
          <w:tcPr>
            <w:tcW w:type="dxa" w:w="2354"/>
          </w:tcPr>
          <w:p>
            <w:r>
              <w:t>$9,600</w:t>
            </w:r>
          </w:p>
        </w:tc>
        <w:tc>
          <w:tcPr>
            <w:tcW w:type="dxa" w:w="2354"/>
          </w:tcPr>
          <w:p>
            <w:r>
              <w:t>Hotel 4*, todas las comidas, tour guiado</w:t>
            </w:r>
          </w:p>
        </w:tc>
      </w:tr>
      <w:tr>
        <w:tc>
          <w:tcPr>
            <w:tcW w:type="dxa" w:w="2354"/>
          </w:tcPr>
          <w:p>
            <w:r>
              <w:t>Entrada Simple</w:t>
            </w:r>
          </w:p>
        </w:tc>
        <w:tc>
          <w:tcPr>
            <w:tcW w:type="dxa" w:w="2354"/>
          </w:tcPr>
          <w:p>
            <w:r>
              <w:t>213</w:t>
            </w:r>
          </w:p>
        </w:tc>
        <w:tc>
          <w:tcPr>
            <w:tcW w:type="dxa" w:w="2354"/>
          </w:tcPr>
          <w:p>
            <w:r>
              <w:t>$31,950</w:t>
            </w:r>
          </w:p>
        </w:tc>
        <w:tc>
          <w:tcPr>
            <w:tcW w:type="dxa" w:w="2354"/>
          </w:tcPr>
          <w:p>
            <w:r>
              <w:t>Solo acceso al evento</w:t>
            </w:r>
          </w:p>
        </w:tc>
      </w:tr>
    </w:tbl>
    <w:p/>
    <w:p>
      <w:pPr>
        <w:pStyle w:val="Heading1"/>
      </w:pPr>
      <w:r>
        <w:t>4. Reporte de Usuarios por Nivel de Fidelidad</w:t>
      </w:r>
    </w:p>
    <w:p>
      <w:r>
        <w:t>Propósito: Monitorear la distribución de usuarios según su nivel de ranking (Bronce, Plata, Oro). Indica el estado de la estrategia de fidelización.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1884"/>
          </w:tcPr>
          <w:p>
            <w:r>
              <w:rPr>
                <w:b/>
              </w:rPr>
              <w:t>Cantidad de Usuarios</w:t>
            </w:r>
          </w:p>
        </w:tc>
        <w:tc>
          <w:tcPr>
            <w:tcW w:type="dxa" w:w="1884"/>
          </w:tcPr>
          <w:p>
            <w:r>
              <w:rPr>
                <w:b/>
              </w:rPr>
              <w:t>Compras Acumuladas</w:t>
            </w:r>
          </w:p>
        </w:tc>
        <w:tc>
          <w:tcPr>
            <w:tcW w:type="dxa" w:w="1884"/>
          </w:tcPr>
          <w:p>
            <w:r>
              <w:rPr>
                <w:b/>
              </w:rPr>
              <w:t>Descuento Aplicado</w:t>
            </w:r>
          </w:p>
        </w:tc>
        <w:tc>
          <w:tcPr>
            <w:tcW w:type="dxa" w:w="1884"/>
          </w:tcPr>
          <w:p>
            <w:r>
              <w:rPr>
                <w:b/>
              </w:rPr>
              <w:t>Retención (%)</w:t>
            </w:r>
          </w:p>
        </w:tc>
      </w:tr>
      <w:tr>
        <w:tc>
          <w:tcPr>
            <w:tcW w:type="dxa" w:w="1884"/>
          </w:tcPr>
          <w:p>
            <w:r>
              <w:t>Bronce (0-5 compras)</w:t>
            </w:r>
          </w:p>
        </w:tc>
        <w:tc>
          <w:tcPr>
            <w:tcW w:type="dxa" w:w="1884"/>
          </w:tcPr>
          <w:p>
            <w:r>
              <w:t>1,250</w:t>
            </w:r>
          </w:p>
        </w:tc>
        <w:tc>
          <w:tcPr>
            <w:tcW w:type="dxa" w:w="1884"/>
          </w:tcPr>
          <w:p>
            <w:r>
              <w:t>3,750 entradas</w:t>
            </w:r>
          </w:p>
        </w:tc>
        <w:tc>
          <w:tcPr>
            <w:tcW w:type="dxa" w:w="1884"/>
          </w:tcPr>
          <w:p>
            <w:r>
              <w:t>0%</w:t>
            </w:r>
          </w:p>
        </w:tc>
        <w:tc>
          <w:tcPr>
            <w:tcW w:type="dxa" w:w="1884"/>
          </w:tcPr>
          <w:p>
            <w:r>
              <w:t>45%</w:t>
            </w:r>
          </w:p>
        </w:tc>
      </w:tr>
      <w:tr>
        <w:tc>
          <w:tcPr>
            <w:tcW w:type="dxa" w:w="1884"/>
          </w:tcPr>
          <w:p>
            <w:r>
              <w:t>Plata (6-15 compras)</w:t>
            </w:r>
          </w:p>
        </w:tc>
        <w:tc>
          <w:tcPr>
            <w:tcW w:type="dxa" w:w="1884"/>
          </w:tcPr>
          <w:p>
            <w:r>
              <w:t>320</w:t>
            </w:r>
          </w:p>
        </w:tc>
        <w:tc>
          <w:tcPr>
            <w:tcW w:type="dxa" w:w="1884"/>
          </w:tcPr>
          <w:p>
            <w:r>
              <w:t>3,840 entradas</w:t>
            </w:r>
          </w:p>
        </w:tc>
        <w:tc>
          <w:tcPr>
            <w:tcW w:type="dxa" w:w="1884"/>
          </w:tcPr>
          <w:p>
            <w:r>
              <w:t>5%</w:t>
            </w:r>
          </w:p>
        </w:tc>
        <w:tc>
          <w:tcPr>
            <w:tcW w:type="dxa" w:w="1884"/>
          </w:tcPr>
          <w:p>
            <w:r>
              <w:t>72%</w:t>
            </w:r>
          </w:p>
        </w:tc>
      </w:tr>
      <w:tr>
        <w:tc>
          <w:tcPr>
            <w:tcW w:type="dxa" w:w="1884"/>
          </w:tcPr>
          <w:p>
            <w:r>
              <w:t>Oro (16+ compras)</w:t>
            </w:r>
          </w:p>
        </w:tc>
        <w:tc>
          <w:tcPr>
            <w:tcW w:type="dxa" w:w="1884"/>
          </w:tcPr>
          <w:p>
            <w:r>
              <w:t>85</w:t>
            </w:r>
          </w:p>
        </w:tc>
        <w:tc>
          <w:tcPr>
            <w:tcW w:type="dxa" w:w="1884"/>
          </w:tcPr>
          <w:p>
            <w:r>
              <w:t>2,550 entradas</w:t>
            </w:r>
          </w:p>
        </w:tc>
        <w:tc>
          <w:tcPr>
            <w:tcW w:type="dxa" w:w="1884"/>
          </w:tcPr>
          <w:p>
            <w:r>
              <w:t>10%</w:t>
            </w:r>
          </w:p>
        </w:tc>
        <w:tc>
          <w:tcPr>
            <w:tcW w:type="dxa" w:w="1884"/>
          </w:tcPr>
          <w:p>
            <w:r>
              <w:t>95%</w:t>
            </w:r>
          </w:p>
        </w:tc>
      </w:tr>
      <w:tr>
        <w:tc>
          <w:tcPr>
            <w:tcW w:type="dxa" w:w="188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884"/>
          </w:tcPr>
          <w:p>
            <w:r>
              <w:rPr>
                <w:b/>
              </w:rPr>
              <w:t>1,655</w:t>
            </w:r>
          </w:p>
        </w:tc>
        <w:tc>
          <w:tcPr>
            <w:tcW w:type="dxa" w:w="1884"/>
          </w:tcPr>
          <w:p>
            <w:r>
              <w:rPr>
                <w:b/>
              </w:rPr>
              <w:t>10,140</w:t>
            </w:r>
          </w:p>
        </w:tc>
        <w:tc>
          <w:tcPr>
            <w:tcW w:type="dxa" w:w="1884"/>
          </w:tcPr>
          <w:p>
            <w:r>
              <w:rPr>
                <w:b/>
              </w:rPr>
              <w:t>-</w:t>
            </w:r>
          </w:p>
        </w:tc>
        <w:tc>
          <w:tcPr>
            <w:tcW w:type="dxa" w:w="1884"/>
          </w:tcPr>
          <w:p>
            <w:r>
              <w:rPr>
                <w:b/>
              </w:rPr>
              <w:t>58%</w:t>
            </w:r>
          </w:p>
        </w:tc>
      </w:tr>
    </w:tbl>
    <w:p/>
    <w:p>
      <w:pPr>
        <w:pStyle w:val="Heading1"/>
      </w:pPr>
      <w:r>
        <w:t>5. Reporte de Adopción de Suscripciones</w:t>
      </w:r>
    </w:p>
    <w:p>
      <w:r>
        <w:t>Propósito: Evaluar la penetración de planes de suscripción y beneficios obtenidos. Mide el éxito de la estrategia de ingresos recurrentes.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4"/>
        <w:gridCol w:w="1884"/>
        <w:gridCol w:w="1884"/>
        <w:gridCol w:w="1884"/>
        <w:gridCol w:w="1884"/>
      </w:tblGrid>
      <w:tr>
        <w:tc>
          <w:tcPr>
            <w:tcW w:type="dxa" w:w="1884"/>
          </w:tcPr>
          <w:p>
            <w:r>
              <w:rPr>
                <w:b/>
              </w:rPr>
              <w:t>Plan de Suscripción</w:t>
            </w:r>
          </w:p>
        </w:tc>
        <w:tc>
          <w:tcPr>
            <w:tcW w:type="dxa" w:w="1884"/>
          </w:tcPr>
          <w:p>
            <w:r>
              <w:rPr>
                <w:b/>
              </w:rPr>
              <w:t>Suscriptores Activos</w:t>
            </w:r>
          </w:p>
        </w:tc>
        <w:tc>
          <w:tcPr>
            <w:tcW w:type="dxa" w:w="1884"/>
          </w:tcPr>
          <w:p>
            <w:r>
              <w:rPr>
                <w:b/>
              </w:rPr>
              <w:t>Ingresos Mensuales ($)</w:t>
            </w:r>
          </w:p>
        </w:tc>
        <w:tc>
          <w:tcPr>
            <w:tcW w:type="dxa" w:w="1884"/>
          </w:tcPr>
          <w:p>
            <w:r>
              <w:rPr>
                <w:b/>
              </w:rPr>
              <w:t>Beneficios Utilizados (%)</w:t>
            </w:r>
          </w:p>
        </w:tc>
        <w:tc>
          <w:tcPr>
            <w:tcW w:type="dxa" w:w="1884"/>
          </w:tcPr>
          <w:p>
            <w:r>
              <w:rPr>
                <w:b/>
              </w:rPr>
              <w:t>Churn Rate (%)</w:t>
            </w:r>
          </w:p>
        </w:tc>
      </w:tr>
      <w:tr>
        <w:tc>
          <w:tcPr>
            <w:tcW w:type="dxa" w:w="1884"/>
          </w:tcPr>
          <w:p>
            <w:r>
              <w:t>Premium Mensual ($19.99)</w:t>
            </w:r>
          </w:p>
        </w:tc>
        <w:tc>
          <w:tcPr>
            <w:tcW w:type="dxa" w:w="1884"/>
          </w:tcPr>
          <w:p>
            <w:r>
              <w:t>285</w:t>
            </w:r>
          </w:p>
        </w:tc>
        <w:tc>
          <w:tcPr>
            <w:tcW w:type="dxa" w:w="1884"/>
          </w:tcPr>
          <w:p>
            <w:r>
              <w:t>$5,697</w:t>
            </w:r>
          </w:p>
        </w:tc>
        <w:tc>
          <w:tcPr>
            <w:tcW w:type="dxa" w:w="1884"/>
          </w:tcPr>
          <w:p>
            <w:r>
              <w:t>78%</w:t>
            </w:r>
          </w:p>
        </w:tc>
        <w:tc>
          <w:tcPr>
            <w:tcW w:type="dxa" w:w="1884"/>
          </w:tcPr>
          <w:p>
            <w:r>
              <w:t>8%</w:t>
            </w:r>
          </w:p>
        </w:tc>
      </w:tr>
      <w:tr>
        <w:tc>
          <w:tcPr>
            <w:tcW w:type="dxa" w:w="1884"/>
          </w:tcPr>
          <w:p>
            <w:r>
              <w:t>Premium Anual ($199.99)</w:t>
            </w:r>
          </w:p>
        </w:tc>
        <w:tc>
          <w:tcPr>
            <w:tcW w:type="dxa" w:w="1884"/>
          </w:tcPr>
          <w:p>
            <w:r>
              <w:t>42</w:t>
            </w:r>
          </w:p>
        </w:tc>
        <w:tc>
          <w:tcPr>
            <w:tcW w:type="dxa" w:w="1884"/>
          </w:tcPr>
          <w:p>
            <w:r>
              <w:t>$8,396</w:t>
            </w:r>
          </w:p>
        </w:tc>
        <w:tc>
          <w:tcPr>
            <w:tcW w:type="dxa" w:w="1884"/>
          </w:tcPr>
          <w:p>
            <w:r>
              <w:t>82%</w:t>
            </w:r>
          </w:p>
        </w:tc>
        <w:tc>
          <w:tcPr>
            <w:tcW w:type="dxa" w:w="1884"/>
          </w:tcPr>
          <w:p>
            <w:r>
              <w:t>3%</w:t>
            </w:r>
          </w:p>
        </w:tc>
      </w:tr>
      <w:tr>
        <w:tc>
          <w:tcPr>
            <w:tcW w:type="dxa" w:w="1884"/>
          </w:tcPr>
          <w:p>
            <w:r>
              <w:t>Sin Suscripción</w:t>
            </w:r>
          </w:p>
        </w:tc>
        <w:tc>
          <w:tcPr>
            <w:tcW w:type="dxa" w:w="1884"/>
          </w:tcPr>
          <w:p>
            <w:r>
              <w:t>1,328</w:t>
            </w:r>
          </w:p>
        </w:tc>
        <w:tc>
          <w:tcPr>
            <w:tcW w:type="dxa" w:w="1884"/>
          </w:tcPr>
          <w:p>
            <w:r>
              <w:t>$0</w:t>
            </w:r>
          </w:p>
        </w:tc>
        <w:tc>
          <w:tcPr>
            <w:tcW w:type="dxa" w:w="1884"/>
          </w:tcPr>
          <w:p>
            <w:r>
              <w:t>0%</w:t>
            </w:r>
          </w:p>
        </w:tc>
        <w:tc>
          <w:tcPr>
            <w:tcW w:type="dxa" w:w="1884"/>
          </w:tcPr>
          <w:p>
            <w:r>
              <w:t>100%</w:t>
            </w:r>
          </w:p>
        </w:tc>
      </w:tr>
      <w:tr>
        <w:tc>
          <w:tcPr>
            <w:tcW w:type="dxa" w:w="188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884"/>
          </w:tcPr>
          <w:p>
            <w:r>
              <w:rPr>
                <w:b/>
              </w:rPr>
              <w:t>1,655</w:t>
            </w:r>
          </w:p>
        </w:tc>
        <w:tc>
          <w:tcPr>
            <w:tcW w:type="dxa" w:w="1884"/>
          </w:tcPr>
          <w:p>
            <w:r>
              <w:rPr>
                <w:b/>
              </w:rPr>
              <w:t>$14,093</w:t>
            </w:r>
          </w:p>
        </w:tc>
        <w:tc>
          <w:tcPr>
            <w:tcW w:type="dxa" w:w="1884"/>
          </w:tcPr>
          <w:p>
            <w:r>
              <w:rPr>
                <w:b/>
              </w:rPr>
              <w:t>48%</w:t>
            </w:r>
          </w:p>
        </w:tc>
        <w:tc>
          <w:tcPr>
            <w:tcW w:type="dxa" w:w="1884"/>
          </w:tcPr>
          <w:p>
            <w:r>
              <w:rPr>
                <w:b/>
              </w:rPr>
              <w:t>37%</w:t>
            </w:r>
          </w:p>
        </w:tc>
      </w:tr>
    </w:tbl>
    <w:p/>
    <w:p>
      <w:pPr>
        <w:pStyle w:val="Heading1"/>
      </w:pPr>
      <w:r>
        <w:t>6. Reporte de Adopción de Seguros</w:t>
      </w:r>
    </w:p>
    <w:p>
      <w:r>
        <w:t>Propósito: Medir la aceptación de seguros para entradas, servicio de protección adicional. Identifica oportunidades de venta cruzada.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4"/>
        <w:gridCol w:w="2354"/>
        <w:gridCol w:w="2354"/>
        <w:gridCol w:w="2354"/>
      </w:tblGrid>
      <w:tr>
        <w:tc>
          <w:tcPr>
            <w:tcW w:type="dxa" w:w="2354"/>
          </w:tcPr>
          <w:p>
            <w:r>
              <w:rPr>
                <w:b/>
              </w:rPr>
              <w:t>Tipo de Seguro</w:t>
            </w:r>
          </w:p>
        </w:tc>
        <w:tc>
          <w:tcPr>
            <w:tcW w:type="dxa" w:w="2354"/>
          </w:tcPr>
          <w:p>
            <w:r>
              <w:rPr>
                <w:b/>
              </w:rPr>
              <w:t>Entradas Aseguradas</w:t>
            </w:r>
          </w:p>
        </w:tc>
        <w:tc>
          <w:tcPr>
            <w:tcW w:type="dxa" w:w="2354"/>
          </w:tcPr>
          <w:p>
            <w:r>
              <w:rPr>
                <w:b/>
              </w:rPr>
              <w:t>Ingresos por Seguros ($)</w:t>
            </w:r>
          </w:p>
        </w:tc>
        <w:tc>
          <w:tcPr>
            <w:tcW w:type="dxa" w:w="2354"/>
          </w:tcPr>
          <w:p>
            <w:r>
              <w:rPr>
                <w:b/>
              </w:rPr>
              <w:t>Tasa de Adopción (%)</w:t>
            </w:r>
          </w:p>
        </w:tc>
      </w:tr>
      <w:tr>
        <w:tc>
          <w:tcPr>
            <w:tcW w:type="dxa" w:w="2354"/>
          </w:tcPr>
          <w:p>
            <w:r>
              <w:t>Seguro de Cancelación</w:t>
            </w:r>
          </w:p>
        </w:tc>
        <w:tc>
          <w:tcPr>
            <w:tcW w:type="dxa" w:w="2354"/>
          </w:tcPr>
          <w:p>
            <w:r>
              <w:t>98</w:t>
            </w:r>
          </w:p>
        </w:tc>
        <w:tc>
          <w:tcPr>
            <w:tcW w:type="dxa" w:w="2354"/>
          </w:tcPr>
          <w:p>
            <w:r>
              <w:t>$1,470</w:t>
            </w:r>
          </w:p>
        </w:tc>
        <w:tc>
          <w:tcPr>
            <w:tcW w:type="dxa" w:w="2354"/>
          </w:tcPr>
          <w:p>
            <w:r>
              <w:t>23%</w:t>
            </w:r>
          </w:p>
        </w:tc>
      </w:tr>
      <w:tr>
        <w:tc>
          <w:tcPr>
            <w:tcW w:type="dxa" w:w="2354"/>
          </w:tcPr>
          <w:p>
            <w:r>
              <w:t>Seguro de Cambio de Fecha</w:t>
            </w:r>
          </w:p>
        </w:tc>
        <w:tc>
          <w:tcPr>
            <w:tcW w:type="dxa" w:w="2354"/>
          </w:tcPr>
          <w:p>
            <w:r>
              <w:t>145</w:t>
            </w:r>
          </w:p>
        </w:tc>
        <w:tc>
          <w:tcPr>
            <w:tcW w:type="dxa" w:w="2354"/>
          </w:tcPr>
          <w:p>
            <w:r>
              <w:t>$2,175</w:t>
            </w:r>
          </w:p>
        </w:tc>
        <w:tc>
          <w:tcPr>
            <w:tcW w:type="dxa" w:w="2354"/>
          </w:tcPr>
          <w:p>
            <w:r>
              <w:t>33%</w:t>
            </w:r>
          </w:p>
        </w:tc>
      </w:tr>
      <w:tr>
        <w:tc>
          <w:tcPr>
            <w:tcW w:type="dxa" w:w="2354"/>
          </w:tcPr>
          <w:p>
            <w:r>
              <w:t>Seguro Integral</w:t>
            </w:r>
          </w:p>
        </w:tc>
        <w:tc>
          <w:tcPr>
            <w:tcW w:type="dxa" w:w="2354"/>
          </w:tcPr>
          <w:p>
            <w:r>
              <w:t>52</w:t>
            </w:r>
          </w:p>
        </w:tc>
        <w:tc>
          <w:tcPr>
            <w:tcW w:type="dxa" w:w="2354"/>
          </w:tcPr>
          <w:p>
            <w:r>
              <w:t>$1,560</w:t>
            </w:r>
          </w:p>
        </w:tc>
        <w:tc>
          <w:tcPr>
            <w:tcW w:type="dxa" w:w="2354"/>
          </w:tcPr>
          <w:p>
            <w:r>
              <w:t>12%</w:t>
            </w:r>
          </w:p>
        </w:tc>
      </w:tr>
      <w:tr>
        <w:tc>
          <w:tcPr>
            <w:tcW w:type="dxa" w:w="2354"/>
          </w:tcPr>
          <w:p>
            <w:r>
              <w:t>Sin Seguro</w:t>
            </w:r>
          </w:p>
        </w:tc>
        <w:tc>
          <w:tcPr>
            <w:tcW w:type="dxa" w:w="2354"/>
          </w:tcPr>
          <w:p>
            <w:r>
              <w:t>140</w:t>
            </w:r>
          </w:p>
        </w:tc>
        <w:tc>
          <w:tcPr>
            <w:tcW w:type="dxa" w:w="2354"/>
          </w:tcPr>
          <w:p>
            <w:r>
              <w:t>$0</w:t>
            </w:r>
          </w:p>
        </w:tc>
        <w:tc>
          <w:tcPr>
            <w:tcW w:type="dxa" w:w="2354"/>
          </w:tcPr>
          <w:p>
            <w:r>
              <w:t>32%</w:t>
            </w:r>
          </w:p>
        </w:tc>
      </w:tr>
      <w:tr>
        <w:tc>
          <w:tcPr>
            <w:tcW w:type="dxa" w:w="235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354"/>
          </w:tcPr>
          <w:p>
            <w:r>
              <w:rPr>
                <w:b/>
              </w:rPr>
              <w:t>435</w:t>
            </w:r>
          </w:p>
        </w:tc>
        <w:tc>
          <w:tcPr>
            <w:tcW w:type="dxa" w:w="2354"/>
          </w:tcPr>
          <w:p>
            <w:r>
              <w:rPr>
                <w:b/>
              </w:rPr>
              <w:t>$5,205</w:t>
            </w:r>
          </w:p>
        </w:tc>
        <w:tc>
          <w:tcPr>
            <w:tcW w:type="dxa" w:w="2354"/>
          </w:tcPr>
          <w:p>
            <w:r>
              <w:rPr>
                <w:b/>
              </w:rPr>
              <w:t>68%</w:t>
            </w:r>
          </w:p>
        </w:tc>
      </w:tr>
    </w:tbl>
    <w:p/>
    <w:p>
      <w:pPr>
        <w:pStyle w:val="Heading1"/>
      </w:pPr>
      <w:r>
        <w:t>7. Conclusiones y Recomendaciones</w:t>
      </w:r>
    </w:p>
    <w:p>
      <w:r>
        <w:rPr>
          <w:b/>
        </w:rPr>
        <w:t xml:space="preserve">Ingresos Totales Generados: </w:t>
      </w:r>
      <w:r>
        <w:t>$89,748 (período simulado)</w:t>
        <w:br/>
        <w:br/>
      </w:r>
      <w:r>
        <w:rPr>
          <w:b/>
        </w:rPr>
        <w:t>Hallazgos Principales:</w:t>
        <w:br/>
      </w:r>
    </w:p>
    <w:p>
      <w:pPr>
        <w:pStyle w:val="ListBullet"/>
      </w:pPr>
      <w:r>
        <w:t>Los eventos de gran escala (deportes, conciertos) generan mayor volumen de ventas.</w:t>
      </w:r>
    </w:p>
    <w:p>
      <w:pPr>
        <w:pStyle w:val="ListBullet"/>
      </w:pPr>
      <w:r>
        <w:t>Existe una oportunidad de crecimiento en la adopción de suscripciones (29% de penetración).</w:t>
      </w:r>
    </w:p>
    <w:p>
      <w:pPr>
        <w:pStyle w:val="ListBullet"/>
      </w:pPr>
      <w:r>
        <w:t>El nivel Oro, aunque pequeño en cantidad (5%), genera el mayor valor por cliente.</w:t>
      </w:r>
    </w:p>
    <w:p>
      <w:pPr>
        <w:pStyle w:val="ListBullet"/>
      </w:pPr>
      <w:r>
        <w:t>Los seguros integrados muestran fuerte adopción (68%), sugiriendo demanda de protección.</w:t>
      </w:r>
    </w:p>
    <w:p/>
    <w:p>
      <w:pPr>
        <w:pStyle w:val="Heading3"/>
      </w:pPr>
      <w:r>
        <w:rPr>
          <w:b/>
        </w:rPr>
        <w:t>Recomendaciones:</w:t>
        <w:br/>
      </w:r>
    </w:p>
    <w:p>
      <w:pPr>
        <w:pStyle w:val="ListBullet"/>
      </w:pPr>
      <w:r>
        <w:t>Enfatizar planes de suscripción como fuente de ingresos recurrentes.</w:t>
      </w:r>
    </w:p>
    <w:p>
      <w:pPr>
        <w:pStyle w:val="ListBullet"/>
      </w:pPr>
      <w:r>
        <w:t>Crear campañas de promoción para usuarios Bronce hacia Plata (mayor retención).</w:t>
      </w:r>
    </w:p>
    <w:p>
      <w:pPr>
        <w:pStyle w:val="ListBullet"/>
      </w:pPr>
      <w:r>
        <w:t>Expandir seguros como servicio de valor agregado en todos los paquetes.</w:t>
      </w:r>
    </w:p>
    <w:p>
      <w:pPr>
        <w:pStyle w:val="ListBullet"/>
      </w:pPr>
      <w:r>
        <w:t>Desarrollar eventos de nicho dirigidos a usuarios de nivel Oro para maximizar ACV.</w:t>
      </w:r>
    </w:p>
    <w:sectPr w:rsidR="00FC693F" w:rsidRPr="0006063C" w:rsidSect="00034616">
      <w:pgSz w:w="12240" w:h="15840"/>
      <w:pgMar w:top="1440" w:right="1123" w:bottom="108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