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nonTDM"/>
        <w:pBdr>
          <w:bottom w:val="double" w:sz="2" w:space="1" w:color="008000"/>
        </w:pBdr>
        <w:snapToGrid w:val="false"/>
        <w:spacing w:before="0" w:after="0"/>
        <w:rPr>
          <w:rFonts w:ascii="Arial" w:hAnsi="Arial"/>
          <w:b/>
          <w:b/>
          <w:bCs/>
          <w:color w:val="auto"/>
          <w:sz w:val="18"/>
          <w:szCs w:val="18"/>
        </w:rPr>
      </w:pPr>
      <w:r>
        <w:rPr>
          <w:rFonts w:ascii="Arial" w:hAnsi="Arial"/>
          <w:b/>
          <w:bCs/>
          <w:color w:val="auto"/>
          <w:sz w:val="18"/>
          <w:szCs w:val="18"/>
        </w:rPr>
        <w:t>Ministère de l’agriculture et de la souveraineté alimentaire</w:t>
      </w:r>
    </w:p>
    <w:p>
      <w:pPr>
        <w:pStyle w:val="Titre1nonTDM"/>
        <w:pBdr>
          <w:bottom w:val="double" w:sz="2" w:space="1" w:color="008000"/>
        </w:pBdr>
        <w:snapToGrid w:val="false"/>
        <w:spacing w:before="0" w:after="0"/>
        <w:rPr>
          <w:rFonts w:ascii="Arial" w:hAnsi="Arial"/>
          <w:b/>
          <w:b/>
          <w:bCs/>
          <w:color w:val="auto"/>
          <w:sz w:val="18"/>
          <w:szCs w:val="18"/>
        </w:rPr>
      </w:pPr>
      <w:r>
        <w:rPr>
          <w:rFonts w:ascii="Arial" w:hAnsi="Arial"/>
          <w:color w:val="auto"/>
          <w:sz w:val="16"/>
          <w:szCs w:val="16"/>
        </w:rPr>
        <w:t>Service de la Statistique et de la Prospective</w:t>
      </w:r>
    </w:p>
    <w:p>
      <w:pPr>
        <w:pStyle w:val="Titre"/>
        <w:rPr/>
      </w:pPr>
      <w:r>
        <mc:AlternateContent>
          <mc:Choice Requires="wps">
            <w:drawing>
              <wp:anchor behindDoc="0" distT="0" distB="0" distL="0" distR="114300" simplePos="0" locked="0" layoutInCell="0" allowOverlap="1" relativeHeight="2">
                <wp:simplePos x="0" y="0"/>
                <wp:positionH relativeFrom="margin">
                  <wp:align>left</wp:align>
                </wp:positionH>
                <wp:positionV relativeFrom="paragraph">
                  <wp:posOffset>579755</wp:posOffset>
                </wp:positionV>
                <wp:extent cx="6116955" cy="500380"/>
                <wp:effectExtent l="0" t="0" r="0" b="0"/>
                <wp:wrapSquare wrapText="bothSides"/>
                <wp:docPr id="1" name="Cadre1"/>
                <a:graphic xmlns:a="http://schemas.openxmlformats.org/drawingml/2006/main">
                  <a:graphicData uri="http://schemas.microsoft.com/office/word/2010/wordprocessingShape">
                    <wps:wsp>
                      <wps:cNvSpPr/>
                      <wps:spPr>
                        <a:xfrm>
                          <a:off x="0" y="0"/>
                          <a:ext cx="6117120" cy="500400"/>
                        </a:xfrm>
                        <a:prstGeom prst="rect">
                          <a:avLst/>
                        </a:prstGeom>
                        <a:noFill/>
                        <a:ln w="0">
                          <a:noFill/>
                        </a:ln>
                      </wps:spPr>
                      <wps:style>
                        <a:lnRef idx="0"/>
                        <a:fillRef idx="0"/>
                        <a:effectRef idx="0"/>
                        <a:fontRef idx="minor"/>
                      </wps:style>
                      <wps:txbx>
                        <w:txbxContent>
                          <w:p>
                            <w:pPr>
                              <w:pStyle w:val="Texte1"/>
                              <w:spacing w:lineRule="auto" w:line="240" w:before="120" w:after="0"/>
                              <w:rPr>
                                <w:rFonts w:ascii="Calibri" w:hAnsi="Calibri" w:cs="Calibri" w:asciiTheme="minorHAnsi" w:cstheme="minorHAnsi" w:hAnsiTheme="minorHAnsi"/>
                                <w:sz w:val="22"/>
                              </w:rPr>
                            </w:pPr>
                            <w:r>
                              <w:rPr>
                                <w:rFonts w:cs="Calibri" w:ascii="Calibri" w:hAnsi="Calibri" w:asciiTheme="minorHAnsi" w:cstheme="minorHAnsi" w:hAnsiTheme="minorHAnsi"/>
                                <w:sz w:val="22"/>
                              </w:rPr>
                              <w:t>Les fichiers détails disponibles sous Agreste présentent, sous un format anonymisé, les données individuelles de l'enquête RICA pour chaque exercice comptable.</w:t>
                            </w:r>
                          </w:p>
                        </w:txbxContent>
                      </wps:txbx>
                      <wps:bodyPr lIns="0" rIns="0" tIns="0" bIns="0" anchor="t">
                        <a:noAutofit/>
                      </wps:bodyPr>
                    </wps:wsp>
                  </a:graphicData>
                </a:graphic>
              </wp:anchor>
            </w:drawing>
          </mc:Choice>
          <mc:Fallback>
            <w:pict>
              <v:rect id="shape_0" ID="Cadre1" path="m0,0l-2147483645,0l-2147483645,-2147483646l0,-2147483646xe" fillcolor="white" stroked="f" o:allowincell="f" style="position:absolute;margin-left:-0.05pt;margin-top:45.65pt;width:481.6pt;height:39.35pt;mso-wrap-style:none;v-text-anchor:top;mso-position-horizontal:left;mso-position-horizontal-relative:margin">
                <v:fill o:detectmouseclick="t" type="solid" color2="black" opacity="0"/>
                <v:stroke color="#3465a4" joinstyle="round" endcap="flat"/>
                <v:textbox>
                  <w:txbxContent>
                    <w:p>
                      <w:pPr>
                        <w:pStyle w:val="Texte1"/>
                        <w:spacing w:lineRule="auto" w:line="240" w:before="120" w:after="0"/>
                        <w:rPr>
                          <w:rFonts w:ascii="Calibri" w:hAnsi="Calibri" w:cs="Calibri" w:asciiTheme="minorHAnsi" w:cstheme="minorHAnsi" w:hAnsiTheme="minorHAnsi"/>
                          <w:sz w:val="22"/>
                        </w:rPr>
                      </w:pPr>
                      <w:r>
                        <w:rPr>
                          <w:rFonts w:cs="Calibri" w:ascii="Calibri" w:hAnsi="Calibri" w:asciiTheme="minorHAnsi" w:cstheme="minorHAnsi" w:hAnsiTheme="minorHAnsi"/>
                          <w:sz w:val="22"/>
                        </w:rPr>
                        <w:t>Les fichiers détails disponibles sous Agreste présentent, sous un format anonymisé, les données individuelles de l'enquête RICA pour chaque exercice comptable.</w:t>
                      </w:r>
                    </w:p>
                  </w:txbxContent>
                </v:textbox>
                <w10:wrap type="square"/>
              </v:rect>
            </w:pict>
          </mc:Fallback>
        </mc:AlternateContent>
      </w:r>
      <w:r>
        <w:rPr/>
        <w:t>Microdonnées du RICA France</w:t>
      </w:r>
    </w:p>
    <w:p>
      <w:pPr>
        <w:pStyle w:val="Titre1nonTDM"/>
        <w:pBdr>
          <w:bottom w:val="double" w:sz="2" w:space="1" w:color="008000"/>
        </w:pBdr>
        <w:snapToGrid w:val="false"/>
        <w:rPr>
          <w:rFonts w:ascii="Arial" w:hAnsi="Arial"/>
          <w:color w:val="FFFFFF" w:themeColor="background1"/>
          <w:sz w:val="16"/>
          <w:szCs w:val="16"/>
        </w:rPr>
      </w:pPr>
      <w:r>
        <w:rPr>
          <w:rFonts w:ascii="Arial" w:hAnsi="Arial"/>
          <w:color w:val="FFFFFF" w:themeColor="background1"/>
          <w:sz w:val="16"/>
          <w:szCs w:val="16"/>
        </w:rPr>
        <w:t>Bureau des statistiques sur les productions et les comptabilités agricoles</w:t>
      </w:r>
    </w:p>
    <w:p>
      <w:pPr>
        <w:pStyle w:val="Titre"/>
        <w:rPr/>
      </w:pPr>
      <w:r>
        <w:rPr/>
        <w:t>Présentation des fichiers mis en ligne</w:t>
      </w:r>
    </w:p>
    <w:p>
      <w:pPr>
        <w:pStyle w:val="Textbody"/>
        <w:rPr>
          <w:rFonts w:ascii="Calibri" w:hAnsi="Calibri" w:cs="Calibri" w:asciiTheme="minorHAnsi" w:cstheme="minorHAnsi" w:hAnsiTheme="minorHAnsi"/>
          <w:sz w:val="22"/>
        </w:rPr>
      </w:pPr>
      <w:r>
        <w:rPr>
          <w:rFonts w:cs="Calibri" w:cstheme="minorHAnsi" w:ascii="Calibri" w:hAnsi="Calibri"/>
          <w:sz w:val="22"/>
        </w:rPr>
      </w:r>
    </w:p>
    <w:p>
      <w:pPr>
        <w:pStyle w:val="Titre"/>
        <w:jc w:val="left"/>
        <w:rPr>
          <w:i/>
          <w:i/>
          <w:sz w:val="24"/>
          <w:szCs w:val="24"/>
        </w:rPr>
      </w:pPr>
      <w:r>
        <w:rPr>
          <w:i/>
          <w:sz w:val="24"/>
          <w:szCs w:val="24"/>
        </w:rPr>
        <w:t>Table des matières</w:t>
      </w:r>
    </w:p>
    <w:p>
      <w:pPr>
        <w:pStyle w:val="01courant"/>
        <w:rPr>
          <w:rFonts w:ascii="Calibri" w:hAnsi="Calibri" w:cs="Calibri"/>
          <w:sz w:val="22"/>
        </w:rPr>
      </w:pPr>
      <w:r>
        <w:rPr>
          <w:rFonts w:cs="Calibri" w:ascii="Calibri" w:hAnsi="Calibri"/>
          <w:sz w:val="22"/>
        </w:rPr>
      </w:r>
    </w:p>
    <w:sdt>
      <w:sdtPr>
        <w:docPartObj>
          <w:docPartGallery w:val="Table of Contents"/>
          <w:docPartUnique w:val="true"/>
        </w:docPartObj>
      </w:sdtPr>
      <w:sdtContent>
        <w:p>
          <w:pPr>
            <w:pStyle w:val="Tabledesmatiresniveau1"/>
            <w:rPr>
              <w:rFonts w:cs="" w:cstheme="minorBidi"/>
              <w:b w:val="false"/>
              <w:b w:val="false"/>
              <w:bCs w:val="false"/>
              <w:iCs w:val="false"/>
              <w:sz w:val="22"/>
              <w:szCs w:val="22"/>
            </w:rPr>
          </w:pPr>
          <w:r>
            <w:fldChar w:fldCharType="begin"/>
          </w:r>
          <w:r>
            <w:rPr>
              <w:webHidden/>
              <w:rStyle w:val="Sautdindex"/>
            </w:rPr>
            <w:instrText xml:space="preserve"> TOC \z \o "1-3" \u \h</w:instrText>
          </w:r>
          <w:r>
            <w:rPr>
              <w:webHidden/>
              <w:rStyle w:val="Sautdindex"/>
            </w:rPr>
            <w:fldChar w:fldCharType="separate"/>
          </w:r>
          <w:hyperlink w:anchor="_Toc37833785">
            <w:bookmarkStart w:id="0" w:name="__RefHeading___Toc21834_1725960890"/>
            <w:bookmarkEnd w:id="0"/>
            <w:r>
              <w:rPr>
                <w:webHidden/>
                <w:rStyle w:val="Sautdindex"/>
              </w:rPr>
              <w:t>I.</w:t>
            </w:r>
            <w:r>
              <w:rPr>
                <w:rStyle w:val="Sautdindex"/>
                <w:rFonts w:cs="" w:cstheme="minorBidi"/>
                <w:b w:val="false"/>
                <w:bCs w:val="false"/>
                <w:iCs w:val="false"/>
                <w:sz w:val="22"/>
                <w:szCs w:val="22"/>
              </w:rPr>
              <w:tab/>
            </w:r>
            <w:r>
              <w:rPr>
                <w:rStyle w:val="Sautdindex"/>
              </w:rPr>
              <w:t>Présentation générale de l'enquête RICA</w:t>
            </w:r>
            <w:r>
              <w:rPr>
                <w:webHidden/>
              </w:rPr>
              <w:fldChar w:fldCharType="begin"/>
            </w:r>
            <w:r>
              <w:rPr>
                <w:webHidden/>
              </w:rPr>
              <w:instrText xml:space="preserve">PAGEREF _Toc37833785 \h</w:instrText>
            </w:r>
            <w:r>
              <w:rPr>
                <w:webHidden/>
              </w:rPr>
              <w:fldChar w:fldCharType="separate"/>
            </w:r>
            <w:r>
              <w:rPr>
                <w:rStyle w:val="Sautdindex"/>
                <w:vanish w:val="false"/>
              </w:rPr>
              <w:tab/>
              <w:t>2</w:t>
            </w:r>
            <w:r>
              <w:rPr>
                <w:webHidden/>
              </w:rPr>
              <w:fldChar w:fldCharType="end"/>
            </w:r>
          </w:hyperlink>
        </w:p>
        <w:p>
          <w:pPr>
            <w:pStyle w:val="Tabledesmatiresniveau2"/>
            <w:tabs>
              <w:tab w:val="clear" w:pos="408"/>
              <w:tab w:val="left" w:pos="660" w:leader="none"/>
              <w:tab w:val="right" w:pos="9628" w:leader="underscore"/>
            </w:tabs>
            <w:rPr>
              <w:rFonts w:cs="" w:cstheme="minorBidi"/>
              <w:b w:val="false"/>
              <w:b w:val="false"/>
              <w:bCs w:val="false"/>
            </w:rPr>
          </w:pPr>
          <w:hyperlink w:anchor="_Toc37833786">
            <w:r>
              <w:rPr>
                <w:webHidden/>
                <w:rStyle w:val="Sautdindex"/>
              </w:rPr>
              <w:t>1.</w:t>
            </w:r>
            <w:r>
              <w:rPr>
                <w:rStyle w:val="Sautdindex"/>
                <w:rFonts w:cs="" w:cstheme="minorBidi"/>
                <w:b w:val="false"/>
                <w:bCs w:val="false"/>
              </w:rPr>
              <w:tab/>
            </w:r>
            <w:r>
              <w:rPr>
                <w:rStyle w:val="Sautdindex"/>
              </w:rPr>
              <w:t>Origine et objectif</w:t>
            </w:r>
            <w:r>
              <w:rPr>
                <w:webHidden/>
              </w:rPr>
              <w:fldChar w:fldCharType="begin"/>
            </w:r>
            <w:r>
              <w:rPr>
                <w:webHidden/>
              </w:rPr>
              <w:instrText xml:space="preserve">PAGEREF _Toc37833786 \h</w:instrText>
            </w:r>
            <w:r>
              <w:rPr>
                <w:webHidden/>
              </w:rPr>
              <w:fldChar w:fldCharType="separate"/>
            </w:r>
            <w:r>
              <w:rPr>
                <w:rStyle w:val="Sautdindex"/>
                <w:vanish w:val="false"/>
              </w:rPr>
              <w:tab/>
              <w:t>2</w:t>
            </w:r>
            <w:r>
              <w:rPr>
                <w:webHidden/>
              </w:rPr>
              <w:fldChar w:fldCharType="end"/>
            </w:r>
          </w:hyperlink>
        </w:p>
        <w:p>
          <w:pPr>
            <w:pStyle w:val="Tabledesmatiresniveau3"/>
            <w:tabs>
              <w:tab w:val="clear" w:pos="408"/>
              <w:tab w:val="right" w:pos="9628" w:leader="underscore"/>
            </w:tabs>
            <w:rPr>
              <w:rFonts w:cs="" w:cstheme="minorBidi"/>
              <w:sz w:val="22"/>
              <w:szCs w:val="22"/>
            </w:rPr>
          </w:pPr>
          <w:hyperlink w:anchor="_Toc37833787">
            <w:r>
              <w:rPr>
                <w:webHidden/>
                <w:rStyle w:val="Sautdindex"/>
              </w:rPr>
              <w:t>Champ de l’enquête</w:t>
            </w:r>
            <w:r>
              <w:rPr>
                <w:webHidden/>
              </w:rPr>
              <w:fldChar w:fldCharType="begin"/>
            </w:r>
            <w:r>
              <w:rPr>
                <w:webHidden/>
              </w:rPr>
              <w:instrText xml:space="preserve">PAGEREF _Toc37833787 \h</w:instrText>
            </w:r>
            <w:r>
              <w:rPr>
                <w:webHidden/>
              </w:rPr>
              <w:fldChar w:fldCharType="separate"/>
            </w:r>
            <w:r>
              <w:rPr>
                <w:rStyle w:val="Sautdindex"/>
                <w:vanish w:val="false"/>
              </w:rPr>
              <w:tab/>
              <w:t>2</w:t>
            </w:r>
            <w:r>
              <w:rPr>
                <w:webHidden/>
              </w:rPr>
              <w:fldChar w:fldCharType="end"/>
            </w:r>
          </w:hyperlink>
        </w:p>
        <w:p>
          <w:pPr>
            <w:pStyle w:val="Tabledesmatiresniveau3"/>
            <w:tabs>
              <w:tab w:val="clear" w:pos="408"/>
              <w:tab w:val="right" w:pos="9628" w:leader="underscore"/>
            </w:tabs>
            <w:rPr>
              <w:rFonts w:cs="" w:cstheme="minorBidi"/>
              <w:sz w:val="22"/>
              <w:szCs w:val="22"/>
            </w:rPr>
          </w:pPr>
          <w:hyperlink w:anchor="_Toc37833788">
            <w:r>
              <w:rPr>
                <w:webHidden/>
                <w:rStyle w:val="Sautdindex"/>
              </w:rPr>
              <w:t>Notion de typologie des exploitations agricoles : Otex, Cdex, PBS</w:t>
            </w:r>
            <w:r>
              <w:rPr>
                <w:webHidden/>
              </w:rPr>
              <w:fldChar w:fldCharType="begin"/>
            </w:r>
            <w:r>
              <w:rPr>
                <w:webHidden/>
              </w:rPr>
              <w:instrText xml:space="preserve">PAGEREF _Toc37833788 \h</w:instrText>
            </w:r>
            <w:r>
              <w:rPr>
                <w:webHidden/>
              </w:rPr>
              <w:fldChar w:fldCharType="separate"/>
            </w:r>
            <w:r>
              <w:rPr>
                <w:rStyle w:val="Sautdindex"/>
                <w:vanish w:val="false"/>
              </w:rPr>
              <w:tab/>
              <w:t>2</w:t>
            </w:r>
            <w:r>
              <w:rPr>
                <w:webHidden/>
              </w:rPr>
              <w:fldChar w:fldCharType="end"/>
            </w:r>
          </w:hyperlink>
        </w:p>
        <w:p>
          <w:pPr>
            <w:pStyle w:val="Tabledesmatiresniveau2"/>
            <w:tabs>
              <w:tab w:val="clear" w:pos="408"/>
              <w:tab w:val="left" w:pos="660" w:leader="none"/>
              <w:tab w:val="right" w:pos="9628" w:leader="underscore"/>
            </w:tabs>
            <w:rPr>
              <w:rFonts w:cs="" w:cstheme="minorBidi"/>
              <w:b w:val="false"/>
              <w:b w:val="false"/>
              <w:bCs w:val="false"/>
            </w:rPr>
          </w:pPr>
          <w:hyperlink w:anchor="_Toc37833789">
            <w:r>
              <w:rPr>
                <w:webHidden/>
                <w:rStyle w:val="Sautdindex"/>
              </w:rPr>
              <w:t>2.</w:t>
            </w:r>
            <w:r>
              <w:rPr>
                <w:rStyle w:val="Sautdindex"/>
                <w:rFonts w:cs="" w:cstheme="minorBidi"/>
                <w:b w:val="false"/>
                <w:bCs w:val="false"/>
              </w:rPr>
              <w:tab/>
            </w:r>
            <w:r>
              <w:rPr>
                <w:rStyle w:val="Sautdindex"/>
              </w:rPr>
              <w:t>Plan de sélection</w:t>
            </w:r>
            <w:r>
              <w:rPr>
                <w:webHidden/>
              </w:rPr>
              <w:fldChar w:fldCharType="begin"/>
            </w:r>
            <w:r>
              <w:rPr>
                <w:webHidden/>
              </w:rPr>
              <w:instrText xml:space="preserve">PAGEREF _Toc37833789 \h</w:instrText>
            </w:r>
            <w:r>
              <w:rPr>
                <w:webHidden/>
              </w:rPr>
              <w:fldChar w:fldCharType="separate"/>
            </w:r>
            <w:r>
              <w:rPr>
                <w:rStyle w:val="Sautdindex"/>
                <w:vanish w:val="false"/>
              </w:rPr>
              <w:tab/>
              <w:t>2</w:t>
            </w:r>
            <w:r>
              <w:rPr>
                <w:webHidden/>
              </w:rPr>
              <w:fldChar w:fldCharType="end"/>
            </w:r>
          </w:hyperlink>
        </w:p>
        <w:p>
          <w:pPr>
            <w:pStyle w:val="Tabledesmatiresniveau3"/>
            <w:tabs>
              <w:tab w:val="clear" w:pos="408"/>
              <w:tab w:val="right" w:pos="9628" w:leader="underscore"/>
            </w:tabs>
            <w:rPr>
              <w:rFonts w:cs="" w:cstheme="minorBidi"/>
              <w:sz w:val="22"/>
              <w:szCs w:val="22"/>
            </w:rPr>
          </w:pPr>
          <w:hyperlink w:anchor="_Toc37833790">
            <w:r>
              <w:rPr>
                <w:webHidden/>
                <w:rStyle w:val="Sautdindex"/>
              </w:rPr>
              <w:t>Nombre d’exploitations et principales caractéristiques</w:t>
            </w:r>
            <w:r>
              <w:rPr>
                <w:webHidden/>
              </w:rPr>
              <w:fldChar w:fldCharType="begin"/>
            </w:r>
            <w:r>
              <w:rPr>
                <w:webHidden/>
              </w:rPr>
              <w:instrText xml:space="preserve">PAGEREF _Toc37833790 \h</w:instrText>
            </w:r>
            <w:r>
              <w:rPr>
                <w:webHidden/>
              </w:rPr>
              <w:fldChar w:fldCharType="separate"/>
            </w:r>
            <w:r>
              <w:rPr>
                <w:rStyle w:val="Sautdindex"/>
                <w:vanish w:val="false"/>
              </w:rPr>
              <w:tab/>
              <w:t>3</w:t>
            </w:r>
            <w:r>
              <w:rPr>
                <w:webHidden/>
              </w:rPr>
              <w:fldChar w:fldCharType="end"/>
            </w:r>
          </w:hyperlink>
        </w:p>
        <w:p>
          <w:pPr>
            <w:pStyle w:val="Tabledesmatiresniveau3"/>
            <w:tabs>
              <w:tab w:val="clear" w:pos="408"/>
              <w:tab w:val="right" w:pos="9628" w:leader="underscore"/>
            </w:tabs>
            <w:rPr/>
          </w:pPr>
          <w:hyperlink w:anchor="_Toc37833791">
            <w:r>
              <w:rPr>
                <w:webHidden/>
                <w:rStyle w:val="Sautdindex"/>
              </w:rPr>
              <w:t>Collecte des données</w:t>
            </w:r>
            <w:r>
              <w:rPr>
                <w:webHidden/>
              </w:rPr>
              <w:fldChar w:fldCharType="begin"/>
            </w:r>
            <w:r>
              <w:rPr>
                <w:webHidden/>
              </w:rPr>
              <w:instrText xml:space="preserve">PAGEREF _Toc37833791 \h</w:instrText>
            </w:r>
            <w:r>
              <w:rPr>
                <w:webHidden/>
              </w:rPr>
              <w:fldChar w:fldCharType="separate"/>
            </w:r>
            <w:r>
              <w:rPr>
                <w:rStyle w:val="Sautdindex"/>
                <w:vanish w:val="false"/>
              </w:rPr>
              <w:tab/>
              <w:t>3</w:t>
            </w:r>
            <w:r>
              <w:rPr>
                <w:webHidden/>
              </w:rPr>
              <w:fldChar w:fldCharType="end"/>
            </w:r>
          </w:hyperlink>
        </w:p>
        <w:p>
          <w:pPr>
            <w:pStyle w:val="Normal"/>
            <w:rPr/>
          </w:pPr>
          <w:r>
            <w:rPr/>
          </w:r>
        </w:p>
        <w:p>
          <w:pPr>
            <w:pStyle w:val="Tabledesmatiresniveau1"/>
            <w:rPr>
              <w:rFonts w:cs="" w:cstheme="minorBidi"/>
              <w:b w:val="false"/>
              <w:b w:val="false"/>
              <w:bCs w:val="false"/>
              <w:iCs w:val="false"/>
              <w:sz w:val="22"/>
              <w:szCs w:val="22"/>
            </w:rPr>
          </w:pPr>
          <w:hyperlink w:anchor="_Toc37833792">
            <w:r>
              <w:rPr>
                <w:webHidden/>
                <w:rStyle w:val="Sautdindex"/>
              </w:rPr>
              <w:t>II.</w:t>
            </w:r>
            <w:r>
              <w:rPr>
                <w:rStyle w:val="Sautdindex"/>
                <w:rFonts w:cs="" w:cstheme="minorBidi"/>
                <w:b w:val="false"/>
                <w:bCs w:val="false"/>
                <w:iCs w:val="false"/>
                <w:sz w:val="22"/>
                <w:szCs w:val="22"/>
              </w:rPr>
              <w:tab/>
            </w:r>
            <w:r>
              <w:rPr>
                <w:rStyle w:val="Sautdindex"/>
              </w:rPr>
              <w:t>Anonymisation et brouillage des données</w:t>
            </w:r>
            <w:r>
              <w:rPr>
                <w:webHidden/>
              </w:rPr>
              <w:fldChar w:fldCharType="begin"/>
            </w:r>
            <w:r>
              <w:rPr>
                <w:webHidden/>
              </w:rPr>
              <w:instrText xml:space="preserve">PAGEREF _Toc37833792 \h</w:instrText>
            </w:r>
            <w:r>
              <w:rPr>
                <w:webHidden/>
              </w:rPr>
              <w:fldChar w:fldCharType="separate"/>
            </w:r>
            <w:r>
              <w:rPr>
                <w:rStyle w:val="Sautdindex"/>
                <w:vanish w:val="false"/>
              </w:rPr>
              <w:tab/>
              <w:t>4</w:t>
            </w:r>
            <w:r>
              <w:rPr>
                <w:webHidden/>
              </w:rPr>
              <w:fldChar w:fldCharType="end"/>
            </w:r>
          </w:hyperlink>
        </w:p>
        <w:p>
          <w:pPr>
            <w:pStyle w:val="Tabledesmatiresniveau2"/>
            <w:tabs>
              <w:tab w:val="clear" w:pos="408"/>
              <w:tab w:val="left" w:pos="660" w:leader="none"/>
              <w:tab w:val="right" w:pos="9628" w:leader="underscore"/>
            </w:tabs>
            <w:rPr>
              <w:rFonts w:cs="" w:cstheme="minorBidi"/>
              <w:b w:val="false"/>
              <w:b w:val="false"/>
              <w:bCs w:val="false"/>
            </w:rPr>
          </w:pPr>
          <w:hyperlink w:anchor="_Toc37833793">
            <w:r>
              <w:rPr>
                <w:webHidden/>
                <w:rStyle w:val="Sautdindex"/>
              </w:rPr>
              <w:t>1.</w:t>
            </w:r>
            <w:r>
              <w:rPr>
                <w:rStyle w:val="Sautdindex"/>
                <w:rFonts w:cs="" w:cstheme="minorBidi"/>
                <w:b w:val="false"/>
                <w:bCs w:val="false"/>
              </w:rPr>
              <w:tab/>
            </w:r>
            <w:r>
              <w:rPr>
                <w:rStyle w:val="Sautdindex"/>
              </w:rPr>
              <w:t>Anonymisation</w:t>
            </w:r>
            <w:r>
              <w:rPr>
                <w:webHidden/>
              </w:rPr>
              <w:fldChar w:fldCharType="begin"/>
            </w:r>
            <w:r>
              <w:rPr>
                <w:webHidden/>
              </w:rPr>
              <w:instrText xml:space="preserve">PAGEREF _Toc37833793 \h</w:instrText>
            </w:r>
            <w:r>
              <w:rPr>
                <w:webHidden/>
              </w:rPr>
              <w:fldChar w:fldCharType="separate"/>
            </w:r>
            <w:r>
              <w:rPr>
                <w:rStyle w:val="Sautdindex"/>
                <w:vanish w:val="false"/>
              </w:rPr>
              <w:tab/>
              <w:t>4</w:t>
            </w:r>
            <w:r>
              <w:rPr>
                <w:webHidden/>
              </w:rPr>
              <w:fldChar w:fldCharType="end"/>
            </w:r>
          </w:hyperlink>
        </w:p>
        <w:p>
          <w:pPr>
            <w:pStyle w:val="Tabledesmatiresniveau2"/>
            <w:tabs>
              <w:tab w:val="clear" w:pos="408"/>
              <w:tab w:val="left" w:pos="660" w:leader="none"/>
              <w:tab w:val="right" w:pos="9628" w:leader="underscore"/>
            </w:tabs>
            <w:rPr/>
          </w:pPr>
          <w:hyperlink w:anchor="_Toc37833794">
            <w:r>
              <w:rPr>
                <w:webHidden/>
                <w:rStyle w:val="Sautdindex"/>
              </w:rPr>
              <w:t>2.</w:t>
            </w:r>
            <w:r>
              <w:rPr>
                <w:rStyle w:val="Sautdindex"/>
                <w:rFonts w:cs="" w:cstheme="minorBidi"/>
                <w:b w:val="false"/>
                <w:bCs w:val="false"/>
              </w:rPr>
              <w:tab/>
            </w:r>
            <w:r>
              <w:rPr>
                <w:rStyle w:val="Sautdindex"/>
              </w:rPr>
              <w:t>Brouillage</w:t>
            </w:r>
            <w:r>
              <w:rPr>
                <w:webHidden/>
              </w:rPr>
              <w:fldChar w:fldCharType="begin"/>
            </w:r>
            <w:r>
              <w:rPr>
                <w:webHidden/>
              </w:rPr>
              <w:instrText xml:space="preserve">PAGEREF _Toc37833794 \h</w:instrText>
            </w:r>
            <w:r>
              <w:rPr>
                <w:webHidden/>
              </w:rPr>
              <w:fldChar w:fldCharType="separate"/>
            </w:r>
            <w:r>
              <w:rPr>
                <w:rStyle w:val="Sautdindex"/>
                <w:vanish w:val="false"/>
              </w:rPr>
              <w:tab/>
              <w:t>4</w:t>
            </w:r>
            <w:r>
              <w:rPr>
                <w:webHidden/>
              </w:rPr>
              <w:fldChar w:fldCharType="end"/>
            </w:r>
          </w:hyperlink>
        </w:p>
        <w:p>
          <w:pPr>
            <w:pStyle w:val="Normal"/>
            <w:rPr/>
          </w:pPr>
          <w:r>
            <w:rPr/>
          </w:r>
        </w:p>
        <w:p>
          <w:pPr>
            <w:pStyle w:val="Tabledesmatiresniveau1"/>
            <w:rPr>
              <w:rFonts w:cs="" w:cstheme="minorBidi"/>
              <w:b w:val="false"/>
              <w:b w:val="false"/>
              <w:bCs w:val="false"/>
              <w:iCs w:val="false"/>
              <w:sz w:val="22"/>
              <w:szCs w:val="22"/>
            </w:rPr>
          </w:pPr>
          <w:hyperlink w:anchor="_Toc37833795">
            <w:r>
              <w:rPr>
                <w:webHidden/>
                <w:rStyle w:val="Sautdindex"/>
              </w:rPr>
              <w:t>III.</w:t>
            </w:r>
            <w:r>
              <w:rPr>
                <w:rStyle w:val="Sautdindex"/>
                <w:rFonts w:cs="" w:cstheme="minorBidi"/>
                <w:b w:val="false"/>
                <w:bCs w:val="false"/>
                <w:iCs w:val="false"/>
                <w:sz w:val="22"/>
                <w:szCs w:val="22"/>
              </w:rPr>
              <w:tab/>
            </w:r>
            <w:r>
              <w:rPr>
                <w:rStyle w:val="Sautdindex"/>
              </w:rPr>
              <w:t>Valorisation des données individuelles et pondération</w:t>
            </w:r>
            <w:r>
              <w:rPr>
                <w:webHidden/>
              </w:rPr>
              <w:fldChar w:fldCharType="begin"/>
            </w:r>
            <w:r>
              <w:rPr>
                <w:webHidden/>
              </w:rPr>
              <w:instrText xml:space="preserve">PAGEREF _Toc37833795 \h</w:instrText>
            </w:r>
            <w:r>
              <w:rPr>
                <w:webHidden/>
              </w:rPr>
              <w:fldChar w:fldCharType="separate"/>
            </w:r>
            <w:r>
              <w:rPr>
                <w:rStyle w:val="Sautdindex"/>
                <w:vanish w:val="false"/>
              </w:rPr>
              <w:tab/>
              <w:t>6</w:t>
            </w:r>
            <w:r>
              <w:rPr>
                <w:webHidden/>
              </w:rPr>
              <w:fldChar w:fldCharType="end"/>
            </w:r>
          </w:hyperlink>
        </w:p>
        <w:p>
          <w:pPr>
            <w:pStyle w:val="Tabledesmatiresniveau2"/>
            <w:tabs>
              <w:tab w:val="clear" w:pos="408"/>
              <w:tab w:val="left" w:pos="660" w:leader="none"/>
              <w:tab w:val="right" w:pos="9628" w:leader="underscore"/>
            </w:tabs>
            <w:rPr>
              <w:rFonts w:cs="" w:cstheme="minorBidi"/>
              <w:b w:val="false"/>
              <w:b w:val="false"/>
              <w:bCs w:val="false"/>
            </w:rPr>
          </w:pPr>
          <w:hyperlink w:anchor="_Toc37833796">
            <w:r>
              <w:rPr>
                <w:webHidden/>
                <w:rStyle w:val="Sautdindex"/>
              </w:rPr>
              <w:t>1.</w:t>
            </w:r>
            <w:r>
              <w:rPr>
                <w:rStyle w:val="Sautdindex"/>
                <w:rFonts w:cs="" w:cstheme="minorBidi"/>
                <w:b w:val="false"/>
                <w:bCs w:val="false"/>
              </w:rPr>
              <w:tab/>
            </w:r>
            <w:r>
              <w:rPr>
                <w:rStyle w:val="Sautdindex"/>
              </w:rPr>
              <w:t>Principe</w:t>
            </w:r>
            <w:r>
              <w:rPr>
                <w:webHidden/>
              </w:rPr>
              <w:fldChar w:fldCharType="begin"/>
            </w:r>
            <w:r>
              <w:rPr>
                <w:webHidden/>
              </w:rPr>
              <w:instrText xml:space="preserve">PAGEREF _Toc37833796 \h</w:instrText>
            </w:r>
            <w:r>
              <w:rPr>
                <w:webHidden/>
              </w:rPr>
              <w:fldChar w:fldCharType="separate"/>
            </w:r>
            <w:r>
              <w:rPr>
                <w:rStyle w:val="Sautdindex"/>
                <w:vanish w:val="false"/>
              </w:rPr>
              <w:tab/>
              <w:t>6</w:t>
            </w:r>
            <w:r>
              <w:rPr>
                <w:webHidden/>
              </w:rPr>
              <w:fldChar w:fldCharType="end"/>
            </w:r>
          </w:hyperlink>
        </w:p>
        <w:p>
          <w:pPr>
            <w:pStyle w:val="Tabledesmatiresniveau2"/>
            <w:tabs>
              <w:tab w:val="clear" w:pos="408"/>
              <w:tab w:val="left" w:pos="660" w:leader="none"/>
              <w:tab w:val="right" w:pos="9628" w:leader="underscore"/>
            </w:tabs>
            <w:rPr>
              <w:rFonts w:cs="" w:cstheme="minorBidi"/>
              <w:b w:val="false"/>
              <w:b w:val="false"/>
              <w:bCs w:val="false"/>
            </w:rPr>
          </w:pPr>
          <w:hyperlink w:anchor="_Toc37833797">
            <w:r>
              <w:rPr>
                <w:webHidden/>
                <w:rStyle w:val="Sautdindex"/>
              </w:rPr>
              <w:t>2.</w:t>
            </w:r>
            <w:r>
              <w:rPr>
                <w:rStyle w:val="Sautdindex"/>
                <w:rFonts w:cs="" w:cstheme="minorBidi"/>
                <w:b w:val="false"/>
                <w:bCs w:val="false"/>
              </w:rPr>
              <w:tab/>
            </w:r>
            <w:r>
              <w:rPr>
                <w:rStyle w:val="Sautdindex"/>
              </w:rPr>
              <w:t>Dictionnaire des variables afférentes aux subventions</w:t>
            </w:r>
            <w:r>
              <w:rPr>
                <w:webHidden/>
              </w:rPr>
              <w:fldChar w:fldCharType="begin"/>
            </w:r>
            <w:r>
              <w:rPr>
                <w:webHidden/>
              </w:rPr>
              <w:instrText xml:space="preserve">PAGEREF _Toc37833797 \h</w:instrText>
            </w:r>
            <w:r>
              <w:rPr>
                <w:webHidden/>
              </w:rPr>
              <w:fldChar w:fldCharType="separate"/>
            </w:r>
            <w:r>
              <w:rPr>
                <w:rStyle w:val="Sautdindex"/>
                <w:vanish w:val="false"/>
              </w:rPr>
              <w:tab/>
              <w:t>6</w:t>
            </w:r>
            <w:r>
              <w:rPr>
                <w:webHidden/>
              </w:rPr>
              <w:fldChar w:fldCharType="end"/>
            </w:r>
          </w:hyperlink>
          <w:r>
            <w:rPr>
              <w:rStyle w:val="Sautdindex"/>
              <w:vanish w:val="false"/>
            </w:rPr>
            <w:fldChar w:fldCharType="end"/>
          </w:r>
        </w:p>
      </w:sdtContent>
    </w:sdt>
    <w:p>
      <w:pPr>
        <w:pStyle w:val="Titre1"/>
        <w:numPr>
          <w:ilvl w:val="0"/>
          <w:numId w:val="2"/>
        </w:numPr>
        <w:ind w:left="714" w:hanging="357"/>
        <w:rPr>
          <w:highlight w:val="lightGray"/>
        </w:rPr>
      </w:pPr>
      <w:bookmarkStart w:id="1" w:name="__RefHeading___Toc21834_1725960890"/>
      <w:bookmarkStart w:id="2" w:name="_Toc37833785"/>
      <w:bookmarkEnd w:id="1"/>
      <w:r>
        <w:rPr/>
        <w:t>Présentation générale de l'enquête RICA</w:t>
      </w:r>
      <w:bookmarkEnd w:id="2"/>
    </w:p>
    <w:p>
      <w:pPr>
        <w:pStyle w:val="Titre2"/>
        <w:numPr>
          <w:ilvl w:val="0"/>
          <w:numId w:val="3"/>
        </w:numPr>
        <w:spacing w:before="120" w:after="120"/>
        <w:rPr/>
      </w:pPr>
      <w:bookmarkStart w:id="3" w:name="_Toc37833786"/>
      <w:r>
        <w:rPr/>
        <w:t>Origine et objectif</w:t>
      </w:r>
      <w:bookmarkEnd w:id="3"/>
    </w:p>
    <w:p>
      <w:pPr>
        <w:pStyle w:val="Corpsdetexte"/>
        <w:rPr/>
      </w:pPr>
      <w:r>
        <w:rPr>
          <w:shd w:fill="FFFF00" w:val="clear"/>
        </w:rPr>
        <w:t>Mis en œuvre en France depuis 1968,</w:t>
      </w:r>
      <w:r>
        <w:rPr/>
        <w:t xml:space="preserve"> le réseau d’information comptable agricole (RICA) est une enquête annuelle réalisée dans tous les États membres de l’Union européenne selon des règles et des principes communs.</w:t>
      </w:r>
    </w:p>
    <w:p>
      <w:pPr>
        <w:pStyle w:val="Corpsdetexte"/>
        <w:rPr>
          <w:highlight w:val="none"/>
          <w:shd w:fill="FFFF00" w:val="clear"/>
        </w:rPr>
      </w:pPr>
      <w:r>
        <w:rPr>
          <w:shd w:fill="FFFF00" w:val="clear"/>
        </w:rPr>
        <w:t>Des données comptables et technico-économiques détaillées sont collectées auprès d'un échantillon d'exploitations agricoles afin d'analyser leurs revenus et d'évaluer l'impact des politiques agricoles.</w:t>
      </w:r>
    </w:p>
    <w:p>
      <w:pPr>
        <w:pStyle w:val="Corpsdetexte"/>
        <w:rPr/>
      </w:pPr>
      <w:r>
        <w:rPr/>
        <w:t>Les données à collecter sont définies par une réglementation communautaire, mais elles sont également déclinées pour tenir compte des normes comptables françaises et répondre à des besoins complémentaires à ceux de la Commission. Certaines données font l'objet d'un retraitement afin de cerner au plus près la réalité économique des exploitations et de permettre une comparaison entre elles (amortissements linéaires, évaluation des stocks à la valeur de clôture de l'exercice, formes sociétaires ...).</w:t>
      </w:r>
    </w:p>
    <w:p>
      <w:pPr>
        <w:pStyle w:val="Titre3"/>
        <w:rPr/>
      </w:pPr>
      <w:bookmarkStart w:id="4" w:name="_Toc37833787"/>
      <w:r>
        <mc:AlternateContent>
          <mc:Choice Requires="wps">
            <w:drawing>
              <wp:anchor behindDoc="0" distT="0" distB="1905" distL="114300" distR="123190" simplePos="0" locked="0" layoutInCell="0" allowOverlap="1" relativeHeight="8">
                <wp:simplePos x="0" y="0"/>
                <wp:positionH relativeFrom="margin">
                  <wp:align>right</wp:align>
                </wp:positionH>
                <wp:positionV relativeFrom="paragraph">
                  <wp:posOffset>78740</wp:posOffset>
                </wp:positionV>
                <wp:extent cx="3496310" cy="1960245"/>
                <wp:effectExtent l="0" t="635" r="0" b="0"/>
                <wp:wrapSquare wrapText="bothSides"/>
                <wp:docPr id="3" name="Zone de texte 2"/>
                <a:graphic xmlns:a="http://schemas.openxmlformats.org/drawingml/2006/main">
                  <a:graphicData uri="http://schemas.microsoft.com/office/word/2010/wordprocessingShape">
                    <wps:wsp>
                      <wps:cNvSpPr/>
                      <wps:spPr>
                        <a:xfrm>
                          <a:off x="0" y="0"/>
                          <a:ext cx="3496320" cy="1960200"/>
                        </a:xfrm>
                        <a:prstGeom prst="rect">
                          <a:avLst/>
                        </a:prstGeom>
                        <a:solidFill>
                          <a:srgbClr val="ffffff"/>
                        </a:solidFill>
                        <a:ln w="9525">
                          <a:noFill/>
                        </a:ln>
                      </wps:spPr>
                      <wps:style>
                        <a:lnRef idx="0"/>
                        <a:fillRef idx="0"/>
                        <a:effectRef idx="0"/>
                        <a:fontRef idx="minor"/>
                      </wps:style>
                      <wps:txbx>
                        <w:txbxContent>
                          <w:p>
                            <w:pPr>
                              <w:pStyle w:val="Corpsdetexte"/>
                              <w:spacing w:before="120" w:after="0"/>
                              <w:jc w:val="center"/>
                              <w:rPr/>
                            </w:pPr>
                            <w:r>
                              <w:rPr/>
                              <w:t>Tableau 1 : Seuil de dimension économique par État</w:t>
                            </w:r>
                          </w:p>
                          <w:tbl>
                            <w:tblPr>
                              <w:tblW w:w="5245" w:type="dxa"/>
                              <w:jc w:val="left"/>
                              <w:tblInd w:w="-145" w:type="dxa"/>
                              <w:tblLayout w:type="fixed"/>
                              <w:tblCellMar>
                                <w:top w:w="55" w:type="dxa"/>
                                <w:left w:w="55" w:type="dxa"/>
                                <w:bottom w:w="55" w:type="dxa"/>
                                <w:right w:w="55" w:type="dxa"/>
                              </w:tblCellMar>
                              <w:tblLook w:val="0000" w:noHBand="0" w:noVBand="0" w:firstColumn="0" w:lastRow="0" w:lastColumn="0" w:firstRow="0"/>
                            </w:tblPr>
                            <w:tblGrid>
                              <w:gridCol w:w="4394"/>
                              <w:gridCol w:w="850"/>
                            </w:tblGrid>
                            <w:tr>
                              <w:trPr>
                                <w:trHeight w:val="20" w:hRule="atLeast"/>
                              </w:trPr>
                              <w:tc>
                                <w:tcPr>
                                  <w:tcW w:w="4394" w:type="dxa"/>
                                  <w:tcBorders>
                                    <w:top w:val="single" w:sz="2" w:space="0" w:color="000000"/>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État-membre</w:t>
                                  </w:r>
                                </w:p>
                              </w:tc>
                              <w:tc>
                                <w:tcPr>
                                  <w:tcW w:w="850" w:type="dxa"/>
                                  <w:tcBorders>
                                    <w:top w:val="single" w:sz="2" w:space="0" w:color="000000"/>
                                    <w:left w:val="single" w:sz="2" w:space="0" w:color="000000"/>
                                    <w:bottom w:val="single" w:sz="2" w:space="0" w:color="000000"/>
                                    <w:right w:val="single" w:sz="2" w:space="0" w:color="000000"/>
                                  </w:tcBorders>
                                  <w:vAlign w:val="bottom"/>
                                </w:tcPr>
                                <w:p>
                                  <w:pPr>
                                    <w:pStyle w:val="Contenudecadre"/>
                                    <w:widowControl w:val="false"/>
                                    <w:spacing w:lineRule="auto" w:line="240" w:before="0" w:after="0"/>
                                    <w:jc w:val="center"/>
                                    <w:rPr>
                                      <w:sz w:val="16"/>
                                      <w:szCs w:val="16"/>
                                    </w:rPr>
                                  </w:pPr>
                                  <w:r>
                                    <w:rPr>
                                      <w:sz w:val="16"/>
                                      <w:szCs w:val="16"/>
                                    </w:rPr>
                                    <w:t>Seuil</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Allemagne, Belgique, France (hors DOM), Luxembourg, Pays-Bas, Royaume-Uni (hors Irlande du Nord), Slovaquie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25 000 €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Danemark, France (DOM), Irlande du Nord, Suède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15 000 €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Autriche, Finlande, Italie, République tchèque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8 000 €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Chypre, Croatie, Espagne, Estonie, Grèce, Hongrie, Lettonie, Lituanie, Malte, Pologne, Portugal, Slovénie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4 000 €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Bulgarie, Roumanie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2 000 €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Irlande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800 €</w:t>
                                  </w:r>
                                </w:p>
                              </w:tc>
                            </w:tr>
                          </w:tbl>
                          <w:p>
                            <w:pPr>
                              <w:pStyle w:val="Contenudecadre"/>
                              <w:spacing w:before="0" w:after="120"/>
                              <w:rPr>
                                <w:sz w:val="12"/>
                                <w:szCs w:val="16"/>
                              </w:rPr>
                            </w:pPr>
                            <w:r>
                              <w:rPr/>
                            </w:r>
                          </w:p>
                        </w:txbxContent>
                      </wps:txbx>
                      <wps:bodyPr anchor="t">
                        <a:noAutofit/>
                      </wps:bodyPr>
                    </wps:wsp>
                  </a:graphicData>
                </a:graphic>
              </wp:anchor>
            </w:drawing>
          </mc:Choice>
          <mc:Fallback>
            <w:pict>
              <v:rect id="shape_0" ID="Zone de texte 2" path="m0,0l-2147483645,0l-2147483645,-2147483646l0,-2147483646xe" fillcolor="white" stroked="f" o:allowincell="f" style="position:absolute;margin-left:196.85pt;margin-top:6.2pt;width:275.25pt;height:154.3pt;mso-wrap-style:square;v-text-anchor:top;mso-position-horizontal:right;mso-position-horizontal-relative:margin">
                <v:fill o:detectmouseclick="t" type="solid" color2="black"/>
                <v:stroke color="#3465a4" weight="9360" joinstyle="miter" endcap="flat"/>
                <v:textbox>
                  <w:txbxContent>
                    <w:p>
                      <w:pPr>
                        <w:pStyle w:val="Corpsdetexte"/>
                        <w:spacing w:before="120" w:after="0"/>
                        <w:jc w:val="center"/>
                        <w:rPr/>
                      </w:pPr>
                      <w:r>
                        <w:rPr/>
                        <w:t>Tableau 1 : Seuil de dimension économique par État</w:t>
                      </w:r>
                    </w:p>
                    <w:tbl>
                      <w:tblPr>
                        <w:tblW w:w="5245" w:type="dxa"/>
                        <w:jc w:val="left"/>
                        <w:tblInd w:w="-145" w:type="dxa"/>
                        <w:tblLayout w:type="fixed"/>
                        <w:tblCellMar>
                          <w:top w:w="55" w:type="dxa"/>
                          <w:left w:w="55" w:type="dxa"/>
                          <w:bottom w:w="55" w:type="dxa"/>
                          <w:right w:w="55" w:type="dxa"/>
                        </w:tblCellMar>
                        <w:tblLook w:val="0000" w:noHBand="0" w:noVBand="0" w:firstColumn="0" w:lastRow="0" w:lastColumn="0" w:firstRow="0"/>
                      </w:tblPr>
                      <w:tblGrid>
                        <w:gridCol w:w="4394"/>
                        <w:gridCol w:w="850"/>
                      </w:tblGrid>
                      <w:tr>
                        <w:trPr>
                          <w:trHeight w:val="20" w:hRule="atLeast"/>
                        </w:trPr>
                        <w:tc>
                          <w:tcPr>
                            <w:tcW w:w="4394" w:type="dxa"/>
                            <w:tcBorders>
                              <w:top w:val="single" w:sz="2" w:space="0" w:color="000000"/>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État-membre</w:t>
                            </w:r>
                          </w:p>
                        </w:tc>
                        <w:tc>
                          <w:tcPr>
                            <w:tcW w:w="850" w:type="dxa"/>
                            <w:tcBorders>
                              <w:top w:val="single" w:sz="2" w:space="0" w:color="000000"/>
                              <w:left w:val="single" w:sz="2" w:space="0" w:color="000000"/>
                              <w:bottom w:val="single" w:sz="2" w:space="0" w:color="000000"/>
                              <w:right w:val="single" w:sz="2" w:space="0" w:color="000000"/>
                            </w:tcBorders>
                            <w:vAlign w:val="bottom"/>
                          </w:tcPr>
                          <w:p>
                            <w:pPr>
                              <w:pStyle w:val="Contenudecadre"/>
                              <w:widowControl w:val="false"/>
                              <w:spacing w:lineRule="auto" w:line="240" w:before="0" w:after="0"/>
                              <w:jc w:val="center"/>
                              <w:rPr>
                                <w:sz w:val="16"/>
                                <w:szCs w:val="16"/>
                              </w:rPr>
                            </w:pPr>
                            <w:r>
                              <w:rPr>
                                <w:sz w:val="16"/>
                                <w:szCs w:val="16"/>
                              </w:rPr>
                              <w:t>Seuil</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Allemagne, Belgique, France (hors DOM), Luxembourg, Pays-Bas, Royaume-Uni (hors Irlande du Nord), Slovaquie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25 000 €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Danemark, France (DOM), Irlande du Nord, Suède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15 000 €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Autriche, Finlande, Italie, République tchèque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8 000 €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Chypre, Croatie, Espagne, Estonie, Grèce, Hongrie, Lettonie, Lituanie, Malte, Pologne, Portugal, Slovénie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4 000 €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Bulgarie, Roumanie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2 000 €</w:t>
                            </w:r>
                          </w:p>
                        </w:tc>
                      </w:tr>
                      <w:tr>
                        <w:trPr>
                          <w:trHeight w:val="20" w:hRule="atLeast"/>
                        </w:trPr>
                        <w:tc>
                          <w:tcPr>
                            <w:tcW w:w="4394" w:type="dxa"/>
                            <w:tcBorders>
                              <w:left w:val="single" w:sz="2" w:space="0" w:color="000000"/>
                              <w:bottom w:val="single" w:sz="2" w:space="0" w:color="000000"/>
                            </w:tcBorders>
                            <w:vAlign w:val="bottom"/>
                          </w:tcPr>
                          <w:p>
                            <w:pPr>
                              <w:pStyle w:val="Contenudecadre"/>
                              <w:widowControl w:val="false"/>
                              <w:spacing w:lineRule="auto" w:line="240" w:before="0" w:after="0"/>
                              <w:jc w:val="center"/>
                              <w:rPr>
                                <w:sz w:val="16"/>
                                <w:szCs w:val="16"/>
                              </w:rPr>
                            </w:pPr>
                            <w:r>
                              <w:rPr>
                                <w:sz w:val="16"/>
                                <w:szCs w:val="16"/>
                              </w:rPr>
                              <w:t>Irlande</w:t>
                            </w:r>
                          </w:p>
                        </w:tc>
                        <w:tc>
                          <w:tcPr>
                            <w:tcW w:w="850" w:type="dxa"/>
                            <w:tcBorders>
                              <w:left w:val="single" w:sz="2" w:space="0" w:color="000000"/>
                              <w:bottom w:val="single" w:sz="2" w:space="0" w:color="000000"/>
                              <w:right w:val="single" w:sz="2" w:space="0" w:color="000000"/>
                            </w:tcBorders>
                            <w:vAlign w:val="center"/>
                          </w:tcPr>
                          <w:p>
                            <w:pPr>
                              <w:pStyle w:val="Contenudecadre"/>
                              <w:widowControl w:val="false"/>
                              <w:spacing w:lineRule="auto" w:line="240" w:before="0" w:after="0"/>
                              <w:jc w:val="center"/>
                              <w:rPr>
                                <w:sz w:val="16"/>
                                <w:szCs w:val="16"/>
                              </w:rPr>
                            </w:pPr>
                            <w:r>
                              <w:rPr>
                                <w:sz w:val="16"/>
                                <w:szCs w:val="16"/>
                              </w:rPr>
                              <w:t>800 €</w:t>
                            </w:r>
                          </w:p>
                        </w:tc>
                      </w:tr>
                    </w:tbl>
                    <w:p>
                      <w:pPr>
                        <w:pStyle w:val="Contenudecadre"/>
                        <w:spacing w:before="0" w:after="120"/>
                        <w:rPr>
                          <w:sz w:val="12"/>
                          <w:szCs w:val="16"/>
                        </w:rPr>
                      </w:pPr>
                      <w:r>
                        <w:rPr/>
                      </w:r>
                    </w:p>
                  </w:txbxContent>
                </v:textbox>
                <w10:wrap type="square"/>
              </v:rect>
            </w:pict>
          </mc:Fallback>
        </mc:AlternateContent>
      </w:r>
      <w:bookmarkEnd w:id="4"/>
      <w:r>
        <w:rPr/>
        <w:t>Champ de l’enquête</w:t>
      </w:r>
    </w:p>
    <w:p>
      <w:pPr>
        <w:pStyle w:val="Corpsdetexte"/>
        <w:rPr/>
      </w:pPr>
      <w:r>
        <w:rPr/>
        <w:t xml:space="preserve">Le champ d'observation du RICA comprend les exploitations agricoles exploitées par des agriculteurs tenant une comptabilité et ayant une certaine dimension économique. Ces exploitations doivent couvrir plus de 95 % du potentiel économique de l’agriculture du pays. </w:t>
      </w:r>
      <w:r>
        <w:rPr>
          <w:shd w:fill="FFFF00" w:val="clear"/>
        </w:rPr>
        <w:t>En pratique, il s'agit des exploitations agricoles dont la production brute standard (PBS) est d'au moins 25 000 € en France métropolitaine et 15 000 € dans les DOM.</w:t>
      </w:r>
    </w:p>
    <w:p>
      <w:pPr>
        <w:pStyle w:val="Titre3"/>
        <w:rPr/>
      </w:pPr>
      <w:bookmarkStart w:id="5" w:name="_Toc37833788"/>
      <w:r>
        <w:rPr/>
        <w:t>Notion de typologie des exploitations agricoles : Otex, Cdex, PBS</w:t>
      </w:r>
      <w:bookmarkEnd w:id="5"/>
    </w:p>
    <w:p>
      <w:pPr>
        <w:pStyle w:val="Corpsdetexte"/>
        <w:rPr/>
      </w:pPr>
      <w:r>
        <w:rPr/>
        <w:t xml:space="preserve">La très grande diversité des exploitations agricoles rend indispensable leur classification. La statistique agricole européenne, et française en particulier, utilise depuis 1978 une typologie fondée sur </w:t>
      </w:r>
      <w:r>
        <w:rPr>
          <w:shd w:fill="FFFF00" w:val="clear"/>
        </w:rPr>
        <w:t xml:space="preserve">l’orientation technico-économique des exploitations (Otex) et la classe de dimension économique des exploitations (Cdex) </w:t>
      </w:r>
      <w:r>
        <w:rPr>
          <w:rStyle w:val="Ancredenotedebasdepage"/>
          <w:shd w:fill="FFFF00" w:val="clear"/>
        </w:rPr>
        <w:footnoteReference w:id="2"/>
      </w:r>
      <w:r>
        <w:rPr>
          <w:shd w:fill="FFFF00" w:val="clear"/>
        </w:rPr>
        <w:t>.</w:t>
      </w:r>
    </w:p>
    <w:p>
      <w:pPr>
        <w:pStyle w:val="Corpsdetexte"/>
        <w:rPr/>
      </w:pPr>
      <w:r>
        <mc:AlternateContent>
          <mc:Choice Requires="wps">
            <w:drawing>
              <wp:anchor behindDoc="0" distT="0" distB="0" distL="114300" distR="115570" simplePos="0" locked="0" layoutInCell="0" allowOverlap="1" relativeHeight="4" wp14:anchorId="13F7D2A0">
                <wp:simplePos x="0" y="0"/>
                <wp:positionH relativeFrom="margin">
                  <wp:posOffset>3756660</wp:posOffset>
                </wp:positionH>
                <wp:positionV relativeFrom="paragraph">
                  <wp:posOffset>607060</wp:posOffset>
                </wp:positionV>
                <wp:extent cx="2303780" cy="2501265"/>
                <wp:effectExtent l="0" t="635" r="0" b="0"/>
                <wp:wrapSquare wrapText="bothSides"/>
                <wp:docPr id="5" name="Zone de texte 2"/>
                <a:graphic xmlns:a="http://schemas.openxmlformats.org/drawingml/2006/main">
                  <a:graphicData uri="http://schemas.microsoft.com/office/word/2010/wordprocessingShape">
                    <wps:wsp>
                      <wps:cNvSpPr/>
                      <wps:spPr>
                        <a:xfrm>
                          <a:off x="0" y="0"/>
                          <a:ext cx="2303640" cy="2501280"/>
                        </a:xfrm>
                        <a:prstGeom prst="rect">
                          <a:avLst/>
                        </a:prstGeom>
                        <a:solidFill>
                          <a:srgbClr val="ffffff"/>
                        </a:solidFill>
                        <a:ln w="9525">
                          <a:noFill/>
                        </a:ln>
                      </wps:spPr>
                      <wps:style>
                        <a:lnRef idx="0"/>
                        <a:fillRef idx="0"/>
                        <a:effectRef idx="0"/>
                        <a:fontRef idx="minor"/>
                      </wps:style>
                      <wps:txbx>
                        <w:txbxContent>
                          <w:p>
                            <w:pPr>
                              <w:pStyle w:val="Contenudecadre"/>
                              <w:spacing w:lineRule="auto" w:line="240" w:before="0" w:after="0"/>
                              <w:jc w:val="center"/>
                              <w:rPr>
                                <w:rFonts w:eastAsia="Liberation Sans" w:cs="Liberation Sans"/>
                                <w:sz w:val="18"/>
                              </w:rPr>
                            </w:pPr>
                            <w:r>
                              <w:rPr>
                                <w:rFonts w:eastAsia="Liberation Sans" w:cs="Liberation Sans"/>
                                <w:sz w:val="18"/>
                              </w:rPr>
                              <w:t>Tableau 3 : Nomenclature Otex française de diffusion détaillée</w:t>
                            </w:r>
                          </w:p>
                          <w:tbl>
                            <w:tblPr>
                              <w:tblW w:w="3544" w:type="dxa"/>
                              <w:jc w:val="left"/>
                              <w:tblInd w:w="-147" w:type="dxa"/>
                              <w:tblLayout w:type="fixed"/>
                              <w:tblCellMar>
                                <w:top w:w="0" w:type="dxa"/>
                                <w:left w:w="70" w:type="dxa"/>
                                <w:bottom w:w="0" w:type="dxa"/>
                                <w:right w:w="70" w:type="dxa"/>
                              </w:tblCellMar>
                              <w:tblLook w:val="04a0" w:noHBand="0" w:noVBand="1" w:firstColumn="1" w:lastRow="0" w:lastColumn="0" w:firstRow="1"/>
                            </w:tblPr>
                            <w:tblGrid>
                              <w:gridCol w:w="473"/>
                              <w:gridCol w:w="3070"/>
                            </w:tblGrid>
                            <w:tr>
                              <w:trPr/>
                              <w:tc>
                                <w:tcPr>
                                  <w:tcW w:w="47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Code</w:t>
                                  </w:r>
                                </w:p>
                              </w:tc>
                              <w:tc>
                                <w:tcPr>
                                  <w:tcW w:w="3070" w:type="dxa"/>
                                  <w:tcBorders>
                                    <w:top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Libellé</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1500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Céréales et oléagineux</w:t>
                                  </w:r>
                                </w:p>
                              </w:tc>
                            </w:tr>
                            <w:tr>
                              <w:trPr/>
                              <w:tc>
                                <w:tcPr>
                                  <w:tcW w:w="473" w:type="dxa"/>
                                  <w:tcBorders>
                                    <w:left w:val="single" w:sz="4" w:space="0" w:color="000000"/>
                                    <w:bottom w:val="single" w:sz="4" w:space="0" w:color="000000"/>
                                    <w:right w:val="single" w:sz="4" w:space="0" w:color="000000"/>
                                  </w:tcBorders>
                                  <w:shd w:color="auto" w:fill="auto" w:val="clea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1600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Cultures générales (autres grandes cultures)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2800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Maraîchage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2900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Fleurs et horticulture diverse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3500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Viticulture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3900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Fruits et autres cultures permanentes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4500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Bovins lait</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4600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Bovins viande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4700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Bovins mixtes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4813</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Ovins et caprins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4840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Autres herbivores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5100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Porcins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5200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Volailles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5374</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Granivores mixtes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6174</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Polyculture polyélevage</w:t>
                                  </w:r>
                                </w:p>
                              </w:tc>
                            </w:tr>
                          </w:tbl>
                          <w:p>
                            <w:pPr>
                              <w:pStyle w:val="Contenudecadre"/>
                              <w:spacing w:before="0" w:after="120"/>
                              <w:rPr>
                                <w:sz w:val="12"/>
                              </w:rPr>
                            </w:pPr>
                            <w:r>
                              <w:rPr/>
                            </w:r>
                          </w:p>
                        </w:txbxContent>
                      </wps:txbx>
                      <wps:bodyPr anchor="t">
                        <a:noAutofit/>
                      </wps:bodyPr>
                    </wps:wsp>
                  </a:graphicData>
                </a:graphic>
              </wp:anchor>
            </w:drawing>
          </mc:Choice>
          <mc:Fallback>
            <w:pict>
              <v:rect id="shape_0" ID="Zone de texte 2" path="m0,0l-2147483645,0l-2147483645,-2147483646l0,-2147483646xe" fillcolor="white" stroked="f" o:allowincell="f" style="position:absolute;margin-left:295.8pt;margin-top:47.8pt;width:181.35pt;height:196.9pt;mso-wrap-style:square;v-text-anchor:top;mso-position-horizontal-relative:margin" wp14:anchorId="13F7D2A0">
                <v:fill o:detectmouseclick="t" type="solid" color2="black"/>
                <v:stroke color="#3465a4" weight="9360" joinstyle="miter" endcap="flat"/>
                <v:textbox>
                  <w:txbxContent>
                    <w:p>
                      <w:pPr>
                        <w:pStyle w:val="Contenudecadre"/>
                        <w:spacing w:lineRule="auto" w:line="240" w:before="0" w:after="0"/>
                        <w:jc w:val="center"/>
                        <w:rPr>
                          <w:rFonts w:eastAsia="Liberation Sans" w:cs="Liberation Sans"/>
                          <w:sz w:val="18"/>
                        </w:rPr>
                      </w:pPr>
                      <w:r>
                        <w:rPr>
                          <w:rFonts w:eastAsia="Liberation Sans" w:cs="Liberation Sans"/>
                          <w:sz w:val="18"/>
                        </w:rPr>
                        <w:t>Tableau 3 : Nomenclature Otex française de diffusion détaillée</w:t>
                      </w:r>
                    </w:p>
                    <w:tbl>
                      <w:tblPr>
                        <w:tblW w:w="3544" w:type="dxa"/>
                        <w:jc w:val="left"/>
                        <w:tblInd w:w="-147" w:type="dxa"/>
                        <w:tblLayout w:type="fixed"/>
                        <w:tblCellMar>
                          <w:top w:w="0" w:type="dxa"/>
                          <w:left w:w="70" w:type="dxa"/>
                          <w:bottom w:w="0" w:type="dxa"/>
                          <w:right w:w="70" w:type="dxa"/>
                        </w:tblCellMar>
                        <w:tblLook w:val="04a0" w:noHBand="0" w:noVBand="1" w:firstColumn="1" w:lastRow="0" w:lastColumn="0" w:firstRow="1"/>
                      </w:tblPr>
                      <w:tblGrid>
                        <w:gridCol w:w="473"/>
                        <w:gridCol w:w="3070"/>
                      </w:tblGrid>
                      <w:tr>
                        <w:trPr/>
                        <w:tc>
                          <w:tcPr>
                            <w:tcW w:w="47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Code</w:t>
                            </w:r>
                          </w:p>
                        </w:tc>
                        <w:tc>
                          <w:tcPr>
                            <w:tcW w:w="3070" w:type="dxa"/>
                            <w:tcBorders>
                              <w:top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Libellé</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1500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Céréales et oléagineux</w:t>
                            </w:r>
                          </w:p>
                        </w:tc>
                      </w:tr>
                      <w:tr>
                        <w:trPr/>
                        <w:tc>
                          <w:tcPr>
                            <w:tcW w:w="473" w:type="dxa"/>
                            <w:tcBorders>
                              <w:left w:val="single" w:sz="4" w:space="0" w:color="000000"/>
                              <w:bottom w:val="single" w:sz="4" w:space="0" w:color="000000"/>
                              <w:right w:val="single" w:sz="4" w:space="0" w:color="000000"/>
                            </w:tcBorders>
                            <w:shd w:color="auto" w:fill="auto" w:val="clea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1600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Cultures générales (autres grandes cultures)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2800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Maraîchage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2900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Fleurs et horticulture diverse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3500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Viticulture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3900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Fruits et autres cultures permanentes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4500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Bovins lait</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4600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Bovins viande</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4700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Bovins mixtes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4813</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Ovins et caprins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4840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Autres herbivores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5100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Porcins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5200</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Volailles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5374</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Granivores mixtes</w:t>
                            </w:r>
                          </w:p>
                        </w:tc>
                      </w:tr>
                      <w:tr>
                        <w:trPr/>
                        <w:tc>
                          <w:tcPr>
                            <w:tcW w:w="473"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6174</w:t>
                            </w:r>
                          </w:p>
                        </w:tc>
                        <w:tc>
                          <w:tcPr>
                            <w:tcW w:w="3070"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Polyculture polyélevage</w:t>
                            </w:r>
                          </w:p>
                        </w:tc>
                      </w:tr>
                    </w:tbl>
                    <w:p>
                      <w:pPr>
                        <w:pStyle w:val="Contenudecadre"/>
                        <w:spacing w:before="0" w:after="120"/>
                        <w:rPr>
                          <w:sz w:val="12"/>
                        </w:rPr>
                      </w:pPr>
                      <w:r>
                        <w:rPr/>
                      </w:r>
                    </w:p>
                  </w:txbxContent>
                </v:textbox>
                <w10:wrap type="square"/>
              </v:rect>
            </w:pict>
          </mc:Fallback>
        </mc:AlternateContent>
        <mc:AlternateContent>
          <mc:Choice Requires="wps">
            <w:drawing>
              <wp:anchor behindDoc="0" distT="0" distB="0" distL="0" distR="118110" simplePos="0" locked="0" layoutInCell="0" allowOverlap="1" relativeHeight="6" wp14:anchorId="22CDEB87">
                <wp:simplePos x="0" y="0"/>
                <wp:positionH relativeFrom="margin">
                  <wp:align>left</wp:align>
                </wp:positionH>
                <wp:positionV relativeFrom="paragraph">
                  <wp:posOffset>7620</wp:posOffset>
                </wp:positionV>
                <wp:extent cx="2282190" cy="2326005"/>
                <wp:effectExtent l="0" t="635" r="0" b="0"/>
                <wp:wrapSquare wrapText="bothSides"/>
                <wp:docPr id="7" name="Zone de texte 2"/>
                <a:graphic xmlns:a="http://schemas.openxmlformats.org/drawingml/2006/main">
                  <a:graphicData uri="http://schemas.microsoft.com/office/word/2010/wordprocessingShape">
                    <wps:wsp>
                      <wps:cNvSpPr/>
                      <wps:spPr>
                        <a:xfrm>
                          <a:off x="0" y="0"/>
                          <a:ext cx="2282040" cy="2325960"/>
                        </a:xfrm>
                        <a:prstGeom prst="rect">
                          <a:avLst/>
                        </a:prstGeom>
                        <a:solidFill>
                          <a:srgbClr val="ffffff"/>
                        </a:solidFill>
                        <a:ln w="9525">
                          <a:noFill/>
                        </a:ln>
                      </wps:spPr>
                      <wps:style>
                        <a:lnRef idx="0"/>
                        <a:fillRef idx="0"/>
                        <a:effectRef idx="0"/>
                        <a:fontRef idx="minor"/>
                      </wps:style>
                      <wps:txbx>
                        <w:txbxContent>
                          <w:p>
                            <w:pPr>
                              <w:pStyle w:val="Contenudecadre"/>
                              <w:spacing w:lineRule="auto" w:line="240" w:before="0" w:after="0"/>
                              <w:jc w:val="center"/>
                              <w:rPr>
                                <w:rFonts w:eastAsia="Liberation Sans" w:cs="Liberation Sans"/>
                                <w:sz w:val="18"/>
                              </w:rPr>
                            </w:pPr>
                            <w:r>
                              <w:rPr>
                                <w:rFonts w:eastAsia="Liberation Sans" w:cs="Liberation Sans"/>
                                <w:sz w:val="18"/>
                              </w:rPr>
                              <w:t>Tableau 2 : Définition de la Cdex</w:t>
                            </w:r>
                          </w:p>
                          <w:tbl>
                            <w:tblPr>
                              <w:tblW w:w="3544" w:type="dxa"/>
                              <w:jc w:val="left"/>
                              <w:tblInd w:w="-147" w:type="dxa"/>
                              <w:tblLayout w:type="fixed"/>
                              <w:tblCellMar>
                                <w:top w:w="0" w:type="dxa"/>
                                <w:left w:w="70" w:type="dxa"/>
                                <w:bottom w:w="0" w:type="dxa"/>
                                <w:right w:w="70" w:type="dxa"/>
                              </w:tblCellMar>
                              <w:tblLook w:val="04a0" w:noHBand="0" w:noVBand="1" w:firstColumn="1" w:lastRow="0" w:lastColumn="0" w:firstRow="1"/>
                            </w:tblPr>
                            <w:tblGrid>
                              <w:gridCol w:w="568"/>
                              <w:gridCol w:w="2975"/>
                            </w:tblGrid>
                            <w:tr>
                              <w:trPr/>
                              <w:tc>
                                <w:tcPr>
                                  <w:tcW w:w="5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Cdex</w:t>
                                  </w:r>
                                </w:p>
                              </w:tc>
                              <w:tc>
                                <w:tcPr>
                                  <w:tcW w:w="2975" w:type="dxa"/>
                                  <w:tcBorders>
                                    <w:top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PBS « 2017 »</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1</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Moins de 2 000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2</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2 000 à moins de 4 000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3</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4 000 à moins de 8 000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8 000 à moins de 15 000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5</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15 000 à moins de 25 000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6</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25 000 à moins de 50 000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7</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50 000 à moins de 100 000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8</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100 000 à moins de 250 000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9</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250 000 à moins de 500 000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10</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500 000 à moins de 750 000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11</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750 000 à moins de 1 000 000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12</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1 000 000 à moins de 1 500 000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13</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1 500 000 à moins de 3 000 000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14</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3 000 000 euros et plus</w:t>
                                  </w:r>
                                </w:p>
                              </w:tc>
                            </w:tr>
                          </w:tbl>
                          <w:p>
                            <w:pPr>
                              <w:pStyle w:val="Contenudecadre"/>
                              <w:spacing w:before="0" w:after="120"/>
                              <w:rPr>
                                <w:sz w:val="12"/>
                                <w:szCs w:val="16"/>
                              </w:rPr>
                            </w:pPr>
                            <w:r>
                              <w:rPr/>
                            </w:r>
                          </w:p>
                        </w:txbxContent>
                      </wps:txbx>
                      <wps:bodyPr anchor="t">
                        <a:noAutofit/>
                      </wps:bodyPr>
                    </wps:wsp>
                  </a:graphicData>
                </a:graphic>
              </wp:anchor>
            </w:drawing>
          </mc:Choice>
          <mc:Fallback>
            <w:pict>
              <v:rect id="shape_0" ID="Zone de texte 2" path="m0,0l-2147483645,0l-2147483645,-2147483646l0,-2147483646xe" fillcolor="white" stroked="f" o:allowincell="f" style="position:absolute;margin-left:0pt;margin-top:0.6pt;width:179.65pt;height:183.1pt;mso-wrap-style:square;v-text-anchor:top;mso-position-horizontal:left;mso-position-horizontal-relative:margin" wp14:anchorId="22CDEB87">
                <v:fill o:detectmouseclick="t" type="solid" color2="black"/>
                <v:stroke color="#3465a4" weight="9360" joinstyle="miter" endcap="flat"/>
                <v:textbox>
                  <w:txbxContent>
                    <w:p>
                      <w:pPr>
                        <w:pStyle w:val="Contenudecadre"/>
                        <w:spacing w:lineRule="auto" w:line="240" w:before="0" w:after="0"/>
                        <w:jc w:val="center"/>
                        <w:rPr>
                          <w:rFonts w:eastAsia="Liberation Sans" w:cs="Liberation Sans"/>
                          <w:sz w:val="18"/>
                        </w:rPr>
                      </w:pPr>
                      <w:r>
                        <w:rPr>
                          <w:rFonts w:eastAsia="Liberation Sans" w:cs="Liberation Sans"/>
                          <w:sz w:val="18"/>
                        </w:rPr>
                        <w:t>Tableau 2 : Définition de la Cdex</w:t>
                      </w:r>
                    </w:p>
                    <w:tbl>
                      <w:tblPr>
                        <w:tblW w:w="3544" w:type="dxa"/>
                        <w:jc w:val="left"/>
                        <w:tblInd w:w="-147" w:type="dxa"/>
                        <w:tblLayout w:type="fixed"/>
                        <w:tblCellMar>
                          <w:top w:w="0" w:type="dxa"/>
                          <w:left w:w="70" w:type="dxa"/>
                          <w:bottom w:w="0" w:type="dxa"/>
                          <w:right w:w="70" w:type="dxa"/>
                        </w:tblCellMar>
                        <w:tblLook w:val="04a0" w:noHBand="0" w:noVBand="1" w:firstColumn="1" w:lastRow="0" w:lastColumn="0" w:firstRow="1"/>
                      </w:tblPr>
                      <w:tblGrid>
                        <w:gridCol w:w="568"/>
                        <w:gridCol w:w="2975"/>
                      </w:tblGrid>
                      <w:tr>
                        <w:trPr/>
                        <w:tc>
                          <w:tcPr>
                            <w:tcW w:w="5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Cdex</w:t>
                            </w:r>
                          </w:p>
                        </w:tc>
                        <w:tc>
                          <w:tcPr>
                            <w:tcW w:w="2975" w:type="dxa"/>
                            <w:tcBorders>
                              <w:top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center"/>
                              <w:rPr>
                                <w:rFonts w:ascii="Calibri" w:hAnsi="Calibri" w:eastAsia="Times New Roman" w:cs="Times New Roman"/>
                                <w:color w:val="000000"/>
                                <w:sz w:val="16"/>
                                <w:szCs w:val="18"/>
                              </w:rPr>
                            </w:pPr>
                            <w:r>
                              <w:rPr>
                                <w:rFonts w:eastAsia="Times New Roman" w:cs="Times New Roman" w:ascii="Calibri" w:hAnsi="Calibri"/>
                                <w:color w:val="000000"/>
                                <w:sz w:val="16"/>
                                <w:szCs w:val="18"/>
                              </w:rPr>
                              <w:t>PBS « 2017 »</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1</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Moins de 2 000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2</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2 000 à moins de 4 000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3</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4 000 à moins de 8 000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color w:val="000000"/>
                                <w:sz w:val="16"/>
                                <w:szCs w:val="18"/>
                              </w:rPr>
                            </w:pPr>
                            <w:r>
                              <w:rPr>
                                <w:rFonts w:eastAsia="Times New Roman" w:cs="Times New Roman" w:ascii="Calibri" w:hAnsi="Calibri"/>
                                <w:color w:val="000000"/>
                                <w:sz w:val="16"/>
                                <w:szCs w:val="18"/>
                              </w:rPr>
                              <w:t>4</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color w:val="000000"/>
                                <w:sz w:val="16"/>
                                <w:szCs w:val="18"/>
                              </w:rPr>
                            </w:pPr>
                            <w:r>
                              <w:rPr>
                                <w:rFonts w:eastAsia="Times New Roman" w:cs="Times New Roman" w:ascii="Calibri" w:hAnsi="Calibri"/>
                                <w:color w:val="000000"/>
                                <w:sz w:val="16"/>
                                <w:szCs w:val="18"/>
                              </w:rPr>
                              <w:t>8 000 à moins de 15 000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5</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15 000 à moins de 25 000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6</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25 000 à moins de 50 000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7</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50 000 à moins de 100 000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8</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100 000 à moins de 250 000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9</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250 000 à moins de 500 000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10</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500 000 à moins de 750 000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11</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750 000 à moins de 1 000 000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12</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1 000 000 à moins de 1 500 000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13</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1 500 000 à moins de 3 000 000 euros</w:t>
                            </w:r>
                          </w:p>
                        </w:tc>
                      </w:tr>
                      <w:tr>
                        <w:trPr/>
                        <w:tc>
                          <w:tcPr>
                            <w:tcW w:w="568" w:type="dxa"/>
                            <w:tcBorders>
                              <w:left w:val="single" w:sz="4" w:space="0" w:color="000000"/>
                              <w:bottom w:val="single" w:sz="4" w:space="0" w:color="000000"/>
                              <w:right w:val="single" w:sz="4" w:space="0" w:color="000000"/>
                            </w:tcBorders>
                            <w:shd w:color="auto" w:fill="auto" w:val="clear"/>
                            <w:vAlign w:val="center"/>
                          </w:tcPr>
                          <w:p>
                            <w:pPr>
                              <w:pStyle w:val="Contenudecadre"/>
                              <w:widowControl w:val="false"/>
                              <w:spacing w:lineRule="auto" w:line="240" w:before="0" w:after="0"/>
                              <w:jc w:val="right"/>
                              <w:rPr>
                                <w:rFonts w:ascii="Calibri" w:hAnsi="Calibri" w:eastAsia="Times New Roman" w:cs="Times New Roman"/>
                                <w:sz w:val="16"/>
                                <w:szCs w:val="18"/>
                              </w:rPr>
                            </w:pPr>
                            <w:r>
                              <w:rPr>
                                <w:rFonts w:eastAsia="Times New Roman" w:cs="Times New Roman" w:ascii="Calibri" w:hAnsi="Calibri"/>
                                <w:sz w:val="16"/>
                                <w:szCs w:val="18"/>
                              </w:rPr>
                              <w:t>14</w:t>
                            </w:r>
                          </w:p>
                        </w:tc>
                        <w:tc>
                          <w:tcPr>
                            <w:tcW w:w="2975" w:type="dxa"/>
                            <w:tcBorders>
                              <w:bottom w:val="single" w:sz="4" w:space="0" w:color="000000"/>
                              <w:right w:val="single" w:sz="4" w:space="0" w:color="000000"/>
                            </w:tcBorders>
                            <w:shd w:color="auto" w:fill="auto" w:val="clear"/>
                            <w:vAlign w:val="center"/>
                          </w:tcPr>
                          <w:p>
                            <w:pPr>
                              <w:pStyle w:val="Contenudecadre"/>
                              <w:widowControl w:val="false"/>
                              <w:spacing w:lineRule="auto" w:line="240" w:before="0" w:after="0"/>
                              <w:rPr>
                                <w:rFonts w:ascii="Calibri" w:hAnsi="Calibri" w:eastAsia="Times New Roman" w:cs="Times New Roman"/>
                                <w:sz w:val="16"/>
                                <w:szCs w:val="18"/>
                              </w:rPr>
                            </w:pPr>
                            <w:r>
                              <w:rPr>
                                <w:rFonts w:eastAsia="Times New Roman" w:cs="Times New Roman" w:ascii="Calibri" w:hAnsi="Calibri"/>
                                <w:sz w:val="16"/>
                                <w:szCs w:val="18"/>
                              </w:rPr>
                              <w:t>3 000 000 euros et plus</w:t>
                            </w:r>
                          </w:p>
                        </w:tc>
                      </w:tr>
                    </w:tbl>
                    <w:p>
                      <w:pPr>
                        <w:pStyle w:val="Contenudecadre"/>
                        <w:spacing w:before="0" w:after="120"/>
                        <w:rPr>
                          <w:sz w:val="12"/>
                          <w:szCs w:val="16"/>
                        </w:rPr>
                      </w:pPr>
                      <w:r>
                        <w:rPr/>
                      </w:r>
                    </w:p>
                  </w:txbxContent>
                </v:textbox>
                <w10:wrap type="square"/>
              </v:rect>
            </w:pict>
          </mc:Fallback>
        </mc:AlternateContent>
      </w:r>
      <w:r>
        <w:rPr/>
        <w:t>Les Otex constituent un classement des exploitations selon leur production principale (par exemple, "grandes cultures", "maraîchage" ou "bovins lait", …). Les Cdex permettent un classement des exploitations selon leur taille économique.</w:t>
      </w:r>
    </w:p>
    <w:p>
      <w:pPr>
        <w:pStyle w:val="Corpsdetexte"/>
        <w:rPr/>
      </w:pPr>
      <w:r>
        <w:rPr/>
        <w:t xml:space="preserve">La détermination de l’Otex et de la Cdex d’une exploitation se fait à partir de données physiques : surfaces des différentes productions végétales et effectifs des différentes catégories d’animaux. </w:t>
      </w:r>
      <w:r>
        <w:rPr>
          <w:shd w:fill="FFFF00" w:val="clear"/>
        </w:rPr>
        <w:t>À chaque hectare de culture et à chaque tête d’animal est appliqué un coefficient indicateur normatif unitaire qui exprime un potentiel de chiffre d’affaires hors aides et de subventions d’exploitation. Ces coefficients sont établis par région et sont exprimés en euros par hectare ou tête d'animal.</w:t>
      </w:r>
    </w:p>
    <w:p>
      <w:pPr>
        <w:pStyle w:val="Corpsdetexte"/>
        <w:rPr/>
      </w:pPr>
      <w:r>
        <w:rPr>
          <w:shd w:fill="FFFF00" w:val="clear"/>
        </w:rPr>
        <w:t>Le total des PBS de toutes les productions végétales et animales donne la PBS totale de l’exploitation et permet de la classer dans sa Cdex.</w:t>
      </w:r>
      <w:r>
        <w:rPr/>
        <w:t xml:space="preserve"> Les parts relatives de PBS partielles (c’est-à-dire des PBS des différentes productions végétales et animales) permettent de classer l’exploitation selon sa production dominante, et ainsi de déterminer son Otex.</w:t>
      </w:r>
    </w:p>
    <w:p>
      <w:pPr>
        <w:pStyle w:val="Titre2"/>
        <w:numPr>
          <w:ilvl w:val="0"/>
          <w:numId w:val="3"/>
        </w:numPr>
        <w:spacing w:before="120" w:after="120"/>
        <w:rPr/>
      </w:pPr>
      <w:bookmarkStart w:id="6" w:name="_Toc37833789"/>
      <w:r>
        <w:rPr/>
        <w:t>Plan de sélection</w:t>
      </w:r>
      <w:bookmarkEnd w:id="6"/>
    </w:p>
    <w:p>
      <w:pPr>
        <w:pStyle w:val="Corpsdetexte"/>
        <w:rPr/>
      </w:pPr>
      <w:r>
        <w:rPr/>
        <w:t>Pour que le RICA puisse répondre à ses objectifs de la façon la plus efficace, les États membres établissent chaque année un plan de sélection qu'ils notifient à la Commission. Le champ d'observation, connu à partir des recensements agricoles et des enquêtes sur la structure des exploitations, se caractérise par une très grande diversité. Pour que le RICA la reflète, le champ d'observation est découpé en strates fondées sur la région et sur les deux critères de la typologie décrite plus haut (Otex et Cdex).</w:t>
      </w:r>
    </w:p>
    <w:p>
      <w:pPr>
        <w:pStyle w:val="Corpsdetexte"/>
        <w:rPr>
          <w:highlight w:val="none"/>
          <w:shd w:fill="FFFF00" w:val="clear"/>
        </w:rPr>
      </w:pPr>
      <w:r>
        <w:rPr>
          <w:shd w:fill="FFFF00" w:val="clear"/>
        </w:rPr>
        <w:t>Le plan de sélection propose pour chacune des strates définies, l’effectif des exploitations à interroger et le nombre des exploitations couvertes. La grille utilisée pour la stratification de l'échantillon français comprend 2 250 lignes (25 régions RICA x 15 orientations technico-économiques x 6 classes de dimension économique).</w:t>
      </w:r>
    </w:p>
    <w:p>
      <w:pPr>
        <w:pStyle w:val="Titre3"/>
        <w:rPr/>
      </w:pPr>
      <w:bookmarkStart w:id="7" w:name="_Toc37833790"/>
      <w:r>
        <w:rPr/>
        <w:t>Nombre d’exploitations et principales caractéristiques :</w:t>
      </w:r>
      <w:bookmarkEnd w:id="7"/>
    </w:p>
    <w:p>
      <w:pPr>
        <w:pStyle w:val="Corpsdetexte"/>
        <w:rPr/>
      </w:pPr>
      <w:r>
        <w:rPr/>
        <w:t>Les taux de sondage (la proportion d’exploitations sélectionnées dans l'univers) diffèrent notablement selon les strates, notamment selon la dimension économique. Afin d'obtenir des résultats agrégés pertinents, il est nécessaire de les pondérer en utilisant un poids d'extrapolation affecté à chacune des exploitations de l'échantillon, sur la base des recensements agricoles ou des enquêtes structures les plus récents.</w:t>
      </w:r>
    </w:p>
    <w:p>
      <w:pPr>
        <w:pStyle w:val="Corpsdetexte"/>
        <w:rPr/>
      </w:pPr>
      <w:r>
        <mc:AlternateContent>
          <mc:Choice Requires="wps">
            <w:drawing>
              <wp:anchor behindDoc="0" distT="0" distB="0" distL="0" distR="120015" simplePos="0" locked="0" layoutInCell="0" allowOverlap="1" relativeHeight="10" wp14:anchorId="08C32BBD">
                <wp:simplePos x="0" y="0"/>
                <wp:positionH relativeFrom="margin">
                  <wp:align>left</wp:align>
                </wp:positionH>
                <wp:positionV relativeFrom="paragraph">
                  <wp:posOffset>574675</wp:posOffset>
                </wp:positionV>
                <wp:extent cx="5880735" cy="1778000"/>
                <wp:effectExtent l="0" t="0" r="0" b="0"/>
                <wp:wrapSquare wrapText="bothSides"/>
                <wp:docPr id="9" name="Zone de texte 2"/>
                <a:graphic xmlns:a="http://schemas.openxmlformats.org/drawingml/2006/main">
                  <a:graphicData uri="http://schemas.microsoft.com/office/word/2010/wordprocessingShape">
                    <wps:wsp>
                      <wps:cNvSpPr/>
                      <wps:spPr>
                        <a:xfrm>
                          <a:off x="0" y="0"/>
                          <a:ext cx="5880600" cy="1778040"/>
                        </a:xfrm>
                        <a:prstGeom prst="rect">
                          <a:avLst/>
                        </a:prstGeom>
                        <a:solidFill>
                          <a:srgbClr val="ffffff"/>
                        </a:solidFill>
                        <a:ln w="9525">
                          <a:noFill/>
                        </a:ln>
                      </wps:spPr>
                      <wps:style>
                        <a:lnRef idx="0"/>
                        <a:fillRef idx="0"/>
                        <a:effectRef idx="0"/>
                        <a:fontRef idx="minor"/>
                      </wps:style>
                      <wps:txbx>
                        <w:txbxContent>
                          <w:p>
                            <w:pPr>
                              <w:pStyle w:val="Corpsdetexte"/>
                              <w:spacing w:before="120" w:after="0"/>
                              <w:jc w:val="center"/>
                              <w:rPr/>
                            </w:pPr>
                            <w:r>
                              <w:rPr/>
                              <w:t>Tableau 4 : Champ du RICA et effectifs par Cdex pour 2022</w:t>
                            </w:r>
                          </w:p>
                          <w:p>
                            <w:pPr>
                              <w:pStyle w:val="Corpsdetexte"/>
                              <w:jc w:val="center"/>
                              <w:rPr/>
                            </w:pPr>
                            <w:r>
                              <w:rPr/>
                              <w:drawing>
                                <wp:inline distT="0" distB="0" distL="0" distR="0">
                                  <wp:extent cx="3258185" cy="1146175"/>
                                  <wp:effectExtent l="0" t="0" r="0" b="0"/>
                                  <wp:docPr id="11"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5" descr=""/>
                                          <pic:cNvPicPr>
                                            <a:picLocks noChangeAspect="1" noChangeArrowheads="1"/>
                                          </pic:cNvPicPr>
                                        </pic:nvPicPr>
                                        <pic:blipFill>
                                          <a:blip r:embed="rId2"/>
                                          <a:stretch>
                                            <a:fillRect/>
                                          </a:stretch>
                                        </pic:blipFill>
                                        <pic:spPr bwMode="auto">
                                          <a:xfrm>
                                            <a:off x="0" y="0"/>
                                            <a:ext cx="3258185" cy="1146175"/>
                                          </a:xfrm>
                                          <a:prstGeom prst="rect">
                                            <a:avLst/>
                                          </a:prstGeom>
                                        </pic:spPr>
                                      </pic:pic>
                                    </a:graphicData>
                                  </a:graphic>
                                </wp:inline>
                              </w:drawing>
                            </w:r>
                          </w:p>
                        </w:txbxContent>
                      </wps:txbx>
                      <wps:bodyPr lIns="0" rIns="0" tIns="0" bIns="0" anchor="t">
                        <a:noAutofit/>
                      </wps:bodyPr>
                    </wps:wsp>
                  </a:graphicData>
                </a:graphic>
              </wp:anchor>
            </w:drawing>
          </mc:Choice>
          <mc:Fallback>
            <w:pict>
              <v:rect id="shape_0" ID="Zone de texte 2" path="m0,0l-2147483645,0l-2147483645,-2147483646l0,-2147483646xe" fillcolor="white" stroked="f" o:allowincell="f" style="position:absolute;margin-left:-0.05pt;margin-top:45.25pt;width:463pt;height:139.95pt;mso-wrap-style:square;v-text-anchor:top;mso-position-horizontal:left;mso-position-horizontal-relative:margin" wp14:anchorId="08C32BBD">
                <v:fill o:detectmouseclick="t" type="solid" color2="black"/>
                <v:stroke color="#3465a4" weight="9360" joinstyle="miter" endcap="flat"/>
                <v:textbox>
                  <w:txbxContent>
                    <w:p>
                      <w:pPr>
                        <w:pStyle w:val="Corpsdetexte"/>
                        <w:spacing w:before="120" w:after="0"/>
                        <w:jc w:val="center"/>
                        <w:rPr/>
                      </w:pPr>
                      <w:r>
                        <w:rPr/>
                        <w:t>Tableau 4 : Champ du RICA et effectifs par Cdex pour 2022</w:t>
                      </w:r>
                    </w:p>
                    <w:p>
                      <w:pPr>
                        <w:pStyle w:val="Corpsdetexte"/>
                        <w:jc w:val="center"/>
                        <w:rPr/>
                      </w:pPr>
                      <w:r>
                        <w:rPr/>
                        <w:drawing>
                          <wp:inline distT="0" distB="0" distL="0" distR="0">
                            <wp:extent cx="3258185" cy="1146175"/>
                            <wp:effectExtent l="0" t="0" r="0" b="0"/>
                            <wp:docPr id="12"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5" descr=""/>
                                    <pic:cNvPicPr>
                                      <a:picLocks noChangeAspect="1" noChangeArrowheads="1"/>
                                    </pic:cNvPicPr>
                                  </pic:nvPicPr>
                                  <pic:blipFill>
                                    <a:blip r:embed="rId3"/>
                                    <a:stretch>
                                      <a:fillRect/>
                                    </a:stretch>
                                  </pic:blipFill>
                                  <pic:spPr bwMode="auto">
                                    <a:xfrm>
                                      <a:off x="0" y="0"/>
                                      <a:ext cx="3258185" cy="1146175"/>
                                    </a:xfrm>
                                    <a:prstGeom prst="rect">
                                      <a:avLst/>
                                    </a:prstGeom>
                                  </pic:spPr>
                                </pic:pic>
                              </a:graphicData>
                            </a:graphic>
                          </wp:inline>
                        </w:drawing>
                      </w:r>
                    </w:p>
                  </w:txbxContent>
                </v:textbox>
                <w10:wrap type="square"/>
              </v:rect>
            </w:pict>
          </mc:Fallback>
        </mc:AlternateContent>
        <mc:AlternateContent>
          <mc:Choice Requires="wps">
            <w:drawing>
              <wp:anchor behindDoc="0" distT="0" distB="0" distL="113665" distR="123190" simplePos="0" locked="0" layoutInCell="0" allowOverlap="1" relativeHeight="12" wp14:anchorId="675EC76E">
                <wp:simplePos x="0" y="0"/>
                <wp:positionH relativeFrom="margin">
                  <wp:posOffset>200660</wp:posOffset>
                </wp:positionH>
                <wp:positionV relativeFrom="paragraph">
                  <wp:posOffset>2371725</wp:posOffset>
                </wp:positionV>
                <wp:extent cx="5705475" cy="2781300"/>
                <wp:effectExtent l="635" t="0" r="0" b="0"/>
                <wp:wrapSquare wrapText="bothSides"/>
                <wp:docPr id="13" name="Zone de texte 2"/>
                <a:graphic xmlns:a="http://schemas.openxmlformats.org/drawingml/2006/main">
                  <a:graphicData uri="http://schemas.microsoft.com/office/word/2010/wordprocessingShape">
                    <wps:wsp>
                      <wps:cNvSpPr/>
                      <wps:spPr>
                        <a:xfrm>
                          <a:off x="0" y="0"/>
                          <a:ext cx="5705640" cy="2781360"/>
                        </a:xfrm>
                        <a:prstGeom prst="rect">
                          <a:avLst/>
                        </a:prstGeom>
                        <a:solidFill>
                          <a:srgbClr val="ffffff"/>
                        </a:solidFill>
                        <a:ln w="9525">
                          <a:noFill/>
                        </a:ln>
                      </wps:spPr>
                      <wps:style>
                        <a:lnRef idx="0"/>
                        <a:fillRef idx="0"/>
                        <a:effectRef idx="0"/>
                        <a:fontRef idx="minor"/>
                      </wps:style>
                      <wps:txbx>
                        <w:txbxContent>
                          <w:p>
                            <w:pPr>
                              <w:pStyle w:val="Contenudecadre"/>
                              <w:spacing w:lineRule="auto" w:line="240" w:before="0" w:after="0"/>
                              <w:jc w:val="center"/>
                              <w:rPr>
                                <w:sz w:val="18"/>
                                <w:szCs w:val="18"/>
                              </w:rPr>
                            </w:pPr>
                            <w:r>
                              <w:rPr>
                                <w:rFonts w:eastAsia="Liberation Sans" w:cs="Liberation Sans"/>
                                <w:sz w:val="18"/>
                                <w:szCs w:val="18"/>
                              </w:rPr>
                              <w:t xml:space="preserve">Tableau </w:t>
                            </w:r>
                            <w:r>
                              <w:rPr>
                                <w:sz w:val="18"/>
                                <w:szCs w:val="18"/>
                              </w:rPr>
                              <w:t>5</w:t>
                            </w:r>
                            <w:r>
                              <w:rPr>
                                <w:rFonts w:eastAsia="Liberation Sans" w:cs="Liberation Sans"/>
                                <w:sz w:val="18"/>
                                <w:szCs w:val="18"/>
                              </w:rPr>
                              <w:t xml:space="preserve"> : </w:t>
                            </w:r>
                            <w:r>
                              <w:rPr>
                                <w:sz w:val="18"/>
                                <w:szCs w:val="18"/>
                              </w:rPr>
                              <w:t>Effectifs par Otex française de diffusion détaillée pour 2022</w:t>
                            </w:r>
                          </w:p>
                          <w:p>
                            <w:pPr>
                              <w:pStyle w:val="Corpsdetexte"/>
                              <w:jc w:val="center"/>
                              <w:rPr/>
                            </w:pPr>
                            <w:r>
                              <w:rPr/>
                              <w:drawing>
                                <wp:inline distT="0" distB="0" distL="0" distR="0">
                                  <wp:extent cx="4025265" cy="2285365"/>
                                  <wp:effectExtent l="0" t="0" r="0" b="0"/>
                                  <wp:docPr id="15"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6" descr=""/>
                                          <pic:cNvPicPr>
                                            <a:picLocks noChangeAspect="1" noChangeArrowheads="1"/>
                                          </pic:cNvPicPr>
                                        </pic:nvPicPr>
                                        <pic:blipFill>
                                          <a:blip r:embed="rId4"/>
                                          <a:stretch>
                                            <a:fillRect/>
                                          </a:stretch>
                                        </pic:blipFill>
                                        <pic:spPr bwMode="auto">
                                          <a:xfrm>
                                            <a:off x="0" y="0"/>
                                            <a:ext cx="4025265" cy="2285365"/>
                                          </a:xfrm>
                                          <a:prstGeom prst="rect">
                                            <a:avLst/>
                                          </a:prstGeom>
                                        </pic:spPr>
                                      </pic:pic>
                                    </a:graphicData>
                                  </a:graphic>
                                </wp:inline>
                              </w:drawing>
                            </w:r>
                          </w:p>
                        </w:txbxContent>
                      </wps:txbx>
                      <wps:bodyPr lIns="0" rIns="0" tIns="0" bIns="0" anchor="t">
                        <a:noAutofit/>
                      </wps:bodyPr>
                    </wps:wsp>
                  </a:graphicData>
                </a:graphic>
              </wp:anchor>
            </w:drawing>
          </mc:Choice>
          <mc:Fallback>
            <w:pict>
              <v:rect id="shape_0" ID="Zone de texte 2" path="m0,0l-2147483645,0l-2147483645,-2147483646l0,-2147483646xe" fillcolor="white" stroked="f" o:allowincell="f" style="position:absolute;margin-left:15.8pt;margin-top:186.75pt;width:449.2pt;height:218.95pt;mso-wrap-style:square;v-text-anchor:top;mso-position-horizontal-relative:margin" wp14:anchorId="675EC76E">
                <v:fill o:detectmouseclick="t" type="solid" color2="black"/>
                <v:stroke color="#3465a4" weight="9360" joinstyle="miter" endcap="flat"/>
                <v:textbox>
                  <w:txbxContent>
                    <w:p>
                      <w:pPr>
                        <w:pStyle w:val="Contenudecadre"/>
                        <w:spacing w:lineRule="auto" w:line="240" w:before="0" w:after="0"/>
                        <w:jc w:val="center"/>
                        <w:rPr>
                          <w:sz w:val="18"/>
                          <w:szCs w:val="18"/>
                        </w:rPr>
                      </w:pPr>
                      <w:r>
                        <w:rPr>
                          <w:rFonts w:eastAsia="Liberation Sans" w:cs="Liberation Sans"/>
                          <w:sz w:val="18"/>
                          <w:szCs w:val="18"/>
                        </w:rPr>
                        <w:t xml:space="preserve">Tableau </w:t>
                      </w:r>
                      <w:r>
                        <w:rPr>
                          <w:sz w:val="18"/>
                          <w:szCs w:val="18"/>
                        </w:rPr>
                        <w:t>5</w:t>
                      </w:r>
                      <w:r>
                        <w:rPr>
                          <w:rFonts w:eastAsia="Liberation Sans" w:cs="Liberation Sans"/>
                          <w:sz w:val="18"/>
                          <w:szCs w:val="18"/>
                        </w:rPr>
                        <w:t xml:space="preserve"> : </w:t>
                      </w:r>
                      <w:r>
                        <w:rPr>
                          <w:sz w:val="18"/>
                          <w:szCs w:val="18"/>
                        </w:rPr>
                        <w:t>Effectifs par Otex française de diffusion détaillée pour 2022</w:t>
                      </w:r>
                    </w:p>
                    <w:p>
                      <w:pPr>
                        <w:pStyle w:val="Corpsdetexte"/>
                        <w:jc w:val="center"/>
                        <w:rPr/>
                      </w:pPr>
                      <w:r>
                        <w:rPr/>
                        <w:drawing>
                          <wp:inline distT="0" distB="0" distL="0" distR="0">
                            <wp:extent cx="4025265" cy="2285365"/>
                            <wp:effectExtent l="0" t="0" r="0" b="0"/>
                            <wp:docPr id="1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6" descr=""/>
                                    <pic:cNvPicPr>
                                      <a:picLocks noChangeAspect="1" noChangeArrowheads="1"/>
                                    </pic:cNvPicPr>
                                  </pic:nvPicPr>
                                  <pic:blipFill>
                                    <a:blip r:embed="rId5"/>
                                    <a:stretch>
                                      <a:fillRect/>
                                    </a:stretch>
                                  </pic:blipFill>
                                  <pic:spPr bwMode="auto">
                                    <a:xfrm>
                                      <a:off x="0" y="0"/>
                                      <a:ext cx="4025265" cy="2285365"/>
                                    </a:xfrm>
                                    <a:prstGeom prst="rect">
                                      <a:avLst/>
                                    </a:prstGeom>
                                  </pic:spPr>
                                </pic:pic>
                              </a:graphicData>
                            </a:graphic>
                          </wp:inline>
                        </w:drawing>
                      </w:r>
                    </w:p>
                  </w:txbxContent>
                </v:textbox>
                <w10:wrap type="square"/>
              </v:rect>
            </w:pict>
          </mc:Fallback>
        </mc:AlternateContent>
      </w:r>
      <w:r>
        <w:rPr/>
        <w:t>Le calcul des poids est réalisé pour chacune des strates résultant du croisement des trois critères régions (25 NUTS2), Otex (15 catégories) et Cdex (6 modalités : 5, 6, 7, 8, 9, 10 à 14). Compte-tenu du nombre restreint d'exploitations dans les plus grandes classes de dimension économique (Cdex), les classes de Cdex 10 à 14 sont regroupées en classe 10.</w:t>
      </w:r>
    </w:p>
    <w:p>
      <w:pPr>
        <w:pStyle w:val="Corpsdetexte"/>
        <w:rPr>
          <w:highlight w:val="none"/>
          <w:shd w:fill="FFFF00" w:val="clear"/>
        </w:rPr>
      </w:pPr>
      <w:r>
        <w:rPr>
          <w:shd w:fill="FFFF00" w:val="clear"/>
        </w:rPr>
        <w:t>Toutes les exploitations d’une strate donnée sont affectées d’un coefficient de pondération calculé comme suit. On effectue d’abord, pour la strate considérée, le rapport entre le nombre d’exploitations de l’univers et le nombre d’exploitations de l’échantillon. Ce calcul donne un jeu de coefficients intermédiaires.</w:t>
      </w:r>
    </w:p>
    <w:p>
      <w:pPr>
        <w:pStyle w:val="Corpsdetexte"/>
        <w:rPr>
          <w:highlight w:val="none"/>
          <w:shd w:fill="FFFF00" w:val="clear"/>
        </w:rPr>
      </w:pPr>
      <w:r>
        <w:rPr>
          <w:shd w:fill="FFFF00" w:val="clear"/>
        </w:rPr>
        <w:t>Si l’on applique à toutes les exploitations de l’échantillon ces coefficients intermédiaires, on obtient un nombre total d’exploitations inférieur au nombre total fourni par l’univers : certaines strates étant non représentées dans l’échantillon. Un autre jeu de coefficients, appelé coefficients finaux d’extrapolation est calculé, en "dilatant" les coefficients intermédiaires par un calage sur marge. Le calage sur marge assure que le nombre des exploitations extrapolé à partir du coefficient final, est égal, pour chacune des régions, Otex et Cdex, à celui de l’univers. Ces coefficients permettent donc de se rapprocher au mieux de l’univers de référence, c’est-à-dire de déterminer le nombre d’exploitations représentées pour chaque exploitation de l’échantillon recensé.</w:t>
      </w:r>
    </w:p>
    <w:p>
      <w:pPr>
        <w:pStyle w:val="Titre3"/>
        <w:rPr/>
      </w:pPr>
      <w:bookmarkStart w:id="8" w:name="_Toc37833791"/>
      <w:r>
        <w:rPr/>
        <w:t>Collecte des données</w:t>
      </w:r>
      <w:bookmarkEnd w:id="8"/>
    </w:p>
    <w:p>
      <w:pPr>
        <w:pStyle w:val="Corpsdetexte"/>
        <w:rPr/>
      </w:pPr>
      <w:r>
        <w:rPr/>
        <w:t>Après avoir obtenu l’accord de l’exploitant, la collecte des données comptables dans les exploitations agricoles est réalisée par des offices comptables via une saisie directe sur une application informatique nationale. La validation des données est opérée par les services régionaux de l’information statistique et économique (SRISE) et par le pôle national.</w:t>
      </w:r>
    </w:p>
    <w:p>
      <w:pPr>
        <w:pStyle w:val="Titre1"/>
        <w:numPr>
          <w:ilvl w:val="0"/>
          <w:numId w:val="2"/>
        </w:numPr>
        <w:ind w:left="714" w:hanging="357"/>
        <w:rPr/>
      </w:pPr>
      <w:bookmarkStart w:id="9" w:name="_Toc37833792"/>
      <w:r>
        <w:rPr/>
        <w:t>Anonymisation et brouillage des données</w:t>
      </w:r>
      <w:bookmarkEnd w:id="9"/>
    </w:p>
    <w:p>
      <w:pPr>
        <w:pStyle w:val="Titre2"/>
        <w:numPr>
          <w:ilvl w:val="0"/>
          <w:numId w:val="6"/>
        </w:numPr>
        <w:spacing w:before="120" w:after="120"/>
        <w:ind w:left="714" w:hanging="357"/>
        <w:rPr/>
      </w:pPr>
      <w:bookmarkStart w:id="10" w:name="_Toc37833793"/>
      <w:r>
        <w:rPr/>
        <w:t>Anonymisation</w:t>
      </w:r>
      <w:bookmarkEnd w:id="10"/>
    </w:p>
    <w:p>
      <w:pPr>
        <w:pStyle w:val="Corpsdetexte"/>
        <w:rPr/>
      </w:pPr>
      <w:r>
        <w:rPr/>
        <w:t>Afin de respecter les règles du secret statistique et de garantir l'anonymat des exploitations enquêtées, toutes les données à caractère personnel ou individuel relatives à l'exploitant et à son exploitation (nom, prénom, sexe, année de naissance, adresse, numéro exploitation...) sont supprimées des fichiers mis en ligne.</w:t>
      </w:r>
    </w:p>
    <w:p>
      <w:pPr>
        <w:pStyle w:val="Corpsdetexte"/>
        <w:rPr/>
      </w:pPr>
      <w:r>
        <w:rPr/>
        <w:t>Au niveau des circonscriptions administratives seule la région du siège de l'exploitation apparaît dans les fichiers mis à disposition : il n'est donc pas possible d'effectuer des requêtes par commune, canton ou même département.</w:t>
      </w:r>
    </w:p>
    <w:p>
      <w:pPr>
        <w:pStyle w:val="Titre2"/>
        <w:numPr>
          <w:ilvl w:val="0"/>
          <w:numId w:val="6"/>
        </w:numPr>
        <w:spacing w:before="120" w:after="120"/>
        <w:rPr/>
      </w:pPr>
      <w:bookmarkStart w:id="11" w:name="_Toc37833794"/>
      <w:r>
        <w:rPr/>
        <w:t>Brouillage</w:t>
      </w:r>
      <w:bookmarkEnd w:id="11"/>
    </w:p>
    <w:p>
      <w:pPr>
        <w:pStyle w:val="Corpsdetexte"/>
        <w:rPr/>
      </w:pPr>
      <w:r>
        <w:rPr/>
        <w:t>Pour éviter que des données physiques ne permettent indirectement de lever le secret statistique et d'identifier indirectement les exploitations enquêtées, les données physiques (main d'œuvre, âge de l'exploitant, superficies, effectifs d'animaux, droits à prime, quotas de production) ont été substituées par les tranches de valeur à laquelle les données individuelles appartiennent.</w:t>
      </w:r>
    </w:p>
    <w:p>
      <w:pPr>
        <w:pStyle w:val="Corpsdetexte"/>
        <w:rPr/>
      </w:pPr>
      <w:r>
        <w:rPr/>
      </w:r>
    </w:p>
    <w:p>
      <w:pPr>
        <w:pStyle w:val="Corpsdetexte"/>
        <w:rPr/>
      </w:pPr>
      <w:r>
        <w:rPr/>
        <w:t>Ces classes sont définies comme suit :</w:t>
      </w:r>
    </w:p>
    <w:p>
      <w:pPr>
        <w:pStyle w:val="Corpsdetexte"/>
        <w:rPr/>
      </w:pPr>
      <w:r>
        <w:rPr/>
      </w:r>
    </w:p>
    <w:p>
      <w:pPr>
        <w:pStyle w:val="Corpsdetexte"/>
        <w:rPr/>
      </w:pPr>
      <w:r>
        <w:rPr>
          <w:rFonts w:eastAsia="Wingdings" w:cs="Wingdings" w:ascii="Wingdings" w:hAnsi="Wingdings"/>
        </w:rPr>
        <w:t></w:t>
      </w:r>
      <w:r>
        <w:rPr/>
        <w:t xml:space="preserve"> </w:t>
      </w:r>
      <w:r>
        <w:rPr/>
        <w:t>Age de l'exploitant ('TRA05'), 14 classes :</w:t>
      </w:r>
    </w:p>
    <w:tbl>
      <w:tblPr>
        <w:tblW w:w="5250" w:type="dxa"/>
        <w:jc w:val="left"/>
        <w:tblInd w:w="-10" w:type="dxa"/>
        <w:tblLayout w:type="fixed"/>
        <w:tblCellMar>
          <w:top w:w="0" w:type="dxa"/>
          <w:left w:w="70" w:type="dxa"/>
          <w:bottom w:w="0" w:type="dxa"/>
          <w:right w:w="70" w:type="dxa"/>
        </w:tblCellMar>
        <w:tblLook w:val="04a0" w:noHBand="0" w:noVBand="1" w:firstColumn="1" w:lastRow="0" w:lastColumn="0" w:firstRow="1"/>
      </w:tblPr>
      <w:tblGrid>
        <w:gridCol w:w="1848"/>
        <w:gridCol w:w="1701"/>
        <w:gridCol w:w="1701"/>
      </w:tblGrid>
      <w:tr>
        <w:trPr/>
        <w:tc>
          <w:tcPr>
            <w:tcW w:w="184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Moins de 21 ans</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De 21 à 80 ans</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Plus de 80 ans</w:t>
            </w:r>
          </w:p>
        </w:tc>
      </w:tr>
      <w:tr>
        <w:trPr/>
        <w:tc>
          <w:tcPr>
            <w:tcW w:w="184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ans</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Corpsdetexte"/>
        <w:rPr/>
      </w:pPr>
      <w:r>
        <w:rPr/>
      </w:r>
    </w:p>
    <w:p>
      <w:pPr>
        <w:pStyle w:val="Corpsdetexte"/>
        <w:rPr/>
      </w:pPr>
      <w:r>
        <w:rPr>
          <w:rFonts w:eastAsia="Wingdings" w:cs="Wingdings" w:ascii="Wingdings" w:hAnsi="Wingdings"/>
        </w:rPr>
        <w:t></w:t>
      </w:r>
      <w:r>
        <w:rPr/>
        <w:t xml:space="preserve"> </w:t>
      </w:r>
      <w:r>
        <w:rPr/>
        <w:t>Pour les effectifs de main d'œuvre non salariée permanente (« TOUTA »), 7 classes (exprimées en ETP) :</w:t>
      </w:r>
    </w:p>
    <w:tbl>
      <w:tblPr>
        <w:tblW w:w="9666" w:type="dxa"/>
        <w:jc w:val="left"/>
        <w:tblInd w:w="-10" w:type="dxa"/>
        <w:tblLayout w:type="fixed"/>
        <w:tblCellMar>
          <w:top w:w="0" w:type="dxa"/>
          <w:left w:w="70" w:type="dxa"/>
          <w:bottom w:w="0" w:type="dxa"/>
          <w:right w:w="70" w:type="dxa"/>
        </w:tblCellMar>
        <w:tblLook w:val="04a0" w:noHBand="0" w:noVBand="1" w:firstColumn="1" w:lastRow="0" w:lastColumn="0" w:firstRow="1"/>
      </w:tblPr>
      <w:tblGrid>
        <w:gridCol w:w="1706"/>
        <w:gridCol w:w="1275"/>
        <w:gridCol w:w="1276"/>
        <w:gridCol w:w="1357"/>
        <w:gridCol w:w="1358"/>
        <w:gridCol w:w="1357"/>
        <w:gridCol w:w="1336"/>
      </w:tblGrid>
      <w:tr>
        <w:trPr/>
        <w:tc>
          <w:tcPr>
            <w:tcW w:w="1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Pas de main d'œuvre non salariée permanente</w:t>
            </w:r>
          </w:p>
        </w:tc>
        <w:tc>
          <w:tcPr>
            <w:tcW w:w="12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non nul et strictement inférieur à 1</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égal ou supérieur à 1 et strictement inférieur à 1,5</w:t>
            </w:r>
          </w:p>
        </w:tc>
        <w:tc>
          <w:tcPr>
            <w:tcW w:w="135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égal ou supérieur à 1,5 et strictement inférieur à 2</w:t>
            </w:r>
          </w:p>
        </w:tc>
        <w:tc>
          <w:tcPr>
            <w:tcW w:w="135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égal ou supérieur à 2</w:t>
            </w:r>
          </w:p>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et strictement inférieur à 3</w:t>
            </w:r>
          </w:p>
        </w:tc>
        <w:tc>
          <w:tcPr>
            <w:tcW w:w="135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égal ou supérieur à 3</w:t>
            </w:r>
          </w:p>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et strictement inférieur à 4</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égal ou supérieur à 4</w:t>
            </w:r>
          </w:p>
        </w:tc>
      </w:tr>
    </w:tbl>
    <w:p>
      <w:pPr>
        <w:pStyle w:val="Corpsdetexte"/>
        <w:rPr/>
      </w:pPr>
      <w:r>
        <w:rPr/>
      </w:r>
    </w:p>
    <w:p>
      <w:pPr>
        <w:pStyle w:val="Corpsdetexte"/>
        <w:rPr/>
      </w:pPr>
      <w:r>
        <w:rPr>
          <w:rFonts w:eastAsia="Wingdings" w:cs="Wingdings" w:ascii="Wingdings" w:hAnsi="Wingdings"/>
        </w:rPr>
        <w:t></w:t>
      </w:r>
      <w:r>
        <w:rPr/>
        <w:t xml:space="preserve"> </w:t>
      </w:r>
      <w:r>
        <w:rPr/>
        <w:t>Pour les effectifs de main d'œuvre permanente salariée (« EFF10 »), 6 classes (exprimées en ETP):</w:t>
      </w:r>
    </w:p>
    <w:tbl>
      <w:tblPr>
        <w:tblW w:w="8344"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1701"/>
        <w:gridCol w:w="1337"/>
        <w:gridCol w:w="1356"/>
        <w:gridCol w:w="1275"/>
        <w:gridCol w:w="1338"/>
        <w:gridCol w:w="1336"/>
      </w:tblGrid>
      <w:tr>
        <w:trPr/>
        <w:tc>
          <w:tcPr>
            <w:tcW w:w="170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Pas de main d'œuvre permanente salariée</w:t>
            </w:r>
          </w:p>
        </w:tc>
        <w:tc>
          <w:tcPr>
            <w:tcW w:w="133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non nul et strictement inférieur à 3</w:t>
            </w:r>
          </w:p>
        </w:tc>
        <w:tc>
          <w:tcPr>
            <w:tcW w:w="1356"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égal ou supérieur à 3</w:t>
            </w:r>
          </w:p>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et strictement inférieur à 5</w:t>
            </w:r>
          </w:p>
        </w:tc>
        <w:tc>
          <w:tcPr>
            <w:tcW w:w="1275"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égal ou supérieur à 5 et strictement inférieur à 7</w:t>
            </w:r>
          </w:p>
        </w:tc>
        <w:tc>
          <w:tcPr>
            <w:tcW w:w="1338"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égal ou supérieur à 7</w:t>
            </w:r>
          </w:p>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et strictement inférieur à 10</w:t>
            </w:r>
          </w:p>
        </w:tc>
        <w:tc>
          <w:tcPr>
            <w:tcW w:w="133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égal ou supérieur à 10</w:t>
            </w:r>
          </w:p>
        </w:tc>
      </w:tr>
    </w:tbl>
    <w:p>
      <w:pPr>
        <w:pStyle w:val="Corpsdetexte"/>
        <w:rPr/>
      </w:pPr>
      <w:r>
        <w:rPr/>
      </w:r>
    </w:p>
    <w:p>
      <w:pPr>
        <w:pStyle w:val="Corpsdetexte"/>
        <w:rPr/>
      </w:pPr>
      <w:r>
        <w:rPr>
          <w:rFonts w:eastAsia="Wingdings" w:cs="Wingdings" w:ascii="Wingdings" w:hAnsi="Wingdings"/>
        </w:rPr>
        <w:t></w:t>
      </w:r>
      <w:r>
        <w:rPr>
          <w:b/>
        </w:rPr>
        <w:t xml:space="preserve"> </w:t>
      </w:r>
      <w:r>
        <w:rPr/>
        <w:t>Pour le temps de travail de la main d'œuvre non permanente salariée ('TVL11'), 7 classes (exprimées en heure) :</w:t>
      </w:r>
    </w:p>
    <w:tbl>
      <w:tblPr>
        <w:tblW w:w="9991" w:type="dxa"/>
        <w:jc w:val="left"/>
        <w:tblInd w:w="-10" w:type="dxa"/>
        <w:tblLayout w:type="fixed"/>
        <w:tblCellMar>
          <w:top w:w="0" w:type="dxa"/>
          <w:left w:w="70" w:type="dxa"/>
          <w:bottom w:w="0" w:type="dxa"/>
          <w:right w:w="70" w:type="dxa"/>
        </w:tblCellMar>
        <w:tblLook w:val="04a0" w:noHBand="0" w:noVBand="1" w:firstColumn="1" w:lastRow="0" w:lastColumn="0" w:firstRow="1"/>
      </w:tblPr>
      <w:tblGrid>
        <w:gridCol w:w="1564"/>
        <w:gridCol w:w="1405"/>
        <w:gridCol w:w="1404"/>
        <w:gridCol w:w="1404"/>
        <w:gridCol w:w="1404"/>
        <w:gridCol w:w="1405"/>
        <w:gridCol w:w="1404"/>
      </w:tblGrid>
      <w:tr>
        <w:trPr/>
        <w:tc>
          <w:tcPr>
            <w:tcW w:w="15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Pas de main d'œuvre non permanente salariée</w:t>
            </w:r>
          </w:p>
        </w:tc>
        <w:tc>
          <w:tcPr>
            <w:tcW w:w="1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d'heures non nul et inférieur à 900</w:t>
            </w:r>
          </w:p>
        </w:tc>
        <w:tc>
          <w:tcPr>
            <w:tcW w:w="14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d'heures égal ou supérieur à 900 et inférieur à 1800</w:t>
            </w:r>
          </w:p>
        </w:tc>
        <w:tc>
          <w:tcPr>
            <w:tcW w:w="14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d'heures égal ou supérieur à 1800 et inférieur à 2700</w:t>
            </w:r>
          </w:p>
        </w:tc>
        <w:tc>
          <w:tcPr>
            <w:tcW w:w="14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d'heures égal ou supérieur à 2700 et inférieur à 3600</w:t>
            </w:r>
          </w:p>
        </w:tc>
        <w:tc>
          <w:tcPr>
            <w:tcW w:w="1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d'heures égal ou supérieur à 3600 et inférieur à 5200</w:t>
            </w:r>
          </w:p>
        </w:tc>
        <w:tc>
          <w:tcPr>
            <w:tcW w:w="14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d'heures égal ou supérieur à 5200</w:t>
            </w:r>
          </w:p>
        </w:tc>
      </w:tr>
    </w:tbl>
    <w:p>
      <w:pPr>
        <w:pStyle w:val="Corpsdetexte"/>
        <w:rPr/>
      </w:pPr>
      <w:r>
        <w:rPr/>
      </w:r>
    </w:p>
    <w:p>
      <w:pPr>
        <w:pStyle w:val="Corpsdetexte"/>
        <w:rPr/>
      </w:pPr>
      <w:r>
        <w:rPr>
          <w:rFonts w:eastAsia="Wingdings" w:cs="Wingdings" w:ascii="Wingdings" w:hAnsi="Wingdings"/>
        </w:rPr>
        <w:t></w:t>
      </w:r>
      <w:r>
        <w:rPr/>
        <w:t xml:space="preserve"> </w:t>
      </w:r>
      <w:r>
        <w:rPr/>
        <w:t>Pour le temps de travail de la main d'œuvre non salarié permanente ('TVUTA'), 3 classes (exprimées en UTH) :</w:t>
      </w:r>
    </w:p>
    <w:tbl>
      <w:tblPr>
        <w:tblW w:w="5959" w:type="dxa"/>
        <w:jc w:val="left"/>
        <w:tblInd w:w="-10" w:type="dxa"/>
        <w:tblLayout w:type="fixed"/>
        <w:tblCellMar>
          <w:top w:w="0" w:type="dxa"/>
          <w:left w:w="70" w:type="dxa"/>
          <w:bottom w:w="0" w:type="dxa"/>
          <w:right w:w="70" w:type="dxa"/>
        </w:tblCellMar>
        <w:tblLook w:val="04a0" w:noHBand="0" w:noVBand="1" w:firstColumn="1" w:lastRow="0" w:lastColumn="0" w:firstRow="1"/>
      </w:tblPr>
      <w:tblGrid>
        <w:gridCol w:w="1989"/>
        <w:gridCol w:w="2126"/>
        <w:gridCol w:w="1844"/>
      </w:tblGrid>
      <w:tr>
        <w:trPr/>
        <w:tc>
          <w:tcPr>
            <w:tcW w:w="198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Pas de main d'œuvre permanente non salariée</w:t>
            </w:r>
          </w:p>
        </w:tc>
        <w:tc>
          <w:tcPr>
            <w:tcW w:w="21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d’UTH non nul et strictement inférieur à 1</w:t>
            </w:r>
          </w:p>
        </w:tc>
        <w:tc>
          <w:tcPr>
            <w:tcW w:w="18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Arial"/>
                <w:color w:val="000000"/>
                <w:sz w:val="18"/>
                <w:szCs w:val="18"/>
              </w:rPr>
              <w:t>Nombre d'UTH égal ou supérieur à 1</w:t>
            </w:r>
          </w:p>
        </w:tc>
      </w:tr>
    </w:tbl>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Fonts w:eastAsia="Wingdings" w:cs="Wingdings" w:ascii="Wingdings" w:hAnsi="Wingdings"/>
        </w:rPr>
        <w:t></w:t>
      </w:r>
      <w:r>
        <w:rPr/>
        <w:t xml:space="preserve"> </w:t>
      </w:r>
      <w:r>
        <w:rPr/>
        <w:t xml:space="preserve">Pour les surfaces : </w:t>
      </w:r>
    </w:p>
    <w:p>
      <w:pPr>
        <w:pStyle w:val="Corpsdetexte"/>
        <w:rPr/>
      </w:pPr>
      <w:r>
        <w:rPr/>
        <w:t>Toutes variables : 31 classes</w:t>
      </w:r>
    </w:p>
    <w:tbl>
      <w:tblPr>
        <w:tblW w:w="9498"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1418"/>
        <w:gridCol w:w="2020"/>
        <w:gridCol w:w="2019"/>
        <w:gridCol w:w="2020"/>
        <w:gridCol w:w="2021"/>
      </w:tblGrid>
      <w:tr>
        <w:trPr/>
        <w:tc>
          <w:tcPr>
            <w:tcW w:w="1418"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Surface nulle</w:t>
            </w:r>
          </w:p>
        </w:tc>
        <w:tc>
          <w:tcPr>
            <w:tcW w:w="2020" w:type="dxa"/>
            <w:tcBorders>
              <w:top w:val="single" w:sz="8" w:space="0" w:color="000000"/>
              <w:left w:val="single" w:sz="8" w:space="0" w:color="000000"/>
              <w:bottom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Non nulle et strictement inférieur à 50 ha</w:t>
            </w:r>
          </w:p>
        </w:tc>
        <w:tc>
          <w:tcPr>
            <w:tcW w:w="2019" w:type="dxa"/>
            <w:tcBorders>
              <w:top w:val="single" w:sz="8" w:space="0" w:color="000000"/>
              <w:left w:val="single" w:sz="8" w:space="0" w:color="000000"/>
              <w:bottom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Supérieure ou égale à 50 et strictement inférieure 200 ha</w:t>
            </w:r>
          </w:p>
        </w:tc>
        <w:tc>
          <w:tcPr>
            <w:tcW w:w="2020" w:type="dxa"/>
            <w:tcBorders>
              <w:top w:val="single" w:sz="8" w:space="0" w:color="000000"/>
              <w:left w:val="single" w:sz="8" w:space="0" w:color="000000"/>
              <w:bottom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Supérieure ou égale à 200 et strictement inférieure à 400 ha</w:t>
            </w:r>
          </w:p>
        </w:tc>
        <w:tc>
          <w:tcPr>
            <w:tcW w:w="202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Supérieure ou égale à 400 ha</w:t>
            </w:r>
          </w:p>
        </w:tc>
      </w:tr>
      <w:tr>
        <w:trPr/>
        <w:tc>
          <w:tcPr>
            <w:tcW w:w="1418"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2020" w:type="dxa"/>
            <w:tcBorders>
              <w:left w:val="single" w:sz="8" w:space="0" w:color="000000"/>
              <w:bottom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ha</w:t>
            </w:r>
          </w:p>
        </w:tc>
        <w:tc>
          <w:tcPr>
            <w:tcW w:w="2019" w:type="dxa"/>
            <w:tcBorders>
              <w:left w:val="single" w:sz="8" w:space="0" w:color="000000"/>
              <w:bottom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10 ha</w:t>
            </w:r>
          </w:p>
        </w:tc>
        <w:tc>
          <w:tcPr>
            <w:tcW w:w="2020" w:type="dxa"/>
            <w:tcBorders>
              <w:left w:val="single" w:sz="8" w:space="0" w:color="000000"/>
              <w:bottom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50 ha</w:t>
            </w:r>
          </w:p>
        </w:tc>
        <w:tc>
          <w:tcPr>
            <w:tcW w:w="2021" w:type="dxa"/>
            <w:tcBorders>
              <w:left w:val="single" w:sz="8" w:space="0" w:color="000000"/>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Normal"/>
        <w:rPr>
          <w:rFonts w:eastAsia="Liberation Sans" w:cs="Liberation Sans"/>
          <w:sz w:val="18"/>
          <w:szCs w:val="18"/>
          <w:u w:val="single"/>
        </w:rPr>
      </w:pPr>
      <w:r>
        <w:rPr>
          <w:rFonts w:eastAsia="Liberation Sans" w:cs="Liberation Sans"/>
          <w:sz w:val="18"/>
          <w:szCs w:val="18"/>
          <w:u w:val="single"/>
        </w:rPr>
      </w:r>
    </w:p>
    <w:p>
      <w:pPr>
        <w:pStyle w:val="Corpsdetexte"/>
        <w:rPr/>
      </w:pPr>
      <w:r>
        <w:rPr>
          <w:u w:val="single"/>
        </w:rPr>
        <w:t>Sauf</w:t>
      </w:r>
      <w:r>
        <w:rPr/>
        <w:t xml:space="preserve"> pour :</w:t>
      </w:r>
    </w:p>
    <w:p>
      <w:pPr>
        <w:pStyle w:val="Corpsdetexte"/>
        <w:numPr>
          <w:ilvl w:val="0"/>
          <w:numId w:val="7"/>
        </w:numPr>
        <w:rPr/>
      </w:pPr>
      <w:r>
        <w:rPr/>
        <w:t>les vergers : abricotier (« SUT3ABRI »), agrumes (« SUT3AGRU »), cerisiers (« SUT3CERI »), fruits à coque (« SUT3COQU »), oliviers (« SUT3OLIV »), pêchers (« SUT3PECH »), petits fruits (« SUT3PETF »), poiriers (« SUT3POIR »), pommiers (« SUT3POMM »), pruniers (« SUT3PRUN »), autres cultures permanentes (« SUT3ACPE ») ;</w:t>
      </w:r>
    </w:p>
    <w:p>
      <w:pPr>
        <w:pStyle w:val="Corpsdetexte"/>
        <w:numPr>
          <w:ilvl w:val="0"/>
          <w:numId w:val="7"/>
        </w:numPr>
        <w:rPr/>
      </w:pPr>
      <w:r>
        <w:rPr/>
        <w:t>les productions maraichères : légumes frais de plein champ (« SUT3LEGF »), légumes frais de plein-air (« SUT3LEGF3 »), légumes frais sous abri (« SUT3LEGF4 ») ;</w:t>
      </w:r>
    </w:p>
    <w:p>
      <w:pPr>
        <w:pStyle w:val="Corpsdetexte"/>
        <w:numPr>
          <w:ilvl w:val="0"/>
          <w:numId w:val="7"/>
        </w:numPr>
        <w:rPr/>
      </w:pPr>
      <w:r>
        <w:rPr/>
        <w:t>l'horticulture : fleurs et plantes ornementales de plein air (« SUT3FLEU »), fleurs et plantes ornementales sous-abri (« SUT3FLEU4 ») ;</w:t>
      </w:r>
    </w:p>
    <w:p>
      <w:pPr>
        <w:pStyle w:val="Corpsdetexte"/>
        <w:numPr>
          <w:ilvl w:val="0"/>
          <w:numId w:val="7"/>
        </w:numPr>
        <w:rPr/>
      </w:pPr>
      <w:r>
        <w:rPr/>
        <w:t xml:space="preserve">les vignobles : vignes AOC (« SUT3VAOC »), </w:t>
      </w:r>
      <w:bookmarkStart w:id="12" w:name="_GoBack"/>
      <w:bookmarkEnd w:id="12"/>
      <w:r>
        <w:rPr/>
        <w:t>vignes IGP (« SUT3VIGP »), Autres vignes – hors IGP (« SUT3VRES ») ;</w:t>
      </w:r>
    </w:p>
    <w:p>
      <w:pPr>
        <w:pStyle w:val="Corpsdetexte"/>
        <w:numPr>
          <w:ilvl w:val="0"/>
          <w:numId w:val="7"/>
        </w:numPr>
        <w:rPr/>
      </w:pPr>
      <w:r>
        <w:rPr/>
        <w:t>les pépinières (« SUT3PEPI ») ;</w:t>
      </w:r>
    </w:p>
    <w:p>
      <w:pPr>
        <w:pStyle w:val="Corpsdetexte"/>
        <w:numPr>
          <w:ilvl w:val="0"/>
          <w:numId w:val="7"/>
        </w:numPr>
        <w:rPr/>
      </w:pPr>
      <w:r>
        <w:rPr/>
        <w:t>les cultures de semences : semences et plants horticoles (« SUT3SEME »), semences d'herbes (« SUT3SEMH »)</w:t>
      </w:r>
    </w:p>
    <w:p>
      <w:pPr>
        <w:pStyle w:val="Corpsdetexte"/>
        <w:numPr>
          <w:ilvl w:val="0"/>
          <w:numId w:val="7"/>
        </w:numPr>
        <w:rPr/>
      </w:pPr>
      <w:r>
        <w:rPr/>
        <w:t>et l’ensemble des surfaces irriguées suivantes : ensemble des légumes frais de plein air (« SUI3LEGF3 »), ensemble des légumes frais de plein champ (« SUI3LEGF »), fleurs et plantes ornementales de plein air (« SUI3FLEU »), semences et plants horticoles (« SUI3SEME »), pommes (« SUI3POMM »), poires (« SUI3POIR »), cerises (« SUI3CERI »), prunes (« SUI3PRUN »), abricots (« SUI3ABRI »), pêches et brugnons (« SUI3PECH »), fruits à coques (« SUI3COQU »), petits fruits et autres fruits (« SUI3PETF »), agrumes (« SUI3AGRU »), olives (« SUI3OLIV ») et pépinières (« SUI3PEPI »).</w:t>
      </w:r>
    </w:p>
    <w:p>
      <w:pPr>
        <w:pStyle w:val="Corpsdetexte"/>
        <w:rPr/>
      </w:pPr>
      <w:r>
        <w:rPr/>
        <w:t>pour lesquelles les 34 tranches suivantes sont utilisées :</w:t>
      </w:r>
    </w:p>
    <w:tbl>
      <w:tblPr>
        <w:tblW w:w="9409"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1344"/>
        <w:gridCol w:w="1344"/>
        <w:gridCol w:w="1344"/>
        <w:gridCol w:w="1344"/>
        <w:gridCol w:w="1344"/>
        <w:gridCol w:w="1344"/>
        <w:gridCol w:w="1344"/>
      </w:tblGrid>
      <w:tr>
        <w:trPr/>
        <w:tc>
          <w:tcPr>
            <w:tcW w:w="134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Surface nulle</w:t>
            </w:r>
          </w:p>
        </w:tc>
        <w:tc>
          <w:tcPr>
            <w:tcW w:w="1344" w:type="dxa"/>
            <w:tcBorders>
              <w:top w:val="single" w:sz="8" w:space="0" w:color="000000"/>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Surface non nulle et inférieure à 1 ha</w:t>
            </w:r>
          </w:p>
        </w:tc>
        <w:tc>
          <w:tcPr>
            <w:tcW w:w="1344" w:type="dxa"/>
            <w:tcBorders>
              <w:top w:val="single" w:sz="8" w:space="0" w:color="000000"/>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De 1 à 10 ha</w:t>
            </w:r>
          </w:p>
        </w:tc>
        <w:tc>
          <w:tcPr>
            <w:tcW w:w="1344" w:type="dxa"/>
            <w:tcBorders>
              <w:top w:val="single" w:sz="8" w:space="0" w:color="000000"/>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De 10 à 50 ha</w:t>
            </w:r>
          </w:p>
        </w:tc>
        <w:tc>
          <w:tcPr>
            <w:tcW w:w="1344" w:type="dxa"/>
            <w:tcBorders>
              <w:top w:val="single" w:sz="8" w:space="0" w:color="000000"/>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De 50 à 200 ha</w:t>
            </w:r>
          </w:p>
        </w:tc>
        <w:tc>
          <w:tcPr>
            <w:tcW w:w="1344" w:type="dxa"/>
            <w:tcBorders>
              <w:top w:val="single" w:sz="8" w:space="0" w:color="000000"/>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De 200 à 400 ha</w:t>
            </w:r>
          </w:p>
        </w:tc>
        <w:tc>
          <w:tcPr>
            <w:tcW w:w="1344" w:type="dxa"/>
            <w:tcBorders>
              <w:top w:val="single" w:sz="8" w:space="0" w:color="000000"/>
              <w:bottom w:val="single" w:sz="8" w:space="0" w:color="000000"/>
              <w:right w:val="single" w:sz="8" w:space="0" w:color="000000"/>
            </w:tcBorders>
            <w:vAlign w:val="center"/>
          </w:tcPr>
          <w:p>
            <w:pPr>
              <w:pStyle w:val="Normal"/>
              <w:widowControl w:val="false"/>
              <w:suppressAutoHyphens w:val="tru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Plus de 400 ha</w:t>
            </w:r>
          </w:p>
        </w:tc>
      </w:tr>
      <w:tr>
        <w:trPr/>
        <w:tc>
          <w:tcPr>
            <w:tcW w:w="1344" w:type="dxa"/>
            <w:tcBorders>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1344" w:type="dxa"/>
            <w:tcBorders>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1344" w:type="dxa"/>
            <w:tcBorders>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2 ha</w:t>
            </w:r>
          </w:p>
        </w:tc>
        <w:tc>
          <w:tcPr>
            <w:tcW w:w="1344" w:type="dxa"/>
            <w:tcBorders>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ha</w:t>
            </w:r>
          </w:p>
        </w:tc>
        <w:tc>
          <w:tcPr>
            <w:tcW w:w="1344" w:type="dxa"/>
            <w:tcBorders>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10 ha</w:t>
            </w:r>
          </w:p>
        </w:tc>
        <w:tc>
          <w:tcPr>
            <w:tcW w:w="1344" w:type="dxa"/>
            <w:tcBorders>
              <w:bottom w:val="single" w:sz="8" w:space="0" w:color="000000"/>
              <w:right w:val="single" w:sz="8" w:space="0" w:color="000000"/>
            </w:tcBorders>
            <w:shd w:color="auto" w:fill="auto" w:val="clear"/>
            <w:vAlign w:val="center"/>
          </w:tcPr>
          <w:p>
            <w:pPr>
              <w:pStyle w:val="Normal"/>
              <w:widowControl w:val="false"/>
              <w:suppressAutoHyphens w:val="tru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50 ha</w:t>
            </w:r>
          </w:p>
        </w:tc>
        <w:tc>
          <w:tcPr>
            <w:tcW w:w="1344" w:type="dxa"/>
            <w:tcBorders>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Corpsdetexte"/>
        <w:rPr/>
      </w:pPr>
      <w:r>
        <w:rPr/>
      </w:r>
    </w:p>
    <w:p>
      <w:pPr>
        <w:pStyle w:val="Corpsdetexte"/>
        <w:rPr/>
      </w:pPr>
      <w:r>
        <w:rPr>
          <w:rFonts w:eastAsia="Wingdings" w:cs="Wingdings" w:ascii="Wingdings" w:hAnsi="Wingdings"/>
        </w:rPr>
        <w:t></w:t>
      </w:r>
      <w:r>
        <w:rPr/>
        <w:t xml:space="preserve"> </w:t>
      </w:r>
      <w:r>
        <w:rPr/>
        <w:t>Pour les effectifs moyens de ruminants, équidés et de porcins :</w:t>
      </w:r>
    </w:p>
    <w:p>
      <w:pPr>
        <w:pStyle w:val="Corpsdetexte"/>
        <w:rPr/>
      </w:pPr>
      <w:r>
        <w:rPr/>
        <w:t>Toutes variables, 47 classes :</w:t>
      </w:r>
    </w:p>
    <w:tbl>
      <w:tblPr>
        <w:tblW w:w="9143"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2374"/>
        <w:gridCol w:w="2161"/>
        <w:gridCol w:w="2056"/>
        <w:gridCol w:w="2551"/>
      </w:tblGrid>
      <w:tr>
        <w:trPr/>
        <w:tc>
          <w:tcPr>
            <w:tcW w:w="2374"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nul</w:t>
            </w:r>
          </w:p>
        </w:tc>
        <w:tc>
          <w:tcPr>
            <w:tcW w:w="2161"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non-nul et strictement inférieur à 150 têtes</w:t>
            </w:r>
          </w:p>
        </w:tc>
        <w:tc>
          <w:tcPr>
            <w:tcW w:w="2056"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supérieur ou égal à 150 têtes et strictement inférieur à 300 têtes</w:t>
            </w:r>
          </w:p>
        </w:tc>
        <w:tc>
          <w:tcPr>
            <w:tcW w:w="255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supérieur ou égal à 300 têtes</w:t>
            </w:r>
          </w:p>
        </w:tc>
      </w:tr>
      <w:tr>
        <w:trPr/>
        <w:tc>
          <w:tcPr>
            <w:tcW w:w="2374"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2161"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têtes</w:t>
            </w:r>
          </w:p>
        </w:tc>
        <w:tc>
          <w:tcPr>
            <w:tcW w:w="2056"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10 têtes</w:t>
            </w:r>
          </w:p>
        </w:tc>
        <w:tc>
          <w:tcPr>
            <w:tcW w:w="2551" w:type="dxa"/>
            <w:tcBorders>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Corpsdetexte"/>
        <w:rPr/>
      </w:pPr>
      <w:r>
        <w:rPr/>
        <w:t>Sauf pour les effectifs moyens de brebis laitières (« EFM6BLAI »), autres brebis (« EFM6ABRE »), autres ovins (« EFM6OVIN »), chèvres (« EFM6CHEV »), autres caprins (« EFM6CAPR »), porcs à l'engrais (« EFM6PENG »), porcs à l'engrais en intégration (« EFM6PENG9 »), pour lesquels on applique les 51 classes suivantes :</w:t>
      </w:r>
    </w:p>
    <w:tbl>
      <w:tblPr>
        <w:tblW w:w="9427"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1700"/>
        <w:gridCol w:w="1985"/>
        <w:gridCol w:w="1985"/>
        <w:gridCol w:w="1843"/>
        <w:gridCol w:w="1914"/>
      </w:tblGrid>
      <w:tr>
        <w:trPr/>
        <w:tc>
          <w:tcPr>
            <w:tcW w:w="1700"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nul</w:t>
            </w:r>
          </w:p>
        </w:tc>
        <w:tc>
          <w:tcPr>
            <w:tcW w:w="1985"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non-nul et strictement inférieur à 150 têtes</w:t>
            </w:r>
          </w:p>
        </w:tc>
        <w:tc>
          <w:tcPr>
            <w:tcW w:w="1985"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supérieur ou égal à 150 têtes et strictement inférieur à 300 têtes</w:t>
            </w:r>
          </w:p>
        </w:tc>
        <w:tc>
          <w:tcPr>
            <w:tcW w:w="1843"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supérieur ou égal à 300 têtes et strictement inférieur à 500 têtes</w:t>
            </w:r>
          </w:p>
        </w:tc>
        <w:tc>
          <w:tcPr>
            <w:tcW w:w="191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moyen supérieur ou égal à 500 têtes</w:t>
            </w:r>
          </w:p>
        </w:tc>
      </w:tr>
      <w:tr>
        <w:trPr/>
        <w:tc>
          <w:tcPr>
            <w:tcW w:w="1700"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1985"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têtes</w:t>
            </w:r>
          </w:p>
        </w:tc>
        <w:tc>
          <w:tcPr>
            <w:tcW w:w="1985"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10 têtes</w:t>
            </w:r>
          </w:p>
        </w:tc>
        <w:tc>
          <w:tcPr>
            <w:tcW w:w="1843"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50 têtes</w:t>
            </w:r>
          </w:p>
        </w:tc>
        <w:tc>
          <w:tcPr>
            <w:tcW w:w="1914" w:type="dxa"/>
            <w:tcBorders>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seule classe</w:t>
            </w:r>
          </w:p>
        </w:tc>
      </w:tr>
    </w:tbl>
    <w:p>
      <w:pPr>
        <w:pStyle w:val="Corpsdetexte"/>
        <w:rPr/>
      </w:pPr>
      <w:r>
        <w:rPr/>
      </w:r>
    </w:p>
    <w:p>
      <w:pPr>
        <w:pStyle w:val="Corpsdetexte"/>
        <w:rPr/>
      </w:pPr>
      <w:r>
        <w:rPr>
          <w:rFonts w:eastAsia="Wingdings" w:cs="Wingdings" w:ascii="Wingdings" w:hAnsi="Wingdings"/>
        </w:rPr>
        <w:t></w:t>
      </w:r>
      <w:r>
        <w:rPr/>
        <w:t xml:space="preserve"> </w:t>
      </w:r>
      <w:r>
        <w:rPr/>
        <w:t>Pour les effectifs moyens d'espèces avicoles et cunicoles (variables « EFM6PCHA », « EFM6PPON9 », « EFM6CANA », « EFM6PCHA9 », « EFM6DIND », « EFM6CANA9 », « EFM6PPON », « EFM6DIND9 », « EFM6LAPI »): 47 classes</w:t>
      </w:r>
    </w:p>
    <w:tbl>
      <w:tblPr>
        <w:tblW w:w="8789"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2197"/>
        <w:gridCol w:w="2197"/>
        <w:gridCol w:w="2197"/>
        <w:gridCol w:w="2197"/>
      </w:tblGrid>
      <w:tr>
        <w:trPr/>
        <w:tc>
          <w:tcPr>
            <w:tcW w:w="2197" w:type="dxa"/>
            <w:tcBorders>
              <w:top w:val="single" w:sz="8" w:space="0" w:color="000000"/>
              <w:left w:val="single" w:sz="8" w:space="0" w:color="000000"/>
              <w:bottom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nul</w:t>
            </w:r>
          </w:p>
        </w:tc>
        <w:tc>
          <w:tcPr>
            <w:tcW w:w="2197"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non nul et inférieur ou égal à 15 000 têtes</w:t>
            </w:r>
          </w:p>
        </w:tc>
        <w:tc>
          <w:tcPr>
            <w:tcW w:w="2197"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supérieur ou égal à 15 000 têtes et strictement inférieur à 30 000 têtes</w:t>
            </w:r>
          </w:p>
        </w:tc>
        <w:tc>
          <w:tcPr>
            <w:tcW w:w="2197"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moyen supérieur à 30 000 têtes</w:t>
            </w:r>
          </w:p>
        </w:tc>
      </w:tr>
      <w:tr>
        <w:trPr/>
        <w:tc>
          <w:tcPr>
            <w:tcW w:w="2197" w:type="dxa"/>
            <w:tcBorders>
              <w:left w:val="single" w:sz="8" w:space="0" w:color="000000"/>
              <w:bottom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2197"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500 têtes</w:t>
            </w:r>
          </w:p>
        </w:tc>
        <w:tc>
          <w:tcPr>
            <w:tcW w:w="2197"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1 000 têtes</w:t>
            </w:r>
          </w:p>
        </w:tc>
        <w:tc>
          <w:tcPr>
            <w:tcW w:w="2197" w:type="dxa"/>
            <w:tcBorders>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Corpsdetexte"/>
        <w:rPr/>
      </w:pPr>
      <w:r>
        <w:rPr/>
      </w:r>
    </w:p>
    <w:p>
      <w:pPr>
        <w:pStyle w:val="Corpsdetexte"/>
        <w:rPr/>
      </w:pPr>
      <w:r>
        <w:rPr>
          <w:rFonts w:eastAsia="Wingdings" w:cs="Wingdings" w:ascii="Wingdings" w:hAnsi="Wingdings"/>
        </w:rPr>
        <w:t></w:t>
      </w:r>
      <w:r>
        <w:rPr/>
        <w:t xml:space="preserve"> </w:t>
      </w:r>
      <w:r>
        <w:rPr/>
        <w:t>Pour les effectifs primés : 47 classes</w:t>
      </w:r>
    </w:p>
    <w:tbl>
      <w:tblPr>
        <w:tblW w:w="7101"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1700"/>
        <w:gridCol w:w="1702"/>
        <w:gridCol w:w="1700"/>
        <w:gridCol w:w="1998"/>
      </w:tblGrid>
      <w:tr>
        <w:trPr/>
        <w:tc>
          <w:tcPr>
            <w:tcW w:w="1700"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primé nul</w:t>
            </w:r>
          </w:p>
        </w:tc>
        <w:tc>
          <w:tcPr>
            <w:tcW w:w="1702"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primé non-nul et strictement inférieur à 150 têtes</w:t>
            </w:r>
          </w:p>
        </w:tc>
        <w:tc>
          <w:tcPr>
            <w:tcW w:w="1700"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primé supérieur ou égal à 150 têtes et strictement inférieur à 300 têtes</w:t>
            </w:r>
          </w:p>
        </w:tc>
        <w:tc>
          <w:tcPr>
            <w:tcW w:w="1998"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Tahoma"/>
                <w:color w:val="000000"/>
                <w:sz w:val="18"/>
                <w:szCs w:val="18"/>
              </w:rPr>
            </w:pPr>
            <w:r>
              <w:rPr>
                <w:rFonts w:eastAsia="Times New Roman" w:cs="Tahoma"/>
                <w:color w:val="000000"/>
                <w:sz w:val="18"/>
                <w:szCs w:val="18"/>
              </w:rPr>
              <w:t>Effectif primé supérieur ou égal à 300 têtes</w:t>
            </w:r>
          </w:p>
        </w:tc>
      </w:tr>
      <w:tr>
        <w:trPr/>
        <w:tc>
          <w:tcPr>
            <w:tcW w:w="1700"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1702"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têtes</w:t>
            </w:r>
          </w:p>
        </w:tc>
        <w:tc>
          <w:tcPr>
            <w:tcW w:w="1700"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10 têtes</w:t>
            </w:r>
          </w:p>
        </w:tc>
        <w:tc>
          <w:tcPr>
            <w:tcW w:w="1998" w:type="dxa"/>
            <w:tcBorders>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Corpsdetexte"/>
        <w:rPr/>
      </w:pPr>
      <w:r>
        <w:rPr/>
      </w:r>
    </w:p>
    <w:p>
      <w:pPr>
        <w:pStyle w:val="Corpsdetexte"/>
        <w:rPr/>
      </w:pPr>
      <w:r>
        <w:rPr>
          <w:rFonts w:eastAsia="Wingdings" w:cs="Wingdings" w:ascii="Wingdings" w:hAnsi="Wingdings"/>
        </w:rPr>
        <w:t></w:t>
      </w:r>
      <w:r>
        <w:rPr/>
        <w:t xml:space="preserve"> </w:t>
      </w:r>
      <w:r>
        <w:rPr/>
        <w:t>Pour évaluer le nombre d'UGB :</w:t>
      </w:r>
    </w:p>
    <w:p>
      <w:pPr>
        <w:pStyle w:val="Corpsdetexte"/>
        <w:rPr/>
      </w:pPr>
      <w:r>
        <w:rPr/>
        <w:t>Toutes variables : 49 classes</w:t>
      </w:r>
    </w:p>
    <w:tbl>
      <w:tblPr>
        <w:tblW w:w="9923"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1700"/>
        <w:gridCol w:w="2411"/>
        <w:gridCol w:w="2267"/>
        <w:gridCol w:w="2127"/>
        <w:gridCol w:w="1418"/>
      </w:tblGrid>
      <w:tr>
        <w:trPr/>
        <w:tc>
          <w:tcPr>
            <w:tcW w:w="1700"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Nombre d’UGB nul</w:t>
            </w:r>
          </w:p>
        </w:tc>
        <w:tc>
          <w:tcPr>
            <w:tcW w:w="2411"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non-nul et strictement inférieur à 150 UGB</w:t>
            </w:r>
          </w:p>
        </w:tc>
        <w:tc>
          <w:tcPr>
            <w:tcW w:w="2267"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supérieur ou égal à 150 et strictement inférieur à 300 UGB</w:t>
            </w:r>
          </w:p>
        </w:tc>
        <w:tc>
          <w:tcPr>
            <w:tcW w:w="2127" w:type="dxa"/>
            <w:tcBorders>
              <w:top w:val="single" w:sz="8" w:space="0" w:color="000000"/>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supérieur ou égal à 300 et strictement inférieur à 400 UGB</w:t>
            </w:r>
          </w:p>
        </w:tc>
        <w:tc>
          <w:tcPr>
            <w:tcW w:w="141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supérieur ou égal à 400 UGB</w:t>
            </w:r>
          </w:p>
        </w:tc>
      </w:tr>
      <w:tr>
        <w:trPr/>
        <w:tc>
          <w:tcPr>
            <w:tcW w:w="1700"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2411"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UGB</w:t>
            </w:r>
          </w:p>
        </w:tc>
        <w:tc>
          <w:tcPr>
            <w:tcW w:w="2267"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10 UGB</w:t>
            </w:r>
          </w:p>
        </w:tc>
        <w:tc>
          <w:tcPr>
            <w:tcW w:w="2127" w:type="dxa"/>
            <w:tcBorders>
              <w:left w:val="single" w:sz="8" w:space="0" w:color="000000"/>
              <w:bottom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50 UGB</w:t>
            </w:r>
          </w:p>
        </w:tc>
        <w:tc>
          <w:tcPr>
            <w:tcW w:w="1418" w:type="dxa"/>
            <w:tcBorders>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Corpsdetexte"/>
        <w:rPr/>
      </w:pPr>
      <w:r>
        <w:rPr/>
        <w:t>Sauf pour les UGB porcins (« UGBPO ») et l’effectif total en UGB (« UGBTO ») : 51 classes</w:t>
      </w:r>
    </w:p>
    <w:tbl>
      <w:tblPr>
        <w:tblW w:w="9923"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1700"/>
        <w:gridCol w:w="2411"/>
        <w:gridCol w:w="2267"/>
        <w:gridCol w:w="2127"/>
        <w:gridCol w:w="1418"/>
      </w:tblGrid>
      <w:tr>
        <w:trPr/>
        <w:tc>
          <w:tcPr>
            <w:tcW w:w="1700" w:type="dxa"/>
            <w:tcBorders>
              <w:top w:val="single" w:sz="8" w:space="0" w:color="000000"/>
              <w:left w:val="single" w:sz="8" w:space="0" w:color="000000"/>
              <w:bottom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Nombre d’UGB nul</w:t>
            </w:r>
          </w:p>
        </w:tc>
        <w:tc>
          <w:tcPr>
            <w:tcW w:w="241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non-nul et strictement inférieur à 150 UGB</w:t>
            </w:r>
          </w:p>
        </w:tc>
        <w:tc>
          <w:tcPr>
            <w:tcW w:w="2267"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supérieur ou égal à 150 et strictement inférieur à 300 UGB</w:t>
            </w:r>
          </w:p>
        </w:tc>
        <w:tc>
          <w:tcPr>
            <w:tcW w:w="2127"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supérieur ou égal à 300 et strictement inférieur à 500 UGB</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Effectif supérieur à 500 UGB</w:t>
            </w:r>
          </w:p>
        </w:tc>
      </w:tr>
      <w:tr>
        <w:trPr/>
        <w:tc>
          <w:tcPr>
            <w:tcW w:w="1700" w:type="dxa"/>
            <w:tcBorders>
              <w:left w:val="single" w:sz="8" w:space="0" w:color="000000"/>
              <w:bottom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2411" w:type="dxa"/>
            <w:tcBorders>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 UGB</w:t>
            </w:r>
          </w:p>
        </w:tc>
        <w:tc>
          <w:tcPr>
            <w:tcW w:w="2267" w:type="dxa"/>
            <w:tcBorders>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10 UGB</w:t>
            </w:r>
          </w:p>
        </w:tc>
        <w:tc>
          <w:tcPr>
            <w:tcW w:w="2127" w:type="dxa"/>
            <w:tcBorders>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50 UGB</w:t>
            </w:r>
          </w:p>
        </w:tc>
        <w:tc>
          <w:tcPr>
            <w:tcW w:w="1418" w:type="dxa"/>
            <w:tcBorders>
              <w:left w:val="single" w:sz="8" w:space="0" w:color="000000"/>
              <w:bottom w:val="single" w:sz="8" w:space="0" w:color="000000"/>
              <w:right w:val="single" w:sz="8" w:space="0" w:color="000000"/>
            </w:tcBorders>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Corpsdetexte"/>
        <w:rPr/>
      </w:pPr>
      <w:r>
        <w:rPr/>
      </w:r>
    </w:p>
    <w:p>
      <w:pPr>
        <w:pStyle w:val="Corpsdetexte"/>
        <w:rPr/>
      </w:pPr>
      <w:r>
        <w:rPr>
          <w:rFonts w:eastAsia="Wingdings" w:cs="Wingdings" w:ascii="Wingdings" w:hAnsi="Wingdings"/>
        </w:rPr>
        <w:t></w:t>
      </w:r>
      <w:r>
        <w:rPr/>
        <w:t xml:space="preserve"> </w:t>
      </w:r>
      <w:r>
        <w:rPr/>
        <w:t>Pour les quotas laitiers : 22 classes</w:t>
      </w:r>
    </w:p>
    <w:tbl>
      <w:tblPr>
        <w:tblW w:w="9639"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3213"/>
        <w:gridCol w:w="3213"/>
        <w:gridCol w:w="3213"/>
      </w:tblGrid>
      <w:tr>
        <w:trPr/>
        <w:tc>
          <w:tcPr>
            <w:tcW w:w="321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Quota laitier nul</w:t>
            </w:r>
          </w:p>
        </w:tc>
        <w:tc>
          <w:tcPr>
            <w:tcW w:w="3213" w:type="dxa"/>
            <w:tcBorders>
              <w:top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Quota laitier non nul et inférieur à 1 000 000 l</w:t>
            </w:r>
          </w:p>
        </w:tc>
        <w:tc>
          <w:tcPr>
            <w:tcW w:w="3213" w:type="dxa"/>
            <w:tcBorders>
              <w:top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Quota laitier supérieur ou égal à 1 000 000 l</w:t>
            </w:r>
          </w:p>
        </w:tc>
      </w:tr>
      <w:tr>
        <w:trPr/>
        <w:tc>
          <w:tcPr>
            <w:tcW w:w="3213" w:type="dxa"/>
            <w:tcBorders>
              <w:left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c>
          <w:tcPr>
            <w:tcW w:w="3213" w:type="dxa"/>
            <w:tcBorders>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Classes de 50 000 litres</w:t>
            </w:r>
          </w:p>
        </w:tc>
        <w:tc>
          <w:tcPr>
            <w:tcW w:w="3213" w:type="dxa"/>
            <w:tcBorders>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ascii="Calibri" w:hAnsi="Calibri" w:eastAsia="Times New Roman" w:cs="Arial"/>
                <w:color w:val="000000"/>
                <w:sz w:val="18"/>
                <w:szCs w:val="18"/>
              </w:rPr>
            </w:pPr>
            <w:r>
              <w:rPr>
                <w:rFonts w:eastAsia="Times New Roman" w:cs="Tahoma"/>
                <w:color w:val="000000"/>
                <w:sz w:val="18"/>
                <w:szCs w:val="18"/>
              </w:rPr>
              <w:t>Une classe</w:t>
            </w:r>
          </w:p>
        </w:tc>
      </w:tr>
    </w:tbl>
    <w:p>
      <w:pPr>
        <w:pStyle w:val="Titre1"/>
        <w:numPr>
          <w:ilvl w:val="0"/>
          <w:numId w:val="2"/>
        </w:numPr>
        <w:ind w:left="714" w:hanging="357"/>
        <w:rPr/>
      </w:pPr>
      <w:bookmarkStart w:id="13" w:name="_Toc37833795"/>
      <w:r>
        <w:rPr/>
        <w:t>Valorisation des données individuelles et pondération</w:t>
      </w:r>
      <w:bookmarkEnd w:id="13"/>
    </w:p>
    <w:p>
      <w:pPr>
        <w:pStyle w:val="Titre2"/>
        <w:numPr>
          <w:ilvl w:val="0"/>
          <w:numId w:val="4"/>
        </w:numPr>
        <w:rPr/>
      </w:pPr>
      <w:bookmarkStart w:id="14" w:name="_Toc37833796"/>
      <w:r>
        <w:rPr/>
        <w:t>Principe</w:t>
      </w:r>
      <w:bookmarkEnd w:id="14"/>
    </w:p>
    <w:p>
      <w:pPr>
        <w:pStyle w:val="Corpsdetexte"/>
        <w:rPr/>
      </w:pPr>
      <w:r>
        <w:rPr/>
        <w:t>Afin d'obtenir des résultats agrégés pertinents, il est nécessaire de les pondérer en utilisant un poids d'extrapolation affecté à chacune des exploitations de l'échantillon. Pour calculer ces poids, on procède à un rapprochement de l'échantillon Rica avec un univers de référence.</w:t>
      </w:r>
      <w:r>
        <w:rPr>
          <w:rFonts w:cs="Tahoma"/>
        </w:rPr>
        <w:t xml:space="preserve"> La variable à utiliser est comme coefficient d'extrapolation est "EXTR2".</w:t>
      </w:r>
    </w:p>
    <w:p>
      <w:pPr>
        <w:pStyle w:val="Titre2"/>
        <w:numPr>
          <w:ilvl w:val="0"/>
          <w:numId w:val="5"/>
        </w:numPr>
        <w:rPr/>
      </w:pPr>
      <w:bookmarkStart w:id="15" w:name="_Toc37833797"/>
      <w:r>
        <w:rPr/>
        <w:t>Dictionnaire des variables portant sur les subventions</w:t>
      </w:r>
      <w:bookmarkEnd w:id="15"/>
    </w:p>
    <w:p>
      <w:pPr>
        <w:pStyle w:val="Corpsdetexte"/>
        <w:rPr/>
      </w:pPr>
      <w:r>
        <w:rPr/>
        <w:t>Les microdonnées intègrent un certain nombre de variables se rapportant aux différentes aides et subventions perçues par les exploitations agricoles concernées par le RICA. Le tableau ci-dessous présente ces variables et les différents domaines dont elles relèvent.</w:t>
      </w:r>
    </w:p>
    <w:p>
      <w:pPr>
        <w:pStyle w:val="Corpsdetexte"/>
        <w:rPr/>
      </w:pPr>
      <w:r>
        <w:rPr/>
        <w:t>Pour rappel, les subventions d'exploitations perçues au cours de l'année N peuvent se rapporter à une campagne de production antérieure. Dans le RICA, seules sont enregistrées pour l'exercice comptable N les subventions se rapportant à la campagne de production N. Certaines subventions non encore perçues au cours de l'année sont alors estimées.</w:t>
      </w:r>
    </w:p>
    <w:p>
      <w:pPr>
        <w:pStyle w:val="Corpsdetexte"/>
        <w:rPr/>
      </w:pPr>
      <w:r>
        <w:rPr/>
      </w:r>
    </w:p>
    <w:p>
      <w:pPr>
        <w:pStyle w:val="Corpsdetexte"/>
        <w:rPr/>
      </w:pPr>
      <w:r>
        <w:rPr/>
      </w:r>
    </w:p>
    <w:tbl>
      <w:tblPr>
        <w:tblW w:w="9970" w:type="dxa"/>
        <w:jc w:val="left"/>
        <w:tblInd w:w="-11" w:type="dxa"/>
        <w:tblLayout w:type="fixed"/>
        <w:tblCellMar>
          <w:top w:w="0" w:type="dxa"/>
          <w:left w:w="70" w:type="dxa"/>
          <w:bottom w:w="0" w:type="dxa"/>
          <w:right w:w="70" w:type="dxa"/>
        </w:tblCellMar>
        <w:tblLook w:val="04a0" w:noHBand="0" w:noVBand="1" w:firstColumn="1" w:lastRow="0" w:lastColumn="0" w:firstRow="1"/>
      </w:tblPr>
      <w:tblGrid>
        <w:gridCol w:w="851"/>
        <w:gridCol w:w="2881"/>
        <w:gridCol w:w="1276"/>
        <w:gridCol w:w="851"/>
        <w:gridCol w:w="1019"/>
        <w:gridCol w:w="823"/>
        <w:gridCol w:w="1135"/>
        <w:gridCol w:w="1132"/>
      </w:tblGrid>
      <w:tr>
        <w:trPr/>
        <w:tc>
          <w:tcPr>
            <w:tcW w:w="851" w:type="dxa"/>
            <w:vMerge w:val="restart"/>
            <w:tcBorders>
              <w:top w:val="single" w:sz="8" w:space="0" w:color="000000"/>
              <w:left w:val="single" w:sz="8" w:space="0" w:color="000000"/>
              <w:bottom w:val="single" w:sz="1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Variables</w:t>
            </w:r>
          </w:p>
        </w:tc>
        <w:tc>
          <w:tcPr>
            <w:tcW w:w="2881" w:type="dxa"/>
            <w:vMerge w:val="restart"/>
            <w:tcBorders>
              <w:top w:val="single" w:sz="8" w:space="0" w:color="000000"/>
              <w:bottom w:val="single" w:sz="1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Libellés</w:t>
            </w:r>
          </w:p>
        </w:tc>
        <w:tc>
          <w:tcPr>
            <w:tcW w:w="3969" w:type="dxa"/>
            <w:gridSpan w:val="4"/>
            <w:tcBorders>
              <w:top w:val="single" w:sz="1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Types d’aides</w:t>
            </w:r>
          </w:p>
        </w:tc>
        <w:tc>
          <w:tcPr>
            <w:tcW w:w="2267" w:type="dxa"/>
            <w:gridSpan w:val="2"/>
            <w:tcBorders>
              <w:top w:val="single" w:sz="1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Sources de financement</w:t>
            </w:r>
          </w:p>
        </w:tc>
      </w:tr>
      <w:tr>
        <w:trPr>
          <w:trHeight w:val="636" w:hRule="atLeast"/>
        </w:trPr>
        <w:tc>
          <w:tcPr>
            <w:tcW w:w="851" w:type="dxa"/>
            <w:vMerge w:val="continue"/>
            <w:tcBorders>
              <w:left w:val="single" w:sz="8" w:space="0" w:color="000000"/>
              <w:bottom w:val="single" w:sz="18" w:space="0" w:color="000000"/>
              <w:right w:val="single" w:sz="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r>
          </w:p>
        </w:tc>
        <w:tc>
          <w:tcPr>
            <w:tcW w:w="2881" w:type="dxa"/>
            <w:vMerge w:val="continue"/>
            <w:tcBorders>
              <w:bottom w:val="single" w:sz="1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r>
          </w:p>
        </w:tc>
        <w:tc>
          <w:tcPr>
            <w:tcW w:w="1276" w:type="dxa"/>
            <w:tcBorders>
              <w:top w:val="single" w:sz="8" w:space="0" w:color="000000"/>
              <w:left w:val="single" w:sz="18" w:space="0" w:color="000000"/>
              <w:bottom w:val="single" w:sz="1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Développement rural</w:t>
            </w:r>
          </w:p>
        </w:tc>
        <w:tc>
          <w:tcPr>
            <w:tcW w:w="851" w:type="dxa"/>
            <w:tcBorders>
              <w:top w:val="single" w:sz="8" w:space="0" w:color="000000"/>
              <w:bottom w:val="single" w:sz="1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Couplées</w:t>
            </w:r>
          </w:p>
        </w:tc>
        <w:tc>
          <w:tcPr>
            <w:tcW w:w="1019" w:type="dxa"/>
            <w:tcBorders>
              <w:top w:val="single" w:sz="8" w:space="0" w:color="000000"/>
              <w:bottom w:val="single" w:sz="1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Découplées</w:t>
            </w:r>
          </w:p>
        </w:tc>
        <w:tc>
          <w:tcPr>
            <w:tcW w:w="823" w:type="dxa"/>
            <w:tcBorders>
              <w:top w:val="single" w:sz="8" w:space="0" w:color="000000"/>
              <w:bottom w:val="single" w:sz="1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 xml:space="preserve">Autres </w:t>
            </w:r>
          </w:p>
        </w:tc>
        <w:tc>
          <w:tcPr>
            <w:tcW w:w="1135" w:type="dxa"/>
            <w:tcBorders>
              <w:top w:val="single" w:sz="8" w:space="0" w:color="000000"/>
              <w:left w:val="single" w:sz="18" w:space="0" w:color="000000"/>
              <w:bottom w:val="single" w:sz="1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UE</w:t>
            </w:r>
          </w:p>
        </w:tc>
        <w:tc>
          <w:tcPr>
            <w:tcW w:w="1132" w:type="dxa"/>
            <w:tcBorders>
              <w:top w:val="single" w:sz="8" w:space="0" w:color="000000"/>
              <w:bottom w:val="single" w:sz="1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iCs/>
                <w:color w:val="000000"/>
                <w:sz w:val="16"/>
                <w:szCs w:val="16"/>
              </w:rPr>
            </w:pPr>
            <w:r>
              <w:rPr>
                <w:rFonts w:eastAsia="Times New Roman" w:cs="Calibri" w:cstheme="minorHAnsi"/>
                <w:iCs/>
                <w:color w:val="000000"/>
                <w:sz w:val="16"/>
                <w:szCs w:val="16"/>
              </w:rPr>
              <w:t>Nationale (Etat ou collectivité locale)</w:t>
            </w:r>
          </w:p>
        </w:tc>
      </w:tr>
      <w:tr>
        <w:trPr/>
        <w:tc>
          <w:tcPr>
            <w:tcW w:w="851" w:type="dxa"/>
            <w:tcBorders>
              <w:top w:val="single" w:sz="1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INDAS</w:t>
            </w:r>
          </w:p>
        </w:tc>
        <w:tc>
          <w:tcPr>
            <w:tcW w:w="2881" w:type="dxa"/>
            <w:tcBorders>
              <w:top w:val="single" w:sz="1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Produits des indemnités d'assurance</w:t>
            </w:r>
          </w:p>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(en euros)</w:t>
            </w:r>
          </w:p>
        </w:tc>
        <w:tc>
          <w:tcPr>
            <w:tcW w:w="1276" w:type="dxa"/>
            <w:tcBorders>
              <w:top w:val="single" w:sz="18" w:space="0" w:color="000000"/>
              <w:left w:val="single" w:sz="1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18" w:space="0" w:color="000000"/>
              <w:bottom w:val="single" w:sz="8" w:space="0" w:color="000000"/>
              <w:right w:val="single" w:sz="18" w:space="0" w:color="000000"/>
            </w:tcBorders>
            <w:shd w:color="auto" w:fill="A6A6A6" w:themeFill="background1" w:themeFillShade="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18" w:space="0" w:color="000000"/>
              <w:left w:val="single" w:sz="18" w:space="0" w:color="000000"/>
              <w:bottom w:val="single" w:sz="8" w:space="0" w:color="000000"/>
              <w:right w:val="single" w:sz="8" w:space="0" w:color="000000"/>
            </w:tcBorders>
            <w:shd w:color="auto" w:fill="FFFFFF" w:themeFill="background1"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18" w:space="0" w:color="000000"/>
              <w:bottom w:val="single" w:sz="8" w:space="0" w:color="000000"/>
              <w:right w:val="single" w:sz="18" w:space="0" w:color="000000"/>
            </w:tcBorders>
            <w:shd w:color="auto" w:fill="FFFFFF" w:themeFill="background1"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SUBEX</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Subventions d'exploitation (en euros)</w:t>
            </w:r>
          </w:p>
        </w:tc>
        <w:tc>
          <w:tcPr>
            <w:tcW w:w="1276"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SBVDPM</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Subventions d'exploitation : aide découplée (en euros)</w:t>
            </w:r>
          </w:p>
        </w:tc>
        <w:tc>
          <w:tcPr>
            <w:tcW w:w="1276" w:type="dxa"/>
            <w:tcBorders>
              <w:top w:val="single" w:sz="8" w:space="0" w:color="000000"/>
              <w:left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SBVCOMM</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Aides communautaires à la surface hors jachère (en euros)</w:t>
            </w:r>
          </w:p>
        </w:tc>
        <w:tc>
          <w:tcPr>
            <w:tcW w:w="1276" w:type="dxa"/>
            <w:tcBorders>
              <w:top w:val="single" w:sz="8" w:space="0" w:color="000000"/>
              <w:left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SBVMTVM</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Subventions d'exploitation : PMTVA</w:t>
            </w:r>
          </w:p>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(en euros)</w:t>
            </w:r>
          </w:p>
        </w:tc>
        <w:tc>
          <w:tcPr>
            <w:tcW w:w="1276" w:type="dxa"/>
            <w:tcBorders>
              <w:top w:val="single" w:sz="8" w:space="0" w:color="000000"/>
              <w:left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SBVPABM</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Subventions d'exploitation : PAB</w:t>
            </w:r>
          </w:p>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(en euros)</w:t>
            </w:r>
          </w:p>
        </w:tc>
        <w:tc>
          <w:tcPr>
            <w:tcW w:w="1276" w:type="dxa"/>
            <w:tcBorders>
              <w:top w:val="single" w:sz="8" w:space="0" w:color="000000"/>
              <w:left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SBVOVCA</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Primes ovines et caprines</w:t>
            </w:r>
          </w:p>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(en euros)</w:t>
            </w:r>
          </w:p>
        </w:tc>
        <w:tc>
          <w:tcPr>
            <w:tcW w:w="1276" w:type="dxa"/>
            <w:tcBorders>
              <w:top w:val="single" w:sz="8" w:space="0" w:color="000000"/>
              <w:left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SBVICHN</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Aide directe pour compenser un handicap géographique (ICHN) (en euros)</w:t>
            </w:r>
          </w:p>
        </w:tc>
        <w:tc>
          <w:tcPr>
            <w:tcW w:w="1276"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SBVCLIM</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Aide directe pour compenser un accident climatique (en euros)  </w:t>
            </w:r>
          </w:p>
        </w:tc>
        <w:tc>
          <w:tcPr>
            <w:tcW w:w="1276" w:type="dxa"/>
            <w:tcBorders>
              <w:top w:val="single" w:sz="8" w:space="0" w:color="000000"/>
              <w:left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SBVMAEN</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Autres primes agroenvironnementales (MAE) (en euros)</w:t>
            </w:r>
          </w:p>
        </w:tc>
        <w:tc>
          <w:tcPr>
            <w:tcW w:w="1276"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c>
          <w:tcPr>
            <w:tcW w:w="85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cs="Calibri" w:cstheme="minorHAnsi"/>
                <w:color w:val="000000"/>
                <w:sz w:val="14"/>
                <w:szCs w:val="16"/>
              </w:rPr>
              <w:t>SBVBIO</w:t>
            </w:r>
          </w:p>
        </w:tc>
        <w:tc>
          <w:tcPr>
            <w:tcW w:w="2881" w:type="dxa"/>
            <w:tcBorders>
              <w:top w:val="single" w:sz="8" w:space="0" w:color="000000"/>
              <w:left w:val="single" w:sz="1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Soutien à l'agriculture biologique</w:t>
            </w:r>
          </w:p>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(en euros)</w:t>
            </w:r>
          </w:p>
        </w:tc>
        <w:tc>
          <w:tcPr>
            <w:tcW w:w="1276"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453" w:hRule="atLeast"/>
        </w:trPr>
        <w:tc>
          <w:tcPr>
            <w:tcW w:w="851" w:type="dxa"/>
            <w:tcBorders>
              <w:top w:val="single" w:sz="8" w:space="0" w:color="000000"/>
              <w:left w:val="single" w:sz="18" w:space="0" w:color="000000"/>
              <w:bottom w:val="single" w:sz="18" w:space="0" w:color="000000"/>
              <w:right w:val="single" w:sz="1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4"/>
                <w:szCs w:val="16"/>
              </w:rPr>
            </w:pPr>
            <w:r>
              <w:rPr>
                <w:rFonts w:eastAsia="Times New Roman" w:cs="Calibri" w:cstheme="minorHAnsi"/>
                <w:color w:val="000000"/>
                <w:sz w:val="14"/>
                <w:szCs w:val="16"/>
              </w:rPr>
              <w:t>SBVAUTR</w:t>
            </w:r>
          </w:p>
        </w:tc>
        <w:tc>
          <w:tcPr>
            <w:tcW w:w="2881" w:type="dxa"/>
            <w:tcBorders>
              <w:top w:val="single" w:sz="8" w:space="0" w:color="000000"/>
              <w:left w:val="single" w:sz="18" w:space="0" w:color="000000"/>
              <w:bottom w:val="single" w:sz="18" w:space="0" w:color="000000"/>
              <w:right w:val="single" w:sz="18" w:space="0" w:color="000000"/>
            </w:tcBorders>
            <w:shd w:color="000000" w:fill="FFFFFF" w:val="clear"/>
            <w:vAlign w:val="center"/>
          </w:tcPr>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Subventions d'exploitation : autres aides</w:t>
            </w:r>
          </w:p>
          <w:p>
            <w:pPr>
              <w:pStyle w:val="Normal"/>
              <w:widowControl w:val="false"/>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(en euros)</w:t>
            </w:r>
          </w:p>
        </w:tc>
        <w:tc>
          <w:tcPr>
            <w:tcW w:w="1276" w:type="dxa"/>
            <w:tcBorders>
              <w:top w:val="single" w:sz="8" w:space="0" w:color="000000"/>
              <w:left w:val="single" w:sz="18" w:space="0" w:color="000000"/>
              <w:bottom w:val="single" w:sz="1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51" w:type="dxa"/>
            <w:tcBorders>
              <w:top w:val="single" w:sz="8" w:space="0" w:color="000000"/>
              <w:bottom w:val="single" w:sz="1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019" w:type="dxa"/>
            <w:tcBorders>
              <w:top w:val="single" w:sz="8" w:space="0" w:color="000000"/>
              <w:bottom w:val="single" w:sz="18" w:space="0" w:color="000000"/>
              <w:right w:val="single" w:sz="8" w:space="0" w:color="000000"/>
            </w:tcBorders>
            <w:shd w:color="000000" w:fill="FFFFFF"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823" w:type="dxa"/>
            <w:tcBorders>
              <w:top w:val="single" w:sz="8" w:space="0" w:color="000000"/>
              <w:bottom w:val="single" w:sz="1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5" w:type="dxa"/>
            <w:tcBorders>
              <w:top w:val="single" w:sz="8" w:space="0" w:color="000000"/>
              <w:left w:val="single" w:sz="18" w:space="0" w:color="000000"/>
              <w:bottom w:val="single" w:sz="18" w:space="0" w:color="000000"/>
              <w:right w:val="single" w:sz="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c>
          <w:tcPr>
            <w:tcW w:w="1132" w:type="dxa"/>
            <w:tcBorders>
              <w:top w:val="single" w:sz="8" w:space="0" w:color="000000"/>
              <w:bottom w:val="single" w:sz="18" w:space="0" w:color="000000"/>
              <w:right w:val="single" w:sz="18" w:space="0" w:color="000000"/>
            </w:tcBorders>
            <w:shd w:color="000000" w:fill="A6A6A6" w:val="clear"/>
            <w:vAlign w:val="center"/>
          </w:tcPr>
          <w:p>
            <w:pPr>
              <w:pStyle w:val="Normal"/>
              <w:widowControl w:val="false"/>
              <w:spacing w:lineRule="auto" w:line="240" w:before="0" w:after="0"/>
              <w:jc w:val="center"/>
              <w:rPr>
                <w:rFonts w:eastAsia="Times New Roman" w:cs="Calibri" w:cstheme="minorHAnsi"/>
                <w:color w:val="000000"/>
                <w:sz w:val="16"/>
                <w:szCs w:val="16"/>
              </w:rPr>
            </w:pPr>
            <w:r>
              <w:rPr>
                <w:rFonts w:eastAsia="Times New Roman" w:cs="Calibri" w:cstheme="minorHAnsi"/>
                <w:color w:val="000000"/>
                <w:sz w:val="16"/>
                <w:szCs w:val="16"/>
              </w:rPr>
              <w:t> </w:t>
            </w:r>
          </w:p>
        </w:tc>
      </w:tr>
    </w:tbl>
    <w:p>
      <w:pPr>
        <w:pStyle w:val="Titre3"/>
        <w:rPr/>
      </w:pPr>
      <w:r>
        <w:rPr/>
      </w:r>
    </w:p>
    <w:sectPr>
      <w:footerReference w:type="default" r:id="rId6"/>
      <w:footnotePr>
        <w:numFmt w:val="decimal"/>
      </w:footnotePr>
      <w:type w:val="nextPage"/>
      <w:pgSz w:w="11906" w:h="16838"/>
      <w:pgMar w:left="1134" w:right="1134" w:gutter="0" w:header="0" w:top="1134" w:footer="567"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ymbol">
    <w:charset w:val="01"/>
    <w:family w:val="roman"/>
    <w:pitch w:val="variable"/>
  </w:font>
  <w:font w:name="Wingdings">
    <w:charset w:val="01"/>
    <w:family w:val="roman"/>
    <w:pitch w:val="variable"/>
  </w:font>
  <w:font w:name="Times New Roman">
    <w:charset w:val="01"/>
    <w:family w:val="roman"/>
    <w:pitch w:val="variable"/>
  </w:font>
  <w:font w:name="Courier New">
    <w:charset w:val="01"/>
    <w:family w:val="roman"/>
    <w:pitch w:val="variable"/>
  </w:font>
  <w:font w:name="OpenSymbol">
    <w:altName w:val="Arial Unicode MS"/>
    <w:charset w:val="01"/>
    <w:family w:val="roman"/>
    <w:pitch w:val="variable"/>
  </w:font>
  <w:font w:name="Arial">
    <w:charset w:val="01"/>
    <w:family w:val="roman"/>
    <w:pitch w:val="variable"/>
  </w:font>
  <w:font w:name="Arial Unicode MS">
    <w:charset w:val="01"/>
    <w:family w:val="roman"/>
    <w:pitch w:val="variable"/>
  </w:font>
  <w:font w:name="Segoe UI">
    <w:charset w:val="01"/>
    <w:family w:val="roman"/>
    <w:pitch w:val="variable"/>
  </w:font>
  <w:font w:name="Verdana">
    <w:charset w:val="01"/>
    <w:family w:val="roman"/>
    <w:pitch w:val="variable"/>
  </w:font>
  <w:font w:name="Arial Black">
    <w:charset w:val="01"/>
    <w:family w:val="roman"/>
    <w:pitch w:val="variable"/>
  </w:font>
  <w:font w:name="Tahoma">
    <w:charset w:val="01"/>
    <w:family w:val="roman"/>
    <w:pitch w:val="variable"/>
  </w:font>
  <w:font w:name="MS PGothic">
    <w:charset w:val="01"/>
    <w:family w:val="roman"/>
    <w:pitch w:val="variable"/>
  </w:font>
  <w:font w:name="IQEHOC+SegoeUI">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07cellulecourant"/>
      <w:pBdr>
        <w:top w:val="single" w:sz="4" w:space="1" w:color="000000"/>
      </w:pBdr>
      <w:tabs>
        <w:tab w:val="clear" w:pos="408"/>
        <w:tab w:val="right" w:pos="9638" w:leader="none"/>
      </w:tabs>
      <w:spacing w:before="60" w:after="0"/>
      <w:rPr>
        <w:i/>
        <w:i/>
      </w:rPr>
    </w:pPr>
    <w:r>
      <w:rPr>
        <w:i/>
      </w:rPr>
      <w:fldChar w:fldCharType="begin"/>
    </w:r>
    <w:r>
      <w:rPr>
        <w:i/>
      </w:rPr>
      <w:instrText xml:space="preserve"> FILENAME </w:instrText>
    </w:r>
    <w:r>
      <w:rPr>
        <w:i/>
      </w:rPr>
      <w:fldChar w:fldCharType="separate"/>
    </w:r>
    <w:r>
      <w:rPr>
        <w:i/>
      </w:rPr>
      <w:t>Methodologie fichier RICA france 2022.docx</w:t>
    </w:r>
    <w:r>
      <w:rPr>
        <w:i/>
      </w:rPr>
      <w:fldChar w:fldCharType="end"/>
    </w:r>
    <w:r>
      <w:rPr>
        <w:i/>
      </w:rPr>
      <w:tab/>
      <w:t xml:space="preserve">page </w:t>
    </w:r>
    <w:r>
      <w:rPr>
        <w:i/>
      </w:rPr>
      <w:fldChar w:fldCharType="begin"/>
    </w:r>
    <w:r>
      <w:rPr>
        <w:i/>
      </w:rPr>
      <w:instrText xml:space="preserve"> PAGE </w:instrText>
    </w:r>
    <w:r>
      <w:rPr>
        <w:i/>
      </w:rPr>
      <w:fldChar w:fldCharType="separate"/>
    </w:r>
    <w:r>
      <w:rPr>
        <w:i/>
      </w:rPr>
      <w:t>8</w:t>
    </w:r>
    <w:r>
      <w:rPr>
        <w:i/>
      </w:rPr>
      <w:fldChar w:fldCharType="end"/>
    </w:r>
    <w:r>
      <w:rPr>
        <w:i/>
      </w:rPr>
      <w:t xml:space="preserve"> sur </w:t>
    </w:r>
    <w:r>
      <w:rPr>
        <w:i/>
        <w:lang w:val="nl-NL"/>
      </w:rPr>
      <w:fldChar w:fldCharType="begin"/>
    </w:r>
    <w:r>
      <w:rPr>
        <w:i/>
        <w:lang w:val="nl-NL"/>
      </w:rPr>
      <w:instrText xml:space="preserve"> NUMPAGES </w:instrText>
    </w:r>
    <w:r>
      <w:rPr>
        <w:i/>
        <w:lang w:val="nl-NL"/>
      </w:rPr>
      <w:fldChar w:fldCharType="separate"/>
    </w:r>
    <w:r>
      <w:rPr>
        <w:i/>
        <w:lang w:val="nl-NL"/>
      </w:rPr>
      <w:t>8</w:t>
    </w:r>
    <w:r>
      <w:rPr>
        <w:i/>
        <w:lang w:val="nl-NL"/>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Notedebasdepage"/>
        <w:rPr>
          <w:i/>
          <w:i/>
        </w:rPr>
      </w:pPr>
      <w:r>
        <w:rPr>
          <w:rStyle w:val="Caractresdenotedebasdepage"/>
        </w:rPr>
        <w:footnoteRef/>
      </w:r>
      <w:r>
        <w:rPr>
          <w:i/>
        </w:rPr>
        <w:t xml:space="preserve"> </w:t>
      </w:r>
      <w:r>
        <w:rPr>
          <w:i/>
          <w:sz w:val="16"/>
        </w:rPr>
        <w:t>La typologie des exploitations agricoles est définie par le règlement (CE) n°1242/2008 de la Commission du 8 décembre 2008.</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upperRoman"/>
      <w:lvlText w:val="%1."/>
      <w:lvlJc w:val="right"/>
      <w:pPr>
        <w:tabs>
          <w:tab w:val="num" w:pos="0"/>
        </w:tabs>
        <w:ind w:left="720" w:hanging="360"/>
      </w:pPr>
      <w:rPr/>
    </w:lvl>
    <w:lvl w:ilvl="1">
      <w:start w:val="800"/>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08"/>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umentProtection w:edit="readOnly" w:cryptProviderType="rsaAES" w:cryptAlgorithmClass="hash" w:cryptAlgorithmType="typeAny" w:cryptAlgorithmSid="" w:cryptSpinCount="0" w:hash="" w:sal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626f"/>
    <w:pPr>
      <w:widowControl/>
      <w:suppressAutoHyphens w:val="fals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Titre1">
    <w:name w:val="Heading 1"/>
    <w:basedOn w:val="Normal"/>
    <w:next w:val="Normal"/>
    <w:link w:val="Titre1Car"/>
    <w:autoRedefine/>
    <w:uiPriority w:val="9"/>
    <w:qFormat/>
    <w:rsid w:val="001506ce"/>
    <w:pPr>
      <w:pageBreakBefore/>
      <w:widowControl w:val="false"/>
      <w:numPr>
        <w:ilvl w:val="0"/>
        <w:numId w:val="2"/>
      </w:numPr>
      <w:spacing w:lineRule="auto" w:line="240" w:before="320" w:after="0"/>
      <w:ind w:left="714" w:hanging="357"/>
      <w:outlineLvl w:val="0"/>
    </w:pPr>
    <w:rPr>
      <w:rFonts w:ascii="Calibri Light" w:hAnsi="Calibri Light" w:eastAsia="" w:cs="" w:asciiTheme="majorHAnsi" w:cstheme="majorBidi" w:eastAsiaTheme="majorEastAsia" w:hAnsiTheme="majorHAnsi"/>
      <w:color w:val="2E74B5" w:themeColor="accent1" w:themeShade="bf"/>
      <w:sz w:val="30"/>
      <w:szCs w:val="30"/>
    </w:rPr>
  </w:style>
  <w:style w:type="paragraph" w:styleId="Titre2">
    <w:name w:val="Heading 2"/>
    <w:basedOn w:val="Normal"/>
    <w:next w:val="Normal"/>
    <w:link w:val="Titre2Car"/>
    <w:autoRedefine/>
    <w:uiPriority w:val="9"/>
    <w:unhideWhenUsed/>
    <w:qFormat/>
    <w:rsid w:val="004135e0"/>
    <w:pPr>
      <w:keepNext w:val="true"/>
      <w:keepLines/>
      <w:spacing w:lineRule="auto" w:line="240" w:before="240" w:after="120"/>
      <w:outlineLvl w:val="1"/>
    </w:pPr>
    <w:rPr>
      <w:rFonts w:ascii="Calibri Light" w:hAnsi="Calibri Light" w:eastAsia="" w:cs="" w:asciiTheme="majorHAnsi" w:cstheme="majorBidi" w:eastAsiaTheme="majorEastAsia" w:hAnsiTheme="majorHAnsi"/>
      <w:color w:val="C45911" w:themeColor="accent2" w:themeShade="bf"/>
      <w:sz w:val="28"/>
      <w:szCs w:val="28"/>
    </w:rPr>
  </w:style>
  <w:style w:type="paragraph" w:styleId="Titre3">
    <w:name w:val="Heading 3"/>
    <w:basedOn w:val="Normal"/>
    <w:next w:val="Normal"/>
    <w:link w:val="Titre3Car"/>
    <w:autoRedefine/>
    <w:uiPriority w:val="9"/>
    <w:unhideWhenUsed/>
    <w:qFormat/>
    <w:rsid w:val="00307bbe"/>
    <w:pPr>
      <w:keepNext w:val="true"/>
      <w:keepLines/>
      <w:spacing w:lineRule="auto" w:line="240" w:before="120" w:after="0"/>
      <w:outlineLvl w:val="2"/>
    </w:pPr>
    <w:rPr>
      <w:rFonts w:ascii="Calibri Light" w:hAnsi="Calibri Light" w:eastAsia="" w:cs="" w:asciiTheme="majorHAnsi" w:cstheme="majorBidi" w:eastAsiaTheme="majorEastAsia" w:hAnsiTheme="majorHAnsi"/>
      <w:color w:val="538135" w:themeColor="accent6" w:themeShade="bf"/>
      <w:sz w:val="24"/>
      <w:szCs w:val="26"/>
    </w:rPr>
  </w:style>
  <w:style w:type="paragraph" w:styleId="Titre4">
    <w:name w:val="Heading 4"/>
    <w:basedOn w:val="Normal"/>
    <w:next w:val="Normal"/>
    <w:link w:val="Titre4Car"/>
    <w:uiPriority w:val="9"/>
    <w:unhideWhenUsed/>
    <w:qFormat/>
    <w:rsid w:val="00ba626f"/>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5" w:themeShade="bf"/>
      <w:sz w:val="25"/>
      <w:szCs w:val="25"/>
    </w:rPr>
  </w:style>
  <w:style w:type="paragraph" w:styleId="Titre5">
    <w:name w:val="Heading 5"/>
    <w:basedOn w:val="Normal"/>
    <w:next w:val="Normal"/>
    <w:link w:val="Titre5Car"/>
    <w:uiPriority w:val="9"/>
    <w:unhideWhenUsed/>
    <w:qFormat/>
    <w:rsid w:val="00ba626f"/>
    <w:pPr>
      <w:keepNext w:val="true"/>
      <w:keepLines/>
      <w:spacing w:before="40" w:after="0"/>
      <w:outlineLvl w:val="4"/>
    </w:pPr>
    <w:rPr>
      <w:rFonts w:ascii="Calibri Light" w:hAnsi="Calibri Light" w:eastAsia="" w:cs="" w:asciiTheme="majorHAnsi" w:cstheme="majorBidi" w:eastAsiaTheme="majorEastAsia" w:hAnsiTheme="majorHAnsi"/>
      <w:i/>
      <w:iCs/>
      <w:color w:val="833C0B" w:themeColor="accent2" w:themeShade="80"/>
      <w:sz w:val="24"/>
      <w:szCs w:val="24"/>
    </w:rPr>
  </w:style>
  <w:style w:type="paragraph" w:styleId="Titre6">
    <w:name w:val="Heading 6"/>
    <w:basedOn w:val="Normal"/>
    <w:next w:val="Normal"/>
    <w:link w:val="Titre6Car"/>
    <w:uiPriority w:val="9"/>
    <w:unhideWhenUsed/>
    <w:qFormat/>
    <w:rsid w:val="00ba626f"/>
    <w:pPr>
      <w:keepNext w:val="true"/>
      <w:keepLines/>
      <w:spacing w:before="40" w:after="0"/>
      <w:outlineLvl w:val="5"/>
    </w:pPr>
    <w:rPr>
      <w:rFonts w:ascii="Calibri Light" w:hAnsi="Calibri Light" w:eastAsia="" w:cs="" w:asciiTheme="majorHAnsi" w:cstheme="majorBidi" w:eastAsiaTheme="majorEastAsia" w:hAnsiTheme="majorHAnsi"/>
      <w:i/>
      <w:iCs/>
      <w:color w:val="385623" w:themeColor="accent6" w:themeShade="80"/>
      <w:sz w:val="23"/>
      <w:szCs w:val="23"/>
    </w:rPr>
  </w:style>
  <w:style w:type="paragraph" w:styleId="Titre7">
    <w:name w:val="Heading 7"/>
    <w:basedOn w:val="Normal"/>
    <w:next w:val="Normal"/>
    <w:link w:val="Titre7Car"/>
    <w:uiPriority w:val="9"/>
    <w:unhideWhenUsed/>
    <w:qFormat/>
    <w:rsid w:val="00ba626f"/>
    <w:pPr>
      <w:keepNext w:val="true"/>
      <w:keepLines/>
      <w:spacing w:before="40" w:after="0"/>
      <w:outlineLvl w:val="6"/>
    </w:pPr>
    <w:rPr>
      <w:rFonts w:ascii="Calibri Light" w:hAnsi="Calibri Light" w:eastAsia="" w:cs="" w:asciiTheme="majorHAnsi" w:cstheme="majorBidi" w:eastAsiaTheme="majorEastAsia" w:hAnsiTheme="majorHAnsi"/>
      <w:color w:val="1F4E79" w:themeColor="accent1" w:themeShade="80"/>
    </w:rPr>
  </w:style>
  <w:style w:type="paragraph" w:styleId="Titre8">
    <w:name w:val="Heading 8"/>
    <w:basedOn w:val="Normal"/>
    <w:next w:val="Normal"/>
    <w:link w:val="Titre8Car"/>
    <w:uiPriority w:val="9"/>
    <w:unhideWhenUsed/>
    <w:qFormat/>
    <w:rsid w:val="00ba626f"/>
    <w:pPr>
      <w:keepNext w:val="true"/>
      <w:keepLines/>
      <w:spacing w:before="40" w:after="0"/>
      <w:outlineLvl w:val="7"/>
    </w:pPr>
    <w:rPr>
      <w:rFonts w:ascii="Calibri Light" w:hAnsi="Calibri Light" w:eastAsia="" w:cs="" w:asciiTheme="majorHAnsi" w:cstheme="majorBidi" w:eastAsiaTheme="majorEastAsia" w:hAnsiTheme="majorHAnsi"/>
      <w:color w:val="833C0B" w:themeColor="accent2" w:themeShade="80"/>
      <w:sz w:val="21"/>
      <w:szCs w:val="21"/>
    </w:rPr>
  </w:style>
  <w:style w:type="paragraph" w:styleId="Titre9">
    <w:name w:val="Heading 9"/>
    <w:basedOn w:val="Normal"/>
    <w:next w:val="Normal"/>
    <w:link w:val="Titre9Car"/>
    <w:uiPriority w:val="9"/>
    <w:unhideWhenUsed/>
    <w:qFormat/>
    <w:rsid w:val="00ba626f"/>
    <w:pPr>
      <w:keepNext w:val="true"/>
      <w:keepLines/>
      <w:spacing w:before="40" w:after="0"/>
      <w:outlineLvl w:val="8"/>
    </w:pPr>
    <w:rPr>
      <w:rFonts w:ascii="Calibri Light" w:hAnsi="Calibri Light" w:eastAsia="" w:cs="" w:asciiTheme="majorHAnsi" w:cstheme="majorBidi" w:eastAsiaTheme="majorEastAsia" w:hAnsiTheme="majorHAnsi"/>
      <w:color w:val="385623" w:themeColor="accent6" w:themeShade="80"/>
    </w:rPr>
  </w:style>
  <w:style w:type="character" w:styleId="DefaultParagraphFont" w:default="1">
    <w:name w:val="Default Paragraph Font"/>
    <w:uiPriority w:val="1"/>
    <w:semiHidden/>
    <w:unhideWhenUsed/>
    <w:qFormat/>
    <w:rPr/>
  </w:style>
  <w:style w:type="character" w:styleId="WW8Num3z0" w:customStyle="1">
    <w:name w:val="WW8Num3z0"/>
    <w:qFormat/>
    <w:rPr>
      <w:rFonts w:ascii="Symbol" w:hAnsi="Symbol" w:eastAsia="Symbol" w:cs="Symbol"/>
      <w:sz w:val="20"/>
    </w:rPr>
  </w:style>
  <w:style w:type="character" w:styleId="WW8Num4z0" w:customStyle="1">
    <w:name w:val="WW8Num4z0"/>
    <w:qFormat/>
    <w:rPr>
      <w:rFonts w:ascii="Wingdings" w:hAnsi="Wingdings" w:eastAsia="Wingdings" w:cs="Wingdings"/>
      <w:sz w:val="20"/>
    </w:rPr>
  </w:style>
  <w:style w:type="character" w:styleId="WW8Num5z0" w:customStyle="1">
    <w:name w:val="WW8Num5z0"/>
    <w:qFormat/>
    <w:rPr>
      <w:rFonts w:ascii="Wingdings" w:hAnsi="Wingdings" w:eastAsia="Wingdings" w:cs="Times New Roman"/>
      <w:color w:val="000080"/>
    </w:rPr>
  </w:style>
  <w:style w:type="character" w:styleId="AbsatzStandardschriftart" w:customStyle="1">
    <w:name w:val="Absatz-Standardschriftart"/>
    <w:qFormat/>
    <w:rPr/>
  </w:style>
  <w:style w:type="character" w:styleId="WW8Num2z0" w:customStyle="1">
    <w:name w:val="WW8Num2z0"/>
    <w:qFormat/>
    <w:rPr>
      <w:rFonts w:ascii="Symbol" w:hAnsi="Symbol" w:eastAsia="Symbol" w:cs="Symbol"/>
    </w:rPr>
  </w:style>
  <w:style w:type="character" w:styleId="WW8Num8z0" w:customStyle="1">
    <w:name w:val="WW8Num8z0"/>
    <w:qFormat/>
    <w:rPr>
      <w:rFonts w:ascii="Times New Roman" w:hAnsi="Times New Roman" w:eastAsia="Times New Roman" w:cs="Times New Roman"/>
      <w:color w:val="000080"/>
    </w:rPr>
  </w:style>
  <w:style w:type="character" w:styleId="WW8Num8z1" w:customStyle="1">
    <w:name w:val="WW8Num8z1"/>
    <w:qFormat/>
    <w:rPr>
      <w:rFonts w:ascii="Courier New" w:hAnsi="Courier New" w:eastAsia="Courier New" w:cs="Courier New"/>
    </w:rPr>
  </w:style>
  <w:style w:type="character" w:styleId="WW8Num8z2" w:customStyle="1">
    <w:name w:val="WW8Num8z2"/>
    <w:qFormat/>
    <w:rPr>
      <w:rFonts w:ascii="Wingdings" w:hAnsi="Wingdings" w:eastAsia="Wingdings" w:cs="Wingdings"/>
    </w:rPr>
  </w:style>
  <w:style w:type="character" w:styleId="WW8Num9z0" w:customStyle="1">
    <w:name w:val="WW8Num9z0"/>
    <w:qFormat/>
    <w:rPr>
      <w:rFonts w:ascii="Symbol" w:hAnsi="Symbol" w:eastAsia="Symbol" w:cs="Symbol"/>
    </w:rPr>
  </w:style>
  <w:style w:type="character" w:styleId="WW8Num9z1" w:customStyle="1">
    <w:name w:val="WW8Num9z1"/>
    <w:qFormat/>
    <w:rPr>
      <w:rFonts w:ascii="Courier New" w:hAnsi="Courier New" w:eastAsia="Courier New" w:cs="Courier New"/>
    </w:rPr>
  </w:style>
  <w:style w:type="character" w:styleId="WW8Num9z2" w:customStyle="1">
    <w:name w:val="WW8Num9z2"/>
    <w:qFormat/>
    <w:rPr>
      <w:rFonts w:ascii="Wingdings" w:hAnsi="Wingdings" w:eastAsia="Wingdings" w:cs="Wingdings"/>
    </w:rPr>
  </w:style>
  <w:style w:type="character" w:styleId="WW8Num10z0" w:customStyle="1">
    <w:name w:val="WW8Num10z0"/>
    <w:qFormat/>
    <w:rPr>
      <w:rFonts w:ascii="Symbol" w:hAnsi="Symbol" w:eastAsia="Symbol" w:cs="Symbol"/>
    </w:rPr>
  </w:style>
  <w:style w:type="character" w:styleId="WW8Num10z1" w:customStyle="1">
    <w:name w:val="WW8Num10z1"/>
    <w:qFormat/>
    <w:rPr>
      <w:rFonts w:ascii="Courier New" w:hAnsi="Courier New" w:eastAsia="Courier New" w:cs="Courier New"/>
    </w:rPr>
  </w:style>
  <w:style w:type="character" w:styleId="WW8Num10z2" w:customStyle="1">
    <w:name w:val="WW8Num10z2"/>
    <w:qFormat/>
    <w:rPr>
      <w:rFonts w:ascii="Wingdings" w:hAnsi="Wingdings" w:eastAsia="Wingdings" w:cs="Wingdings"/>
    </w:rPr>
  </w:style>
  <w:style w:type="character" w:styleId="WW8Num11z0" w:customStyle="1">
    <w:name w:val="WW8Num11z0"/>
    <w:qFormat/>
    <w:rPr>
      <w:rFonts w:ascii="Wingdings" w:hAnsi="Wingdings" w:eastAsia="Wingdings" w:cs="Times New Roman"/>
      <w:color w:val="000080"/>
    </w:rPr>
  </w:style>
  <w:style w:type="character" w:styleId="WWPolicepardfaut" w:customStyle="1">
    <w:name w:val="WW-Police par défaut"/>
    <w:qFormat/>
    <w:rPr/>
  </w:style>
  <w:style w:type="character" w:styleId="WW8Num3z1" w:customStyle="1">
    <w:name w:val="WW8Num3z1"/>
    <w:qFormat/>
    <w:rPr>
      <w:rFonts w:ascii="Courier New" w:hAnsi="Courier New" w:eastAsia="Courier New" w:cs="Courier New"/>
      <w:sz w:val="20"/>
    </w:rPr>
  </w:style>
  <w:style w:type="character" w:styleId="WW8Num3z2" w:customStyle="1">
    <w:name w:val="WW8Num3z2"/>
    <w:qFormat/>
    <w:rPr>
      <w:rFonts w:ascii="Wingdings" w:hAnsi="Wingdings" w:eastAsia="Wingdings" w:cs="Wingdings"/>
      <w:sz w:val="20"/>
    </w:rPr>
  </w:style>
  <w:style w:type="character" w:styleId="WW8Num5z1" w:customStyle="1">
    <w:name w:val="WW8Num5z1"/>
    <w:qFormat/>
    <w:rPr>
      <w:rFonts w:ascii="Courier New" w:hAnsi="Courier New" w:eastAsia="Courier New" w:cs="Courier New"/>
    </w:rPr>
  </w:style>
  <w:style w:type="character" w:styleId="WW8Num5z2" w:customStyle="1">
    <w:name w:val="WW8Num5z2"/>
    <w:qFormat/>
    <w:rPr>
      <w:rFonts w:ascii="Wingdings" w:hAnsi="Wingdings" w:eastAsia="Wingdings" w:cs="Wingdings"/>
    </w:rPr>
  </w:style>
  <w:style w:type="character" w:styleId="WW8Num5z3" w:customStyle="1">
    <w:name w:val="WW8Num5z3"/>
    <w:qFormat/>
    <w:rPr>
      <w:rFonts w:ascii="Symbol" w:hAnsi="Symbol" w:eastAsia="Symbol" w:cs="Symbol"/>
    </w:rPr>
  </w:style>
  <w:style w:type="character" w:styleId="WW8Num6z0" w:customStyle="1">
    <w:name w:val="WW8Num6z0"/>
    <w:qFormat/>
    <w:rPr>
      <w:rFonts w:ascii="Wingdings" w:hAnsi="Wingdings" w:eastAsia="Wingdings" w:cs="Times New Roman"/>
      <w:color w:val="000080"/>
      <w:sz w:val="22"/>
    </w:rPr>
  </w:style>
  <w:style w:type="character" w:styleId="WW8Num6z1" w:customStyle="1">
    <w:name w:val="WW8Num6z1"/>
    <w:qFormat/>
    <w:rPr>
      <w:rFonts w:ascii="Courier New" w:hAnsi="Courier New" w:eastAsia="Courier New" w:cs="Courier New"/>
    </w:rPr>
  </w:style>
  <w:style w:type="character" w:styleId="WW8Num6z2" w:customStyle="1">
    <w:name w:val="WW8Num6z2"/>
    <w:qFormat/>
    <w:rPr>
      <w:rFonts w:ascii="Wingdings" w:hAnsi="Wingdings" w:eastAsia="Wingdings" w:cs="Wingdings"/>
    </w:rPr>
  </w:style>
  <w:style w:type="character" w:styleId="WW8Num6z3" w:customStyle="1">
    <w:name w:val="WW8Num6z3"/>
    <w:qFormat/>
    <w:rPr>
      <w:rFonts w:ascii="Symbol" w:hAnsi="Symbol" w:eastAsia="Symbol" w:cs="Symbol"/>
    </w:rPr>
  </w:style>
  <w:style w:type="character" w:styleId="WW8Num7z0" w:customStyle="1">
    <w:name w:val="WW8Num7z0"/>
    <w:qFormat/>
    <w:rPr>
      <w:rFonts w:ascii="Wingdings" w:hAnsi="Wingdings" w:eastAsia="Wingdings" w:cs="Wingdings"/>
      <w:color w:val="000080"/>
    </w:rPr>
  </w:style>
  <w:style w:type="character" w:styleId="WW8Num11z1" w:customStyle="1">
    <w:name w:val="WW8Num11z1"/>
    <w:qFormat/>
    <w:rPr>
      <w:rFonts w:ascii="Courier New" w:hAnsi="Courier New" w:eastAsia="Courier New" w:cs="Courier New"/>
    </w:rPr>
  </w:style>
  <w:style w:type="character" w:styleId="WW8Num11z2" w:customStyle="1">
    <w:name w:val="WW8Num11z2"/>
    <w:qFormat/>
    <w:rPr>
      <w:rFonts w:ascii="Wingdings" w:hAnsi="Wingdings" w:eastAsia="Wingdings" w:cs="Wingdings"/>
    </w:rPr>
  </w:style>
  <w:style w:type="character" w:styleId="WW8Num11z3" w:customStyle="1">
    <w:name w:val="WW8Num11z3"/>
    <w:qFormat/>
    <w:rPr>
      <w:rFonts w:ascii="Symbol" w:hAnsi="Symbol" w:eastAsia="Symbol" w:cs="Symbol"/>
    </w:rPr>
  </w:style>
  <w:style w:type="character" w:styleId="WW8Num12z0" w:customStyle="1">
    <w:name w:val="WW8Num12z0"/>
    <w:qFormat/>
    <w:rPr>
      <w:rFonts w:ascii="Times New Roman" w:hAnsi="Times New Roman" w:eastAsia="Times New Roman" w:cs="Times New Roman"/>
      <w:color w:val="000080"/>
    </w:rPr>
  </w:style>
  <w:style w:type="character" w:styleId="WW8Num12z1" w:customStyle="1">
    <w:name w:val="WW8Num12z1"/>
    <w:qFormat/>
    <w:rPr>
      <w:rFonts w:ascii="Courier New" w:hAnsi="Courier New" w:eastAsia="Courier New" w:cs="Courier New"/>
    </w:rPr>
  </w:style>
  <w:style w:type="character" w:styleId="WW8Num12z2" w:customStyle="1">
    <w:name w:val="WW8Num12z2"/>
    <w:qFormat/>
    <w:rPr>
      <w:rFonts w:ascii="Wingdings" w:hAnsi="Wingdings" w:eastAsia="Wingdings" w:cs="Wingdings"/>
    </w:rPr>
  </w:style>
  <w:style w:type="character" w:styleId="WW8Num12z3" w:customStyle="1">
    <w:name w:val="WW8Num12z3"/>
    <w:qFormat/>
    <w:rPr>
      <w:rFonts w:ascii="Symbol" w:hAnsi="Symbol" w:eastAsia="Symbol" w:cs="Symbol"/>
    </w:rPr>
  </w:style>
  <w:style w:type="character" w:styleId="WW8Num13z0" w:customStyle="1">
    <w:name w:val="WW8Num13z0"/>
    <w:qFormat/>
    <w:rPr>
      <w:rFonts w:ascii="Times New Roman" w:hAnsi="Times New Roman" w:eastAsia="Times New Roman" w:cs="Times New Roman"/>
      <w:color w:val="999999"/>
    </w:rPr>
  </w:style>
  <w:style w:type="character" w:styleId="WW8Num13z1" w:customStyle="1">
    <w:name w:val="WW8Num13z1"/>
    <w:qFormat/>
    <w:rPr>
      <w:rFonts w:ascii="Courier New" w:hAnsi="Courier New" w:eastAsia="Courier New" w:cs="Courier New"/>
    </w:rPr>
  </w:style>
  <w:style w:type="character" w:styleId="WW8Num13z2" w:customStyle="1">
    <w:name w:val="WW8Num13z2"/>
    <w:qFormat/>
    <w:rPr>
      <w:rFonts w:ascii="Wingdings" w:hAnsi="Wingdings" w:eastAsia="Wingdings" w:cs="Wingdings"/>
    </w:rPr>
  </w:style>
  <w:style w:type="character" w:styleId="WW8Num13z3" w:customStyle="1">
    <w:name w:val="WW8Num13z3"/>
    <w:qFormat/>
    <w:rPr>
      <w:rFonts w:ascii="Symbol" w:hAnsi="Symbol" w:eastAsia="Symbol" w:cs="Symbol"/>
    </w:rPr>
  </w:style>
  <w:style w:type="character" w:styleId="WW8Num14z0" w:customStyle="1">
    <w:name w:val="WW8Num14z0"/>
    <w:qFormat/>
    <w:rPr>
      <w:rFonts w:ascii="Symbol" w:hAnsi="Symbol" w:eastAsia="Symbol" w:cs="Symbol"/>
    </w:rPr>
  </w:style>
  <w:style w:type="character" w:styleId="WW8Num14z1" w:customStyle="1">
    <w:name w:val="WW8Num14z1"/>
    <w:qFormat/>
    <w:rPr>
      <w:rFonts w:ascii="Courier New" w:hAnsi="Courier New" w:eastAsia="Courier New" w:cs="Courier New"/>
    </w:rPr>
  </w:style>
  <w:style w:type="character" w:styleId="WW8Num14z2" w:customStyle="1">
    <w:name w:val="WW8Num14z2"/>
    <w:qFormat/>
    <w:rPr>
      <w:rFonts w:ascii="Wingdings" w:hAnsi="Wingdings" w:eastAsia="Wingdings" w:cs="Wingdings"/>
    </w:rPr>
  </w:style>
  <w:style w:type="character" w:styleId="WW8Num15z0" w:customStyle="1">
    <w:name w:val="WW8Num15z0"/>
    <w:qFormat/>
    <w:rPr>
      <w:rFonts w:ascii="Symbol" w:hAnsi="Symbol" w:eastAsia="Symbol" w:cs="Symbol"/>
    </w:rPr>
  </w:style>
  <w:style w:type="character" w:styleId="WW8Num15z1" w:customStyle="1">
    <w:name w:val="WW8Num15z1"/>
    <w:qFormat/>
    <w:rPr>
      <w:rFonts w:ascii="Courier New" w:hAnsi="Courier New" w:eastAsia="Courier New" w:cs="Courier New"/>
    </w:rPr>
  </w:style>
  <w:style w:type="character" w:styleId="WW8Num15z2" w:customStyle="1">
    <w:name w:val="WW8Num15z2"/>
    <w:qFormat/>
    <w:rPr>
      <w:rFonts w:ascii="Wingdings" w:hAnsi="Wingdings" w:eastAsia="Wingdings" w:cs="Wingdings"/>
    </w:rPr>
  </w:style>
  <w:style w:type="character" w:styleId="WW8Num16z0" w:customStyle="1">
    <w:name w:val="WW8Num16z0"/>
    <w:qFormat/>
    <w:rPr>
      <w:rFonts w:ascii="Wingdings" w:hAnsi="Wingdings" w:eastAsia="Wingdings" w:cs="Times New Roman"/>
      <w:color w:val="000080"/>
      <w:sz w:val="22"/>
    </w:rPr>
  </w:style>
  <w:style w:type="character" w:styleId="WW8Num16z1" w:customStyle="1">
    <w:name w:val="WW8Num16z1"/>
    <w:qFormat/>
    <w:rPr>
      <w:rFonts w:ascii="Courier New" w:hAnsi="Courier New" w:eastAsia="Courier New" w:cs="Courier New"/>
    </w:rPr>
  </w:style>
  <w:style w:type="character" w:styleId="WW8Num16z2" w:customStyle="1">
    <w:name w:val="WW8Num16z2"/>
    <w:qFormat/>
    <w:rPr>
      <w:rFonts w:ascii="Wingdings" w:hAnsi="Wingdings" w:eastAsia="Wingdings" w:cs="Wingdings"/>
    </w:rPr>
  </w:style>
  <w:style w:type="character" w:styleId="WW8Num16z3" w:customStyle="1">
    <w:name w:val="WW8Num16z3"/>
    <w:qFormat/>
    <w:rPr>
      <w:rFonts w:ascii="Symbol" w:hAnsi="Symbol" w:eastAsia="Symbol" w:cs="Symbol"/>
    </w:rPr>
  </w:style>
  <w:style w:type="character" w:styleId="WW8Num18z0" w:customStyle="1">
    <w:name w:val="WW8Num18z0"/>
    <w:qFormat/>
    <w:rPr>
      <w:rFonts w:ascii="Symbol" w:hAnsi="Symbol" w:eastAsia="Symbol" w:cs="Symbol"/>
    </w:rPr>
  </w:style>
  <w:style w:type="character" w:styleId="WW8Num18z1" w:customStyle="1">
    <w:name w:val="WW8Num18z1"/>
    <w:qFormat/>
    <w:rPr>
      <w:rFonts w:ascii="Courier New" w:hAnsi="Courier New" w:eastAsia="Courier New" w:cs="Courier New"/>
    </w:rPr>
  </w:style>
  <w:style w:type="character" w:styleId="WW8Num18z2" w:customStyle="1">
    <w:name w:val="WW8Num18z2"/>
    <w:qFormat/>
    <w:rPr>
      <w:rFonts w:ascii="Wingdings" w:hAnsi="Wingdings" w:eastAsia="Wingdings" w:cs="Wingdings"/>
    </w:rPr>
  </w:style>
  <w:style w:type="character" w:styleId="WW8Num19z0" w:customStyle="1">
    <w:name w:val="WW8Num19z0"/>
    <w:qFormat/>
    <w:rPr>
      <w:rFonts w:ascii="Symbol" w:hAnsi="Symbol" w:eastAsia="Symbol" w:cs="Symbol"/>
    </w:rPr>
  </w:style>
  <w:style w:type="character" w:styleId="WW8Num19z1" w:customStyle="1">
    <w:name w:val="WW8Num19z1"/>
    <w:qFormat/>
    <w:rPr>
      <w:rFonts w:ascii="Courier New" w:hAnsi="Courier New" w:eastAsia="Courier New" w:cs="Courier New"/>
    </w:rPr>
  </w:style>
  <w:style w:type="character" w:styleId="WW8Num19z2" w:customStyle="1">
    <w:name w:val="WW8Num19z2"/>
    <w:qFormat/>
    <w:rPr>
      <w:rFonts w:ascii="Wingdings" w:hAnsi="Wingdings" w:eastAsia="Wingdings" w:cs="Wingdings"/>
    </w:rPr>
  </w:style>
  <w:style w:type="character" w:styleId="WW8Num20z0" w:customStyle="1">
    <w:name w:val="WW8Num20z0"/>
    <w:qFormat/>
    <w:rPr>
      <w:rFonts w:ascii="Symbol" w:hAnsi="Symbol" w:eastAsia="Symbol" w:cs="Symbol"/>
    </w:rPr>
  </w:style>
  <w:style w:type="character" w:styleId="WW8Num20z1" w:customStyle="1">
    <w:name w:val="WW8Num20z1"/>
    <w:qFormat/>
    <w:rPr>
      <w:rFonts w:ascii="Courier New" w:hAnsi="Courier New" w:eastAsia="Courier New" w:cs="Courier New"/>
    </w:rPr>
  </w:style>
  <w:style w:type="character" w:styleId="WW8Num20z2" w:customStyle="1">
    <w:name w:val="WW8Num20z2"/>
    <w:qFormat/>
    <w:rPr>
      <w:rFonts w:ascii="Wingdings" w:hAnsi="Wingdings" w:eastAsia="Wingdings" w:cs="Wingdings"/>
    </w:rPr>
  </w:style>
  <w:style w:type="character" w:styleId="WW8Num21z0" w:customStyle="1">
    <w:name w:val="WW8Num21z0"/>
    <w:qFormat/>
    <w:rPr>
      <w:rFonts w:ascii="Times New Roman" w:hAnsi="Times New Roman" w:eastAsia="Times New Roman" w:cs="Times New Roman"/>
      <w:color w:val="000080"/>
      <w:sz w:val="22"/>
    </w:rPr>
  </w:style>
  <w:style w:type="character" w:styleId="WW8Num21z1" w:customStyle="1">
    <w:name w:val="WW8Num21z1"/>
    <w:qFormat/>
    <w:rPr>
      <w:rFonts w:ascii="Courier New" w:hAnsi="Courier New" w:eastAsia="Courier New" w:cs="Courier New"/>
    </w:rPr>
  </w:style>
  <w:style w:type="character" w:styleId="WW8Num21z2" w:customStyle="1">
    <w:name w:val="WW8Num21z2"/>
    <w:qFormat/>
    <w:rPr>
      <w:rFonts w:ascii="Wingdings" w:hAnsi="Wingdings" w:eastAsia="Wingdings" w:cs="Wingdings"/>
    </w:rPr>
  </w:style>
  <w:style w:type="character" w:styleId="WW8Num21z3" w:customStyle="1">
    <w:name w:val="WW8Num21z3"/>
    <w:qFormat/>
    <w:rPr>
      <w:rFonts w:ascii="Symbol" w:hAnsi="Symbol" w:eastAsia="Symbol" w:cs="Symbol"/>
    </w:rPr>
  </w:style>
  <w:style w:type="character" w:styleId="WW8NumSt21z0" w:customStyle="1">
    <w:name w:val="WW8NumSt21z0"/>
    <w:qFormat/>
    <w:rPr>
      <w:rFonts w:ascii="Symbol" w:hAnsi="Symbol" w:eastAsia="Symbol" w:cs="Symbol"/>
    </w:rPr>
  </w:style>
  <w:style w:type="character" w:styleId="WWPolicepardfaut1" w:customStyle="1">
    <w:name w:val="WW-Police par défaut1"/>
    <w:qFormat/>
    <w:rPr/>
  </w:style>
  <w:style w:type="character" w:styleId="Internetlink" w:customStyle="1">
    <w:name w:val="Hyperlink"/>
    <w:basedOn w:val="WWPolicepardfaut1"/>
    <w:qFormat/>
    <w:rPr>
      <w:color w:val="0000FF"/>
      <w:u w:val="single"/>
    </w:rPr>
  </w:style>
  <w:style w:type="character" w:styleId="Pagenumber">
    <w:name w:val="page number"/>
    <w:basedOn w:val="WWPolicepardfaut1"/>
    <w:qFormat/>
    <w:rPr/>
  </w:style>
  <w:style w:type="character" w:styleId="VisitedInternetLink" w:customStyle="1">
    <w:name w:val="FollowedHyperlink"/>
    <w:basedOn w:val="WWPolicepardfaut1"/>
    <w:qFormat/>
    <w:rPr>
      <w:color w:val="800080"/>
      <w:u w:val="single"/>
    </w:rPr>
  </w:style>
  <w:style w:type="character" w:styleId="Caractresdenumrotation" w:customStyle="1">
    <w:name w:val="Caractères de numérotation"/>
    <w:qFormat/>
    <w:rPr/>
  </w:style>
  <w:style w:type="character" w:styleId="Puces" w:customStyle="1">
    <w:name w:val="Puces"/>
    <w:qFormat/>
    <w:rPr>
      <w:rFonts w:ascii="OpenSymbol" w:hAnsi="OpenSymbol" w:eastAsia="OpenSymbol" w:cs="OpenSymbol"/>
    </w:rPr>
  </w:style>
  <w:style w:type="character" w:styleId="Accentuationforte" w:customStyle="1">
    <w:name w:val="Accentuation forte"/>
    <w:qFormat/>
    <w:rPr>
      <w:rFonts w:ascii="Arial" w:hAnsi="Arial" w:eastAsia="Arial" w:cs="Arial"/>
      <w:b/>
      <w:bCs/>
      <w:sz w:val="18"/>
    </w:rPr>
  </w:style>
  <w:style w:type="character" w:styleId="Textenonproportionnel" w:customStyle="1">
    <w:name w:val="Texte non proportionnel"/>
    <w:qFormat/>
    <w:rPr>
      <w:rFonts w:ascii="Courier New" w:hAnsi="Courier New" w:eastAsia="Courier New" w:cs="Courier New"/>
    </w:rPr>
  </w:style>
  <w:style w:type="character" w:styleId="RTFNum181" w:customStyle="1">
    <w:name w:val="RTF_Num 18 1"/>
    <w:qFormat/>
    <w:rPr/>
  </w:style>
  <w:style w:type="character" w:styleId="RTFNum182" w:customStyle="1">
    <w:name w:val="RTF_Num 18 2"/>
    <w:qFormat/>
    <w:rPr/>
  </w:style>
  <w:style w:type="character" w:styleId="RTFNum183" w:customStyle="1">
    <w:name w:val="RTF_Num 18 3"/>
    <w:qFormat/>
    <w:rPr/>
  </w:style>
  <w:style w:type="character" w:styleId="RTFNum184" w:customStyle="1">
    <w:name w:val="RTF_Num 18 4"/>
    <w:qFormat/>
    <w:rPr/>
  </w:style>
  <w:style w:type="character" w:styleId="RTFNum185" w:customStyle="1">
    <w:name w:val="RTF_Num 18 5"/>
    <w:qFormat/>
    <w:rPr/>
  </w:style>
  <w:style w:type="character" w:styleId="RTFNum186" w:customStyle="1">
    <w:name w:val="RTF_Num 18 6"/>
    <w:qFormat/>
    <w:rPr/>
  </w:style>
  <w:style w:type="character" w:styleId="RTFNum187" w:customStyle="1">
    <w:name w:val="RTF_Num 18 7"/>
    <w:qFormat/>
    <w:rPr/>
  </w:style>
  <w:style w:type="character" w:styleId="RTFNum188" w:customStyle="1">
    <w:name w:val="RTF_Num 18 8"/>
    <w:qFormat/>
    <w:rPr/>
  </w:style>
  <w:style w:type="character" w:styleId="RTFNum189" w:customStyle="1">
    <w:name w:val="RTF_Num 18 9"/>
    <w:qFormat/>
    <w:rPr/>
  </w:style>
  <w:style w:type="character" w:styleId="HTMLTypewriter">
    <w:name w:val="HTML Typewriter"/>
    <w:basedOn w:val="DefaultParagraphFont"/>
    <w:qFormat/>
    <w:rPr>
      <w:rFonts w:ascii="Arial Unicode MS" w:hAnsi="Arial Unicode MS" w:eastAsia="Arial Unicode MS" w:cs="Arial Unicode MS"/>
      <w:sz w:val="20"/>
      <w:szCs w:val="20"/>
    </w:rPr>
  </w:style>
  <w:style w:type="character" w:styleId="TexteG" w:customStyle="1">
    <w:name w:val="TexteG"/>
    <w:qFormat/>
    <w:rPr>
      <w:rFonts w:ascii="Arial" w:hAnsi="Arial" w:eastAsia="Verdana,Bold" w:cs="Tahoma"/>
      <w:b/>
      <w:bCs w:val="false"/>
      <w:sz w:val="20"/>
      <w:szCs w:val="20"/>
    </w:rPr>
  </w:style>
  <w:style w:type="character" w:styleId="TexteGS" w:customStyle="1">
    <w:name w:val="TexteGS"/>
    <w:qFormat/>
    <w:rPr>
      <w:rFonts w:ascii="Arial" w:hAnsi="Arial" w:eastAsia="Verdana,Bold" w:cs="Tahoma"/>
      <w:b/>
      <w:bCs/>
      <w:sz w:val="20"/>
      <w:szCs w:val="20"/>
      <w:u w:val="single"/>
    </w:rPr>
  </w:style>
  <w:style w:type="character" w:styleId="TexteCU" w:customStyle="1">
    <w:name w:val="TexteCU"/>
    <w:qFormat/>
    <w:rPr>
      <w:rFonts w:ascii="Arial" w:hAnsi="Arial" w:eastAsia="Arial" w:cs="Arial"/>
      <w:b/>
      <w:color w:val="auto"/>
      <w:sz w:val="28"/>
      <w:szCs w:val="20"/>
      <w:lang w:val="fr-FR" w:bidi="ar-SA"/>
    </w:rPr>
  </w:style>
  <w:style w:type="character" w:styleId="LienInternet">
    <w:name w:val="Lien Internet"/>
    <w:basedOn w:val="DefaultParagraphFont"/>
    <w:uiPriority w:val="99"/>
    <w:unhideWhenUsed/>
    <w:rsid w:val="00521b0b"/>
    <w:rPr>
      <w:color w:val="0563C1" w:themeColor="hyperlink"/>
      <w:u w:val="single"/>
    </w:rPr>
  </w:style>
  <w:style w:type="character" w:styleId="Titre1Car" w:customStyle="1">
    <w:name w:val="Titre 1 Car"/>
    <w:basedOn w:val="DefaultParagraphFont"/>
    <w:uiPriority w:val="9"/>
    <w:qFormat/>
    <w:rsid w:val="001506ce"/>
    <w:rPr>
      <w:rFonts w:ascii="Calibri Light" w:hAnsi="Calibri Light" w:eastAsia="" w:cs="" w:asciiTheme="majorHAnsi" w:cstheme="majorBidi" w:eastAsiaTheme="majorEastAsia" w:hAnsiTheme="majorHAnsi"/>
      <w:color w:val="2E74B5" w:themeColor="accent1" w:themeShade="bf"/>
      <w:sz w:val="30"/>
      <w:szCs w:val="30"/>
    </w:rPr>
  </w:style>
  <w:style w:type="character" w:styleId="Titre2Car" w:customStyle="1">
    <w:name w:val="Titre 2 Car"/>
    <w:basedOn w:val="DefaultParagraphFont"/>
    <w:uiPriority w:val="9"/>
    <w:qFormat/>
    <w:rsid w:val="004135e0"/>
    <w:rPr>
      <w:rFonts w:ascii="Calibri Light" w:hAnsi="Calibri Light" w:eastAsia="" w:cs="" w:asciiTheme="majorHAnsi" w:cstheme="majorBidi" w:eastAsiaTheme="majorEastAsia" w:hAnsiTheme="majorHAnsi"/>
      <w:color w:val="C45911" w:themeColor="accent2" w:themeShade="bf"/>
      <w:sz w:val="28"/>
      <w:szCs w:val="28"/>
    </w:rPr>
  </w:style>
  <w:style w:type="character" w:styleId="Titre3Car" w:customStyle="1">
    <w:name w:val="Titre 3 Car"/>
    <w:basedOn w:val="DefaultParagraphFont"/>
    <w:uiPriority w:val="9"/>
    <w:qFormat/>
    <w:rsid w:val="00307bbe"/>
    <w:rPr>
      <w:rFonts w:ascii="Calibri Light" w:hAnsi="Calibri Light" w:eastAsia="" w:cs="" w:asciiTheme="majorHAnsi" w:cstheme="majorBidi" w:eastAsiaTheme="majorEastAsia" w:hAnsiTheme="majorHAnsi"/>
      <w:color w:val="538135" w:themeColor="accent6" w:themeShade="bf"/>
      <w:sz w:val="24"/>
      <w:szCs w:val="26"/>
    </w:rPr>
  </w:style>
  <w:style w:type="character" w:styleId="Titre4Car" w:customStyle="1">
    <w:name w:val="Titre 4 Car"/>
    <w:basedOn w:val="DefaultParagraphFont"/>
    <w:uiPriority w:val="9"/>
    <w:qFormat/>
    <w:rsid w:val="00ba626f"/>
    <w:rPr>
      <w:rFonts w:ascii="Calibri Light" w:hAnsi="Calibri Light" w:eastAsia="" w:cs="" w:asciiTheme="majorHAnsi" w:cstheme="majorBidi" w:eastAsiaTheme="majorEastAsia" w:hAnsiTheme="majorHAnsi"/>
      <w:i/>
      <w:iCs/>
      <w:color w:val="2F5496" w:themeColor="accent5" w:themeShade="bf"/>
      <w:sz w:val="25"/>
      <w:szCs w:val="25"/>
    </w:rPr>
  </w:style>
  <w:style w:type="character" w:styleId="Titre5Car" w:customStyle="1">
    <w:name w:val="Titre 5 Car"/>
    <w:basedOn w:val="DefaultParagraphFont"/>
    <w:uiPriority w:val="9"/>
    <w:qFormat/>
    <w:rsid w:val="00ba626f"/>
    <w:rPr>
      <w:rFonts w:ascii="Calibri Light" w:hAnsi="Calibri Light" w:eastAsia="" w:cs="" w:asciiTheme="majorHAnsi" w:cstheme="majorBidi" w:eastAsiaTheme="majorEastAsia" w:hAnsiTheme="majorHAnsi"/>
      <w:i/>
      <w:iCs/>
      <w:color w:val="833C0B" w:themeColor="accent2" w:themeShade="80"/>
      <w:sz w:val="24"/>
      <w:szCs w:val="24"/>
    </w:rPr>
  </w:style>
  <w:style w:type="character" w:styleId="Titre6Car" w:customStyle="1">
    <w:name w:val="Titre 6 Car"/>
    <w:basedOn w:val="DefaultParagraphFont"/>
    <w:uiPriority w:val="9"/>
    <w:qFormat/>
    <w:rsid w:val="00ba626f"/>
    <w:rPr>
      <w:rFonts w:ascii="Calibri Light" w:hAnsi="Calibri Light" w:eastAsia="" w:cs="" w:asciiTheme="majorHAnsi" w:cstheme="majorBidi" w:eastAsiaTheme="majorEastAsia" w:hAnsiTheme="majorHAnsi"/>
      <w:i/>
      <w:iCs/>
      <w:color w:val="385623" w:themeColor="accent6" w:themeShade="80"/>
      <w:sz w:val="23"/>
      <w:szCs w:val="23"/>
    </w:rPr>
  </w:style>
  <w:style w:type="character" w:styleId="Titre7Car" w:customStyle="1">
    <w:name w:val="Titre 7 Car"/>
    <w:basedOn w:val="DefaultParagraphFont"/>
    <w:uiPriority w:val="9"/>
    <w:qFormat/>
    <w:rsid w:val="00ba626f"/>
    <w:rPr>
      <w:rFonts w:ascii="Calibri Light" w:hAnsi="Calibri Light" w:eastAsia="" w:cs="" w:asciiTheme="majorHAnsi" w:cstheme="majorBidi" w:eastAsiaTheme="majorEastAsia" w:hAnsiTheme="majorHAnsi"/>
      <w:color w:val="1F4E79" w:themeColor="accent1" w:themeShade="80"/>
    </w:rPr>
  </w:style>
  <w:style w:type="character" w:styleId="Titre8Car" w:customStyle="1">
    <w:name w:val="Titre 8 Car"/>
    <w:basedOn w:val="DefaultParagraphFont"/>
    <w:uiPriority w:val="9"/>
    <w:qFormat/>
    <w:rsid w:val="00ba626f"/>
    <w:rPr>
      <w:rFonts w:ascii="Calibri Light" w:hAnsi="Calibri Light" w:eastAsia="" w:cs="" w:asciiTheme="majorHAnsi" w:cstheme="majorBidi" w:eastAsiaTheme="majorEastAsia" w:hAnsiTheme="majorHAnsi"/>
      <w:color w:val="833C0B" w:themeColor="accent2" w:themeShade="80"/>
      <w:sz w:val="21"/>
      <w:szCs w:val="21"/>
    </w:rPr>
  </w:style>
  <w:style w:type="character" w:styleId="Titre9Car" w:customStyle="1">
    <w:name w:val="Titre 9 Car"/>
    <w:basedOn w:val="DefaultParagraphFont"/>
    <w:uiPriority w:val="9"/>
    <w:qFormat/>
    <w:rsid w:val="00ba626f"/>
    <w:rPr>
      <w:rFonts w:ascii="Calibri Light" w:hAnsi="Calibri Light" w:eastAsia="" w:cs="" w:asciiTheme="majorHAnsi" w:cstheme="majorBidi" w:eastAsiaTheme="majorEastAsia" w:hAnsiTheme="majorHAnsi"/>
      <w:color w:val="385623" w:themeColor="accent6" w:themeShade="80"/>
    </w:rPr>
  </w:style>
  <w:style w:type="character" w:styleId="TitreCar" w:customStyle="1">
    <w:name w:val="Titre Car"/>
    <w:basedOn w:val="DefaultParagraphFont"/>
    <w:uiPriority w:val="10"/>
    <w:qFormat/>
    <w:rsid w:val="00ba626f"/>
    <w:rPr>
      <w:rFonts w:ascii="Calibri Light" w:hAnsi="Calibri Light" w:eastAsia="" w:cs="" w:asciiTheme="majorHAnsi" w:cstheme="majorBidi" w:eastAsiaTheme="majorEastAsia" w:hAnsiTheme="majorHAnsi"/>
      <w:color w:val="2E74B5" w:themeColor="accent1" w:themeShade="bf"/>
      <w:spacing w:val="-10"/>
      <w:sz w:val="52"/>
      <w:szCs w:val="52"/>
    </w:rPr>
  </w:style>
  <w:style w:type="character" w:styleId="SoustitreCar" w:customStyle="1">
    <w:name w:val="Sous-titre Car"/>
    <w:basedOn w:val="DefaultParagraphFont"/>
    <w:uiPriority w:val="11"/>
    <w:qFormat/>
    <w:rsid w:val="00ba626f"/>
    <w:rPr>
      <w:rFonts w:ascii="Calibri Light" w:hAnsi="Calibri Light" w:eastAsia="" w:cs="" w:asciiTheme="majorHAnsi" w:cstheme="majorBidi" w:eastAsiaTheme="majorEastAsia" w:hAnsiTheme="majorHAnsi"/>
    </w:rPr>
  </w:style>
  <w:style w:type="character" w:styleId="Strong">
    <w:name w:val="Strong"/>
    <w:basedOn w:val="DefaultParagraphFont"/>
    <w:uiPriority w:val="22"/>
    <w:qFormat/>
    <w:rsid w:val="00ba626f"/>
    <w:rPr>
      <w:b/>
      <w:bCs/>
    </w:rPr>
  </w:style>
  <w:style w:type="character" w:styleId="Accentuation">
    <w:name w:val="Accentuation"/>
    <w:basedOn w:val="DefaultParagraphFont"/>
    <w:uiPriority w:val="20"/>
    <w:qFormat/>
    <w:rsid w:val="00ba626f"/>
    <w:rPr>
      <w:i/>
      <w:iCs/>
    </w:rPr>
  </w:style>
  <w:style w:type="character" w:styleId="CitationCar" w:customStyle="1">
    <w:name w:val="Citation Car"/>
    <w:basedOn w:val="DefaultParagraphFont"/>
    <w:link w:val="Quote"/>
    <w:uiPriority w:val="29"/>
    <w:qFormat/>
    <w:rsid w:val="00ba626f"/>
    <w:rPr>
      <w:i/>
      <w:iCs/>
    </w:rPr>
  </w:style>
  <w:style w:type="character" w:styleId="CitationintenseCar" w:customStyle="1">
    <w:name w:val="Citation intense Car"/>
    <w:basedOn w:val="DefaultParagraphFont"/>
    <w:link w:val="IntenseQuote"/>
    <w:uiPriority w:val="30"/>
    <w:qFormat/>
    <w:rsid w:val="00ba626f"/>
    <w:rPr>
      <w:rFonts w:ascii="Calibri Light" w:hAnsi="Calibri Light" w:eastAsia="" w:cs="" w:asciiTheme="majorHAnsi" w:cstheme="majorBidi" w:eastAsiaTheme="majorEastAsia" w:hAnsiTheme="majorHAnsi"/>
      <w:color w:val="5B9BD5" w:themeColor="accent1"/>
      <w:sz w:val="24"/>
      <w:szCs w:val="24"/>
    </w:rPr>
  </w:style>
  <w:style w:type="character" w:styleId="SubtleEmphasis">
    <w:name w:val="Subtle Emphasis"/>
    <w:basedOn w:val="DefaultParagraphFont"/>
    <w:uiPriority w:val="19"/>
    <w:qFormat/>
    <w:rsid w:val="00ba626f"/>
    <w:rPr>
      <w:i/>
      <w:iCs/>
      <w:color w:val="404040" w:themeColor="text1" w:themeTint="bf"/>
    </w:rPr>
  </w:style>
  <w:style w:type="character" w:styleId="IntenseEmphasis">
    <w:name w:val="Intense Emphasis"/>
    <w:basedOn w:val="DefaultParagraphFont"/>
    <w:uiPriority w:val="21"/>
    <w:qFormat/>
    <w:rsid w:val="00ba626f"/>
    <w:rPr>
      <w:b w:val="false"/>
      <w:bCs w:val="false"/>
      <w:i/>
      <w:iCs/>
      <w:color w:val="5B9BD5" w:themeColor="accent1"/>
    </w:rPr>
  </w:style>
  <w:style w:type="character" w:styleId="SubtleReference">
    <w:name w:val="Subtle Reference"/>
    <w:basedOn w:val="DefaultParagraphFont"/>
    <w:uiPriority w:val="31"/>
    <w:qFormat/>
    <w:rsid w:val="00ba626f"/>
    <w:rPr>
      <w:smallCaps/>
      <w:color w:val="404040" w:themeColor="text1" w:themeTint="bf"/>
      <w:u w:val="single" w:color="7F7F7F"/>
    </w:rPr>
  </w:style>
  <w:style w:type="character" w:styleId="IntenseReference">
    <w:name w:val="Intense Reference"/>
    <w:basedOn w:val="DefaultParagraphFont"/>
    <w:uiPriority w:val="32"/>
    <w:qFormat/>
    <w:rsid w:val="00ba626f"/>
    <w:rPr>
      <w:b/>
      <w:bCs/>
      <w:smallCaps/>
      <w:color w:val="5B9BD5" w:themeColor="accent1"/>
      <w:spacing w:val="5"/>
      <w:u w:val="single"/>
    </w:rPr>
  </w:style>
  <w:style w:type="character" w:styleId="BookTitle">
    <w:name w:val="Book Title"/>
    <w:basedOn w:val="DefaultParagraphFont"/>
    <w:uiPriority w:val="33"/>
    <w:qFormat/>
    <w:rsid w:val="00ba626f"/>
    <w:rPr>
      <w:b/>
      <w:bCs/>
      <w:smallCaps/>
    </w:rPr>
  </w:style>
  <w:style w:type="character" w:styleId="TextedebullesCar" w:customStyle="1">
    <w:name w:val="Texte de bulles Car"/>
    <w:basedOn w:val="DefaultParagraphFont"/>
    <w:link w:val="BalloonText"/>
    <w:uiPriority w:val="99"/>
    <w:semiHidden/>
    <w:qFormat/>
    <w:rsid w:val="00cb20c6"/>
    <w:rPr>
      <w:rFonts w:ascii="Segoe UI" w:hAnsi="Segoe UI" w:cs="Segoe UI"/>
      <w:sz w:val="18"/>
      <w:szCs w:val="18"/>
    </w:rPr>
  </w:style>
  <w:style w:type="character" w:styleId="CorpsdetexteCar" w:customStyle="1">
    <w:name w:val="Corps de texte Car"/>
    <w:basedOn w:val="DefaultParagraphFont"/>
    <w:link w:val="Textbody"/>
    <w:qFormat/>
    <w:rsid w:val="006a42d5"/>
    <w:rPr>
      <w:rFonts w:eastAsia="Liberation Sans" w:cs="Liberation Sans"/>
      <w:sz w:val="18"/>
      <w:szCs w:val="18"/>
    </w:rPr>
  </w:style>
  <w:style w:type="character" w:styleId="NotedebasdepageCar" w:customStyle="1">
    <w:name w:val="Note de bas de page Car"/>
    <w:basedOn w:val="DefaultParagraphFont"/>
    <w:uiPriority w:val="99"/>
    <w:semiHidden/>
    <w:qFormat/>
    <w:rsid w:val="00d6132f"/>
    <w:rPr>
      <w:sz w:val="20"/>
      <w:szCs w:val="20"/>
    </w:rPr>
  </w:style>
  <w:style w:type="character" w:styleId="Caractresdenotedebasdepage">
    <w:name w:val="Caractères de note de bas de page"/>
    <w:basedOn w:val="DefaultParagraphFont"/>
    <w:uiPriority w:val="99"/>
    <w:semiHidden/>
    <w:unhideWhenUsed/>
    <w:qFormat/>
    <w:rsid w:val="00d6132f"/>
    <w:rPr>
      <w:vertAlign w:val="superscript"/>
    </w:rPr>
  </w:style>
  <w:style w:type="character" w:styleId="Ancredenotedebasdepage">
    <w:name w:val="Ancre de note de bas de page"/>
    <w:rPr>
      <w:vertAlign w:val="superscript"/>
    </w:rPr>
  </w:style>
  <w:style w:type="character" w:styleId="Sautdindex">
    <w:name w:val="Saut d'index"/>
    <w:qFormat/>
    <w:rPr/>
  </w:style>
  <w:style w:type="character" w:styleId="Ancredenotedefin">
    <w:name w:val="Ancre de note de fin"/>
    <w:rPr>
      <w:vertAlign w:val="superscript"/>
    </w:rPr>
  </w:style>
  <w:style w:type="character" w:styleId="Caractresdenotedefin">
    <w:name w:val="Caractères de note de fin"/>
    <w:qFormat/>
    <w:rPr/>
  </w:style>
  <w:style w:type="paragraph" w:styleId="Titre" w:customStyle="1">
    <w:name w:val="Titre"/>
    <w:basedOn w:val="Standard"/>
    <w:next w:val="Textbody"/>
    <w:qFormat/>
    <w:pPr>
      <w:keepNext w:val="true"/>
      <w:spacing w:before="240" w:after="120"/>
      <w:jc w:val="center"/>
    </w:pPr>
    <w:rPr>
      <w:rFonts w:ascii="Arial" w:hAnsi="Arial" w:eastAsia="Arial Unicode MS" w:cs="Tahoma"/>
      <w:b/>
      <w:color w:val="006600"/>
      <w:sz w:val="40"/>
      <w:szCs w:val="28"/>
    </w:rPr>
  </w:style>
  <w:style w:type="paragraph" w:styleId="Corpsdetexte">
    <w:name w:val="Body Text"/>
    <w:link w:val="CorpsdetexteCar"/>
    <w:autoRedefine/>
    <w:rsid w:val="006a42d5"/>
    <w:pPr>
      <w:widowControl w:val="false"/>
      <w:suppressAutoHyphens w:val="true"/>
      <w:bidi w:val="0"/>
      <w:spacing w:lineRule="auto" w:line="240" w:before="120" w:after="0"/>
      <w:jc w:val="both"/>
    </w:pPr>
    <w:rPr>
      <w:rFonts w:eastAsia="Liberation Sans" w:cs="Liberation Sans" w:ascii="Calibri" w:hAnsi="Calibri" w:asciiTheme="minorHAnsi" w:hAnsiTheme="minorHAnsi"/>
      <w:color w:val="auto"/>
      <w:kern w:val="0"/>
      <w:sz w:val="18"/>
      <w:szCs w:val="18"/>
      <w:lang w:val="fr-FR" w:eastAsia="fr-FR" w:bidi="ar-SA"/>
    </w:rPr>
  </w:style>
  <w:style w:type="paragraph" w:styleId="Liste">
    <w:name w:val="List"/>
    <w:basedOn w:val="Textbody"/>
    <w:pPr/>
    <w:rPr>
      <w:rFonts w:cs="Tahoma"/>
    </w:rPr>
  </w:style>
  <w:style w:type="paragraph" w:styleId="Lgende">
    <w:name w:val="Caption"/>
    <w:basedOn w:val="Normal"/>
    <w:qFormat/>
    <w:pPr>
      <w:suppressLineNumbers/>
      <w:spacing w:before="120" w:after="120"/>
    </w:pPr>
    <w:rPr>
      <w:rFonts w:cs="FreeSans"/>
      <w:i/>
      <w:iCs/>
      <w:sz w:val="24"/>
      <w:szCs w:val="24"/>
    </w:rPr>
  </w:style>
  <w:style w:type="paragraph" w:styleId="Index" w:customStyle="1">
    <w:name w:val="Index"/>
    <w:basedOn w:val="Standard"/>
    <w:qFormat/>
    <w:pPr>
      <w:suppressLineNumbers/>
    </w:pPr>
    <w:rPr>
      <w:rFonts w:cs="Tahoma"/>
    </w:rPr>
  </w:style>
  <w:style w:type="paragraph" w:styleId="Standard" w:customStyle="1">
    <w:name w:val="Standard"/>
    <w:qFormat/>
    <w:pPr>
      <w:widowControl/>
      <w:bidi w:val="0"/>
      <w:spacing w:lineRule="auto" w:line="259" w:before="0" w:after="160"/>
      <w:jc w:val="left"/>
    </w:pPr>
    <w:rPr>
      <w:rFonts w:ascii="Verdana" w:hAnsi="Verdana" w:eastAsia="Times New Roman" w:cs="Times New Roman"/>
      <w:color w:val="auto"/>
      <w:kern w:val="0"/>
      <w:sz w:val="18"/>
      <w:szCs w:val="22"/>
      <w:lang w:val="fr-FR" w:eastAsia="fr-FR" w:bidi="ar-SA"/>
    </w:rPr>
  </w:style>
  <w:style w:type="paragraph" w:styleId="Textbody" w:customStyle="1">
    <w:name w:val="Text body"/>
    <w:basedOn w:val="Standard"/>
    <w:qFormat/>
    <w:pPr>
      <w:spacing w:before="0" w:after="120"/>
    </w:pPr>
    <w:rPr/>
  </w:style>
  <w:style w:type="paragraph" w:styleId="Caption">
    <w:name w:val="caption"/>
    <w:basedOn w:val="Normal"/>
    <w:next w:val="Normal"/>
    <w:uiPriority w:val="35"/>
    <w:unhideWhenUsed/>
    <w:qFormat/>
    <w:rsid w:val="00ba626f"/>
    <w:pPr>
      <w:spacing w:lineRule="auto" w:line="240"/>
    </w:pPr>
    <w:rPr>
      <w:b/>
      <w:bCs/>
      <w:smallCaps/>
      <w:color w:val="5B9BD5" w:themeColor="accent1"/>
      <w:spacing w:val="6"/>
    </w:rPr>
  </w:style>
  <w:style w:type="paragraph" w:styleId="Titreprincipal">
    <w:name w:val="Title"/>
    <w:basedOn w:val="Normal"/>
    <w:next w:val="Normal"/>
    <w:link w:val="TitreCar"/>
    <w:uiPriority w:val="10"/>
    <w:qFormat/>
    <w:rsid w:val="00ba626f"/>
    <w:pPr>
      <w:spacing w:lineRule="auto" w:line="240" w:before="0" w:after="0"/>
      <w:contextualSpacing/>
    </w:pPr>
    <w:rPr>
      <w:rFonts w:ascii="Calibri Light" w:hAnsi="Calibri Light" w:eastAsia="" w:cs="" w:asciiTheme="majorHAnsi" w:cstheme="majorBidi" w:eastAsiaTheme="majorEastAsia" w:hAnsiTheme="majorHAnsi"/>
      <w:color w:val="2E74B5" w:themeColor="accent1" w:themeShade="bf"/>
      <w:spacing w:val="-10"/>
      <w:sz w:val="52"/>
      <w:szCs w:val="52"/>
    </w:rPr>
  </w:style>
  <w:style w:type="paragraph" w:styleId="Soustitre">
    <w:name w:val="Subtitle"/>
    <w:basedOn w:val="Normal"/>
    <w:next w:val="Normal"/>
    <w:link w:val="SoustitreCar"/>
    <w:uiPriority w:val="11"/>
    <w:qFormat/>
    <w:rsid w:val="00ba626f"/>
    <w:pPr>
      <w:spacing w:lineRule="auto" w:line="240"/>
    </w:pPr>
    <w:rPr>
      <w:rFonts w:ascii="Calibri Light" w:hAnsi="Calibri Light" w:eastAsia="" w:cs="" w:asciiTheme="majorHAnsi" w:cstheme="majorBidi" w:eastAsiaTheme="majorEastAsia" w:hAnsiTheme="majorHAnsi"/>
    </w:rPr>
  </w:style>
  <w:style w:type="paragraph" w:styleId="Rpertoire" w:customStyle="1">
    <w:name w:val="Répertoire"/>
    <w:basedOn w:val="Standard"/>
    <w:qFormat/>
    <w:pPr>
      <w:suppressLineNumbers/>
    </w:pPr>
    <w:rPr>
      <w:rFonts w:cs="Tahoma"/>
    </w:rPr>
  </w:style>
  <w:style w:type="paragraph" w:styleId="Contents4" w:customStyle="1">
    <w:name w:val="Contents 4"/>
    <w:basedOn w:val="Standard"/>
    <w:qFormat/>
    <w:pPr>
      <w:tabs>
        <w:tab w:val="clear" w:pos="408"/>
        <w:tab w:val="right" w:pos="10358" w:leader="dot"/>
      </w:tabs>
      <w:ind w:left="720" w:hanging="0"/>
    </w:pPr>
    <w:rPr>
      <w:sz w:val="16"/>
      <w:szCs w:val="20"/>
    </w:rPr>
  </w:style>
  <w:style w:type="paragraph" w:styleId="09ligne" w:customStyle="1">
    <w:name w:val="09_ligne"/>
    <w:qFormat/>
    <w:pPr>
      <w:widowControl/>
      <w:pBdr>
        <w:bottom w:val="single" w:sz="4" w:space="1" w:color="FF0000"/>
      </w:pBdr>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03puce2" w:customStyle="1">
    <w:name w:val="03_puce2"/>
    <w:qFormat/>
    <w:pPr>
      <w:widowControl/>
      <w:tabs>
        <w:tab w:val="clear" w:pos="408"/>
        <w:tab w:val="left" w:pos="2211" w:leader="none"/>
      </w:tabs>
      <w:bidi w:val="0"/>
      <w:spacing w:lineRule="auto" w:line="259" w:before="4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NormalWeb">
    <w:name w:val="Normal (Web)"/>
    <w:basedOn w:val="Standard"/>
    <w:uiPriority w:val="99"/>
    <w:qFormat/>
    <w:pPr>
      <w:spacing w:before="280" w:after="119"/>
    </w:pPr>
    <w:rPr>
      <w:rFonts w:ascii="Arial Unicode MS" w:hAnsi="Arial Unicode MS" w:eastAsia="Arial Unicode MS" w:cs="Arial Unicode MS"/>
    </w:rPr>
  </w:style>
  <w:style w:type="paragraph" w:styleId="04puce3" w:customStyle="1">
    <w:name w:val="04_puce3"/>
    <w:qFormat/>
    <w:pPr>
      <w:widowControl/>
      <w:tabs>
        <w:tab w:val="clear" w:pos="408"/>
        <w:tab w:val="left" w:pos="2495" w:leader="none"/>
      </w:tabs>
      <w:bidi w:val="0"/>
      <w:spacing w:lineRule="auto" w:line="259" w:before="4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Titre1sanssautpage" w:customStyle="1">
    <w:name w:val="Titre 1_sans_saut_page"/>
    <w:basedOn w:val="Titre1"/>
    <w:qFormat/>
    <w:pPr/>
    <w:rPr>
      <w:szCs w:val="32"/>
    </w:rPr>
  </w:style>
  <w:style w:type="paragraph" w:styleId="Ymasque" w:customStyle="1">
    <w:name w:val="y_masque"/>
    <w:qFormat/>
    <w:pPr>
      <w:widowControl/>
      <w:bidi w:val="0"/>
      <w:spacing w:lineRule="auto" w:line="259" w:before="0" w:after="160"/>
      <w:ind w:left="567" w:hanging="0"/>
      <w:jc w:val="left"/>
    </w:pPr>
    <w:rPr>
      <w:rFonts w:ascii="Calibri" w:hAnsi="Calibri" w:eastAsia="" w:cs="" w:asciiTheme="minorHAnsi" w:cstheme="minorBidi" w:eastAsiaTheme="minorEastAsia" w:hAnsiTheme="minorHAnsi"/>
      <w:vanish/>
      <w:color w:val="auto"/>
      <w:kern w:val="0"/>
      <w:sz w:val="16"/>
      <w:szCs w:val="22"/>
      <w:lang w:val="fr-FR" w:eastAsia="fr-FR" w:bidi="ar-SA"/>
    </w:rPr>
  </w:style>
  <w:style w:type="paragraph" w:styleId="08cellulepuce" w:customStyle="1">
    <w:name w:val="08_cellule_puce"/>
    <w:qFormat/>
    <w:pPr>
      <w:widowControl/>
      <w:bidi w:val="0"/>
      <w:spacing w:lineRule="auto" w:line="259" w:before="20" w:after="2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Contents1" w:customStyle="1">
    <w:name w:val="Contents 1"/>
    <w:basedOn w:val="Standard"/>
    <w:qFormat/>
    <w:pPr>
      <w:tabs>
        <w:tab w:val="clear" w:pos="408"/>
        <w:tab w:val="left" w:pos="567" w:leader="none"/>
        <w:tab w:val="right" w:pos="9638" w:leader="dot"/>
      </w:tabs>
      <w:spacing w:before="227" w:after="160"/>
    </w:pPr>
    <w:rPr>
      <w:rFonts w:ascii="Arial" w:hAnsi="Arial" w:eastAsia="Arial" w:cs="Arial"/>
      <w:b/>
      <w:sz w:val="22"/>
      <w:szCs w:val="32"/>
    </w:rPr>
  </w:style>
  <w:style w:type="paragraph" w:styleId="Titre1nonTDM" w:customStyle="1">
    <w:name w:val="Titre1_nonTDM"/>
    <w:basedOn w:val="Standard"/>
    <w:qFormat/>
    <w:pPr>
      <w:pBdr>
        <w:bottom w:val="double" w:sz="2" w:space="1" w:color="000080"/>
      </w:pBdr>
      <w:jc w:val="center"/>
    </w:pPr>
    <w:rPr>
      <w:rFonts w:ascii="Arial Black" w:hAnsi="Arial Black" w:eastAsia="Arial Black" w:cs="Arial Black"/>
      <w:color w:val="000080"/>
      <w:sz w:val="32"/>
    </w:rPr>
  </w:style>
  <w:style w:type="paragraph" w:styleId="Contents2" w:customStyle="1">
    <w:name w:val="Contents 2"/>
    <w:basedOn w:val="Standard"/>
    <w:qFormat/>
    <w:pPr>
      <w:tabs>
        <w:tab w:val="clear" w:pos="408"/>
        <w:tab w:val="left" w:pos="567" w:leader="none"/>
        <w:tab w:val="right" w:pos="9638" w:leader="dot"/>
      </w:tabs>
      <w:spacing w:before="120" w:after="160"/>
    </w:pPr>
    <w:rPr>
      <w:rFonts w:ascii="Arial" w:hAnsi="Arial" w:eastAsia="Arial" w:cs="Arial"/>
      <w:b/>
      <w:bCs/>
      <w:szCs w:val="28"/>
    </w:rPr>
  </w:style>
  <w:style w:type="paragraph" w:styleId="Contents3" w:customStyle="1">
    <w:name w:val="Contents 3"/>
    <w:basedOn w:val="Standard"/>
    <w:qFormat/>
    <w:pPr>
      <w:tabs>
        <w:tab w:val="clear" w:pos="408"/>
        <w:tab w:val="left" w:pos="1701" w:leader="none"/>
        <w:tab w:val="right" w:pos="10205" w:leader="dot"/>
      </w:tabs>
      <w:spacing w:before="20" w:after="160"/>
      <w:ind w:left="567" w:hanging="0"/>
    </w:pPr>
    <w:rPr>
      <w:sz w:val="16"/>
    </w:rPr>
  </w:style>
  <w:style w:type="paragraph" w:styleId="Entteetpieddepage">
    <w:name w:val="En-tête et pied de page"/>
    <w:basedOn w:val="Normal"/>
    <w:qFormat/>
    <w:pPr/>
    <w:rPr/>
  </w:style>
  <w:style w:type="paragraph" w:styleId="Entte">
    <w:name w:val="Header"/>
    <w:basedOn w:val="Standard"/>
    <w:pPr>
      <w:tabs>
        <w:tab w:val="clear" w:pos="408"/>
        <w:tab w:val="center" w:pos="4536" w:leader="none"/>
        <w:tab w:val="right" w:pos="9072" w:leader="none"/>
      </w:tabs>
    </w:pPr>
    <w:rPr/>
  </w:style>
  <w:style w:type="paragraph" w:styleId="Wnommodele" w:customStyle="1">
    <w:name w:val="w_nom_modele"/>
    <w:basedOn w:val="Standard"/>
    <w:qFormat/>
    <w:pPr>
      <w:spacing w:before="60" w:after="60"/>
      <w:jc w:val="right"/>
    </w:pPr>
    <w:rPr>
      <w:rFonts w:ascii="Arial Black" w:hAnsi="Arial Black" w:eastAsia="Arial Black" w:cs="Arial Black"/>
      <w:smallCaps/>
      <w:sz w:val="32"/>
    </w:rPr>
  </w:style>
  <w:style w:type="paragraph" w:styleId="Wdocumentsoustitre" w:customStyle="1">
    <w:name w:val="w_document_sous_titre"/>
    <w:basedOn w:val="Standard"/>
    <w:qFormat/>
    <w:pPr>
      <w:spacing w:before="600" w:after="2400"/>
      <w:ind w:left="1985" w:hanging="0"/>
    </w:pPr>
    <w:rPr>
      <w:sz w:val="36"/>
      <w:szCs w:val="20"/>
    </w:rPr>
  </w:style>
  <w:style w:type="paragraph" w:styleId="Wcoordonneesstructure" w:customStyle="1">
    <w:name w:val="w_coordonnees_structure"/>
    <w:basedOn w:val="Standard"/>
    <w:qFormat/>
    <w:pPr>
      <w:spacing w:before="40" w:after="40"/>
    </w:pPr>
    <w:rPr>
      <w:rFonts w:ascii="Arial" w:hAnsi="Arial" w:eastAsia="Arial" w:cs="Arial"/>
      <w:sz w:val="14"/>
    </w:rPr>
  </w:style>
  <w:style w:type="paragraph" w:styleId="Wentetedroite" w:customStyle="1">
    <w:name w:val="w_en_tete_droite"/>
    <w:basedOn w:val="Standard"/>
    <w:qFormat/>
    <w:pPr>
      <w:tabs>
        <w:tab w:val="clear" w:pos="408"/>
        <w:tab w:val="right" w:pos="9639" w:leader="none"/>
      </w:tabs>
      <w:jc w:val="right"/>
    </w:pPr>
    <w:rPr>
      <w:i/>
      <w:sz w:val="16"/>
    </w:rPr>
  </w:style>
  <w:style w:type="paragraph" w:styleId="Pieddepage">
    <w:name w:val="Footer"/>
    <w:basedOn w:val="Standard"/>
    <w:pPr>
      <w:tabs>
        <w:tab w:val="clear" w:pos="408"/>
        <w:tab w:val="center" w:pos="4536" w:leader="none"/>
        <w:tab w:val="right" w:pos="9072" w:leader="none"/>
      </w:tabs>
    </w:pPr>
    <w:rPr/>
  </w:style>
  <w:style w:type="paragraph" w:styleId="Contents5" w:customStyle="1">
    <w:name w:val="Contents 5"/>
    <w:basedOn w:val="Standard"/>
    <w:qFormat/>
    <w:pPr>
      <w:ind w:left="958" w:hanging="0"/>
    </w:pPr>
    <w:rPr>
      <w:sz w:val="16"/>
      <w:szCs w:val="20"/>
    </w:rPr>
  </w:style>
  <w:style w:type="paragraph" w:styleId="Contents6" w:customStyle="1">
    <w:name w:val="Contents 6"/>
    <w:basedOn w:val="Standard"/>
    <w:qFormat/>
    <w:pPr>
      <w:ind w:left="1202" w:hanging="0"/>
    </w:pPr>
    <w:rPr>
      <w:b/>
      <w:sz w:val="16"/>
      <w:szCs w:val="21"/>
    </w:rPr>
  </w:style>
  <w:style w:type="paragraph" w:styleId="Contents7" w:customStyle="1">
    <w:name w:val="Contents 7"/>
    <w:basedOn w:val="Standard"/>
    <w:qFormat/>
    <w:pPr>
      <w:ind w:left="1440" w:hanging="0"/>
    </w:pPr>
    <w:rPr>
      <w:sz w:val="16"/>
      <w:szCs w:val="21"/>
    </w:rPr>
  </w:style>
  <w:style w:type="paragraph" w:styleId="Contents8" w:customStyle="1">
    <w:name w:val="Contents 8"/>
    <w:basedOn w:val="Standard"/>
    <w:qFormat/>
    <w:pPr>
      <w:ind w:left="1678" w:hanging="0"/>
    </w:pPr>
    <w:rPr>
      <w:sz w:val="16"/>
      <w:szCs w:val="21"/>
    </w:rPr>
  </w:style>
  <w:style w:type="paragraph" w:styleId="Contents9" w:customStyle="1">
    <w:name w:val="Contents 9"/>
    <w:basedOn w:val="Standard"/>
    <w:qFormat/>
    <w:pPr>
      <w:ind w:left="1922" w:hanging="0"/>
    </w:pPr>
    <w:rPr>
      <w:sz w:val="16"/>
      <w:szCs w:val="21"/>
    </w:rPr>
  </w:style>
  <w:style w:type="paragraph" w:styleId="Wdocumenttitre" w:customStyle="1">
    <w:name w:val="w_document_titre"/>
    <w:basedOn w:val="Standard"/>
    <w:qFormat/>
    <w:pPr>
      <w:spacing w:before="360" w:after="120"/>
      <w:ind w:left="1985" w:hanging="0"/>
    </w:pPr>
    <w:rPr>
      <w:sz w:val="44"/>
      <w:szCs w:val="20"/>
    </w:rPr>
  </w:style>
  <w:style w:type="paragraph" w:styleId="05listenumero" w:customStyle="1">
    <w:name w:val="05_liste_numero"/>
    <w:qFormat/>
    <w:pPr>
      <w:widowControl/>
      <w:bidi w:val="0"/>
      <w:spacing w:lineRule="auto" w:line="259" w:before="4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Font5" w:customStyle="1">
    <w:name w:val="font5"/>
    <w:basedOn w:val="Standard"/>
    <w:qFormat/>
    <w:pPr>
      <w:spacing w:before="280" w:after="280"/>
    </w:pPr>
    <w:rPr>
      <w:rFonts w:eastAsia="Arial Unicode MS" w:cs="Arial Unicode MS"/>
      <w:sz w:val="16"/>
      <w:szCs w:val="16"/>
    </w:rPr>
  </w:style>
  <w:style w:type="paragraph" w:styleId="Font6" w:customStyle="1">
    <w:name w:val="font6"/>
    <w:basedOn w:val="Standard"/>
    <w:qFormat/>
    <w:pPr>
      <w:spacing w:before="280" w:after="280"/>
    </w:pPr>
    <w:rPr>
      <w:rFonts w:eastAsia="Arial Unicode MS" w:cs="Arial Unicode MS"/>
      <w:sz w:val="16"/>
      <w:szCs w:val="16"/>
    </w:rPr>
  </w:style>
  <w:style w:type="paragraph" w:styleId="Font7" w:customStyle="1">
    <w:name w:val="font7"/>
    <w:basedOn w:val="Standard"/>
    <w:qFormat/>
    <w:pPr>
      <w:spacing w:before="280" w:after="280"/>
    </w:pPr>
    <w:rPr>
      <w:rFonts w:eastAsia="Arial Unicode MS" w:cs="Arial Unicode MS"/>
      <w:color w:val="FF0000"/>
      <w:sz w:val="16"/>
      <w:szCs w:val="16"/>
    </w:rPr>
  </w:style>
  <w:style w:type="paragraph" w:styleId="Font8" w:customStyle="1">
    <w:name w:val="font8"/>
    <w:basedOn w:val="Standard"/>
    <w:qFormat/>
    <w:pPr>
      <w:spacing w:before="280" w:after="280"/>
    </w:pPr>
    <w:rPr>
      <w:rFonts w:eastAsia="Arial Unicode MS" w:cs="Arial Unicode MS"/>
      <w:b/>
      <w:bCs/>
      <w:i/>
      <w:iCs/>
      <w:color w:val="FF0000"/>
      <w:sz w:val="16"/>
      <w:szCs w:val="16"/>
    </w:rPr>
  </w:style>
  <w:style w:type="paragraph" w:styleId="Font9" w:customStyle="1">
    <w:name w:val="font9"/>
    <w:basedOn w:val="Standard"/>
    <w:qFormat/>
    <w:pPr>
      <w:spacing w:before="280" w:after="280"/>
    </w:pPr>
    <w:rPr>
      <w:rFonts w:eastAsia="Arial Unicode MS" w:cs="Arial Unicode MS"/>
      <w:b/>
      <w:bCs/>
      <w:i/>
      <w:iCs/>
      <w:sz w:val="16"/>
      <w:szCs w:val="16"/>
    </w:rPr>
  </w:style>
  <w:style w:type="paragraph" w:styleId="Font10" w:customStyle="1">
    <w:name w:val="font10"/>
    <w:basedOn w:val="Standard"/>
    <w:qFormat/>
    <w:pPr>
      <w:spacing w:before="280" w:after="280"/>
    </w:pPr>
    <w:rPr>
      <w:rFonts w:eastAsia="Arial Unicode MS" w:cs="Arial Unicode MS"/>
      <w:color w:val="000000"/>
      <w:sz w:val="16"/>
      <w:szCs w:val="16"/>
    </w:rPr>
  </w:style>
  <w:style w:type="paragraph" w:styleId="Font11" w:customStyle="1">
    <w:name w:val="font11"/>
    <w:basedOn w:val="Standard"/>
    <w:qFormat/>
    <w:pPr>
      <w:spacing w:before="280" w:after="280"/>
    </w:pPr>
    <w:rPr>
      <w:rFonts w:eastAsia="Arial Unicode MS" w:cs="Arial Unicode MS"/>
      <w:color w:val="000000"/>
      <w:sz w:val="16"/>
      <w:szCs w:val="16"/>
    </w:rPr>
  </w:style>
  <w:style w:type="paragraph" w:styleId="Font12" w:customStyle="1">
    <w:name w:val="font12"/>
    <w:basedOn w:val="Standard"/>
    <w:qFormat/>
    <w:pPr>
      <w:spacing w:before="280" w:after="280"/>
    </w:pPr>
    <w:rPr>
      <w:rFonts w:eastAsia="Arial Unicode MS" w:cs="Arial Unicode MS"/>
      <w:b/>
      <w:bCs/>
      <w:color w:val="FF0000"/>
      <w:sz w:val="16"/>
      <w:szCs w:val="16"/>
    </w:rPr>
  </w:style>
  <w:style w:type="paragraph" w:styleId="Font13" w:customStyle="1">
    <w:name w:val="font13"/>
    <w:basedOn w:val="Standard"/>
    <w:qFormat/>
    <w:pPr>
      <w:spacing w:before="280" w:after="280"/>
    </w:pPr>
    <w:rPr>
      <w:rFonts w:eastAsia="Arial Unicode MS" w:cs="Arial Unicode MS"/>
      <w:sz w:val="16"/>
      <w:szCs w:val="16"/>
      <w:u w:val="single"/>
    </w:rPr>
  </w:style>
  <w:style w:type="paragraph" w:styleId="Font14" w:customStyle="1">
    <w:name w:val="font14"/>
    <w:basedOn w:val="Standard"/>
    <w:qFormat/>
    <w:pPr>
      <w:spacing w:before="280" w:after="280"/>
    </w:pPr>
    <w:rPr>
      <w:rFonts w:eastAsia="Arial Unicode MS" w:cs="Arial Unicode MS"/>
      <w:color w:val="3366FF"/>
      <w:sz w:val="16"/>
      <w:szCs w:val="16"/>
      <w:u w:val="single"/>
    </w:rPr>
  </w:style>
  <w:style w:type="paragraph" w:styleId="Font15" w:customStyle="1">
    <w:name w:val="font15"/>
    <w:basedOn w:val="Standard"/>
    <w:qFormat/>
    <w:pPr>
      <w:spacing w:before="280" w:after="280"/>
    </w:pPr>
    <w:rPr>
      <w:rFonts w:eastAsia="Arial Unicode MS" w:cs="Arial Unicode MS"/>
      <w:i/>
      <w:iCs/>
      <w:color w:val="FF0000"/>
      <w:sz w:val="16"/>
      <w:szCs w:val="16"/>
    </w:rPr>
  </w:style>
  <w:style w:type="paragraph" w:styleId="Font16" w:customStyle="1">
    <w:name w:val="font16"/>
    <w:basedOn w:val="Standard"/>
    <w:qFormat/>
    <w:pPr>
      <w:spacing w:before="280" w:after="280"/>
    </w:pPr>
    <w:rPr>
      <w:rFonts w:ascii="Tahoma" w:hAnsi="Tahoma" w:eastAsia="Arial Unicode MS" w:cs="Tahoma"/>
      <w:color w:val="000000"/>
      <w:sz w:val="16"/>
      <w:szCs w:val="16"/>
    </w:rPr>
  </w:style>
  <w:style w:type="paragraph" w:styleId="Font17" w:customStyle="1">
    <w:name w:val="font17"/>
    <w:basedOn w:val="Standard"/>
    <w:qFormat/>
    <w:pPr>
      <w:spacing w:before="280" w:after="280"/>
    </w:pPr>
    <w:rPr>
      <w:rFonts w:ascii="Tahoma" w:hAnsi="Tahoma" w:eastAsia="Arial Unicode MS" w:cs="Tahoma"/>
      <w:b/>
      <w:bCs/>
      <w:color w:val="000000"/>
      <w:sz w:val="16"/>
      <w:szCs w:val="16"/>
    </w:rPr>
  </w:style>
  <w:style w:type="paragraph" w:styleId="Xl26" w:customStyle="1">
    <w:name w:val="xl26"/>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27" w:customStyle="1">
    <w:name w:val="xl27"/>
    <w:basedOn w:val="Standard"/>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top"/>
    </w:pPr>
    <w:rPr>
      <w:rFonts w:eastAsia="Arial Unicode MS" w:cs="Arial Unicode MS"/>
      <w:sz w:val="16"/>
      <w:szCs w:val="16"/>
    </w:rPr>
  </w:style>
  <w:style w:type="paragraph" w:styleId="Xl28" w:customStyle="1">
    <w:name w:val="xl28"/>
    <w:basedOn w:val="Standard"/>
    <w:qFormat/>
    <w:pPr>
      <w:pBdr>
        <w:top w:val="single" w:sz="4" w:space="0" w:color="000000"/>
        <w:left w:val="single" w:sz="4" w:space="0" w:color="000000"/>
        <w:bottom w:val="single" w:sz="4" w:space="0" w:color="000000"/>
        <w:right w:val="single" w:sz="4" w:space="0" w:color="000000"/>
      </w:pBdr>
      <w:spacing w:before="280" w:after="280"/>
      <w:textAlignment w:val="top"/>
    </w:pPr>
    <w:rPr>
      <w:rFonts w:eastAsia="Arial Unicode MS" w:cs="Arial Unicode MS"/>
      <w:sz w:val="16"/>
      <w:szCs w:val="16"/>
    </w:rPr>
  </w:style>
  <w:style w:type="paragraph" w:styleId="Xl29" w:customStyle="1">
    <w:name w:val="xl29"/>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30" w:customStyle="1">
    <w:name w:val="xl30"/>
    <w:basedOn w:val="Standard"/>
    <w:qFormat/>
    <w:pPr>
      <w:pBdr>
        <w:top w:val="single" w:sz="4" w:space="0" w:color="000000"/>
        <w:left w:val="single" w:sz="4" w:space="0" w:color="000000"/>
        <w:bottom w:val="single" w:sz="4" w:space="0" w:color="000000"/>
        <w:right w:val="single" w:sz="4" w:space="0" w:color="000000"/>
      </w:pBdr>
      <w:spacing w:before="280" w:after="280"/>
      <w:textAlignment w:val="top"/>
    </w:pPr>
    <w:rPr>
      <w:rFonts w:eastAsia="Arial Unicode MS" w:cs="Arial Unicode MS"/>
      <w:sz w:val="16"/>
      <w:szCs w:val="16"/>
    </w:rPr>
  </w:style>
  <w:style w:type="paragraph" w:styleId="Xl31" w:customStyle="1">
    <w:name w:val="xl31"/>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32" w:customStyle="1">
    <w:name w:val="xl32"/>
    <w:basedOn w:val="Standard"/>
    <w:qFormat/>
    <w:pPr>
      <w:pBdr>
        <w:top w:val="single" w:sz="4" w:space="0" w:color="000000"/>
        <w:left w:val="single" w:sz="4" w:space="0" w:color="000000"/>
        <w:bottom w:val="single" w:sz="4" w:space="0" w:color="000000"/>
        <w:right w:val="single" w:sz="4" w:space="0" w:color="000000"/>
      </w:pBdr>
      <w:spacing w:before="280" w:after="280"/>
      <w:textAlignment w:val="top"/>
    </w:pPr>
    <w:rPr>
      <w:rFonts w:eastAsia="Arial Unicode MS" w:cs="Arial Unicode MS"/>
      <w:sz w:val="16"/>
      <w:szCs w:val="16"/>
    </w:rPr>
  </w:style>
  <w:style w:type="paragraph" w:styleId="Xl33" w:customStyle="1">
    <w:name w:val="xl33"/>
    <w:basedOn w:val="Standard"/>
    <w:qFormat/>
    <w:pPr>
      <w:pBdr>
        <w:top w:val="single" w:sz="4" w:space="0" w:color="000000"/>
        <w:left w:val="single" w:sz="4" w:space="0" w:color="000000"/>
        <w:bottom w:val="single" w:sz="4" w:space="0" w:color="000000"/>
        <w:right w:val="single" w:sz="4" w:space="0" w:color="000000"/>
      </w:pBdr>
      <w:spacing w:before="280" w:after="280"/>
      <w:textAlignment w:val="top"/>
    </w:pPr>
    <w:rPr>
      <w:rFonts w:eastAsia="Arial Unicode MS" w:cs="Arial Unicode MS"/>
      <w:sz w:val="16"/>
      <w:szCs w:val="16"/>
    </w:rPr>
  </w:style>
  <w:style w:type="paragraph" w:styleId="Xl34" w:customStyle="1">
    <w:name w:val="xl34"/>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35" w:customStyle="1">
    <w:name w:val="xl35"/>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top"/>
    </w:pPr>
    <w:rPr>
      <w:rFonts w:eastAsia="Arial Unicode MS" w:cs="Arial Unicode MS"/>
      <w:sz w:val="16"/>
      <w:szCs w:val="16"/>
    </w:rPr>
  </w:style>
  <w:style w:type="paragraph" w:styleId="Xl36" w:customStyle="1">
    <w:name w:val="xl36"/>
    <w:basedOn w:val="Standard"/>
    <w:qFormat/>
    <w:pPr>
      <w:pBdr>
        <w:top w:val="single" w:sz="4" w:space="0" w:color="000000"/>
        <w:left w:val="single" w:sz="4" w:space="0" w:color="000000"/>
        <w:bottom w:val="single" w:sz="4" w:space="0" w:color="000000"/>
        <w:right w:val="single" w:sz="4" w:space="0" w:color="000000"/>
      </w:pBdr>
      <w:spacing w:before="280" w:after="280"/>
      <w:textAlignment w:val="top"/>
    </w:pPr>
    <w:rPr>
      <w:rFonts w:eastAsia="Arial Unicode MS" w:cs="Arial Unicode MS"/>
      <w:sz w:val="16"/>
      <w:szCs w:val="16"/>
    </w:rPr>
  </w:style>
  <w:style w:type="paragraph" w:styleId="Xl37" w:customStyle="1">
    <w:name w:val="xl37"/>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top"/>
    </w:pPr>
    <w:rPr>
      <w:rFonts w:eastAsia="Arial Unicode MS" w:cs="Arial Unicode MS"/>
      <w:sz w:val="16"/>
      <w:szCs w:val="16"/>
    </w:rPr>
  </w:style>
  <w:style w:type="paragraph" w:styleId="Xl38" w:customStyle="1">
    <w:name w:val="xl38"/>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top"/>
    </w:pPr>
    <w:rPr>
      <w:rFonts w:eastAsia="Arial Unicode MS" w:cs="Arial Unicode MS"/>
      <w:color w:val="FF0000"/>
      <w:sz w:val="16"/>
      <w:szCs w:val="16"/>
    </w:rPr>
  </w:style>
  <w:style w:type="paragraph" w:styleId="Xl39" w:customStyle="1">
    <w:name w:val="xl39"/>
    <w:basedOn w:val="Standard"/>
    <w:qFormat/>
    <w:pPr>
      <w:pBdr>
        <w:top w:val="single" w:sz="4" w:space="0" w:color="000000"/>
        <w:left w:val="single" w:sz="4" w:space="0" w:color="000000"/>
        <w:bottom w:val="single" w:sz="4" w:space="0" w:color="000000"/>
        <w:right w:val="single" w:sz="4" w:space="0" w:color="000000"/>
      </w:pBdr>
      <w:spacing w:before="280" w:after="280"/>
      <w:textAlignment w:val="top"/>
    </w:pPr>
    <w:rPr>
      <w:rFonts w:eastAsia="Arial Unicode MS" w:cs="Arial Unicode MS"/>
      <w:sz w:val="16"/>
      <w:szCs w:val="16"/>
    </w:rPr>
  </w:style>
  <w:style w:type="paragraph" w:styleId="Xl40" w:customStyle="1">
    <w:name w:val="xl40"/>
    <w:basedOn w:val="Standard"/>
    <w:qFormat/>
    <w:pPr>
      <w:pBdr>
        <w:top w:val="single" w:sz="4" w:space="0" w:color="000000"/>
        <w:left w:val="single" w:sz="4" w:space="0" w:color="000000"/>
        <w:bottom w:val="single" w:sz="4" w:space="0" w:color="000000"/>
        <w:right w:val="single" w:sz="4" w:space="0" w:color="000000"/>
      </w:pBdr>
      <w:spacing w:before="280" w:after="280"/>
      <w:textAlignment w:val="top"/>
    </w:pPr>
    <w:rPr>
      <w:rFonts w:eastAsia="Arial Unicode MS" w:cs="Arial Unicode MS"/>
      <w:sz w:val="16"/>
      <w:szCs w:val="16"/>
      <w:u w:val="single"/>
    </w:rPr>
  </w:style>
  <w:style w:type="paragraph" w:styleId="Xl41" w:customStyle="1">
    <w:name w:val="xl41"/>
    <w:basedOn w:val="Standard"/>
    <w:qFormat/>
    <w:pPr>
      <w:pBdr>
        <w:top w:val="single" w:sz="4" w:space="0" w:color="000000"/>
        <w:left w:val="single" w:sz="4" w:space="0" w:color="000000"/>
        <w:bottom w:val="single" w:sz="4" w:space="0" w:color="000000"/>
        <w:right w:val="single" w:sz="4" w:space="0" w:color="000000"/>
      </w:pBdr>
      <w:spacing w:before="280" w:after="280"/>
      <w:textAlignment w:val="center"/>
    </w:pPr>
    <w:rPr>
      <w:rFonts w:eastAsia="Arial Unicode MS" w:cs="Arial Unicode MS"/>
      <w:sz w:val="16"/>
      <w:szCs w:val="16"/>
    </w:rPr>
  </w:style>
  <w:style w:type="paragraph" w:styleId="Xl42" w:customStyle="1">
    <w:name w:val="xl42"/>
    <w:basedOn w:val="Standard"/>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top"/>
    </w:pPr>
    <w:rPr>
      <w:rFonts w:eastAsia="Arial Unicode MS" w:cs="Arial Unicode MS"/>
      <w:sz w:val="16"/>
      <w:szCs w:val="16"/>
    </w:rPr>
  </w:style>
  <w:style w:type="paragraph" w:styleId="Xl43" w:customStyle="1">
    <w:name w:val="xl43"/>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44" w:customStyle="1">
    <w:name w:val="xl44"/>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45" w:customStyle="1">
    <w:name w:val="xl45"/>
    <w:basedOn w:val="Standard"/>
    <w:qFormat/>
    <w:pPr>
      <w:spacing w:before="280" w:after="280"/>
      <w:jc w:val="center"/>
      <w:textAlignment w:val="top"/>
    </w:pPr>
    <w:rPr>
      <w:rFonts w:eastAsia="Arial Unicode MS" w:cs="Arial Unicode MS"/>
      <w:sz w:val="16"/>
      <w:szCs w:val="16"/>
    </w:rPr>
  </w:style>
  <w:style w:type="paragraph" w:styleId="Xl46" w:customStyle="1">
    <w:name w:val="xl46"/>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47" w:customStyle="1">
    <w:name w:val="xl47"/>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48" w:customStyle="1">
    <w:name w:val="xl48"/>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49" w:customStyle="1">
    <w:name w:val="xl49"/>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50" w:customStyle="1">
    <w:name w:val="xl50"/>
    <w:basedOn w:val="Standard"/>
    <w:qFormat/>
    <w:pPr>
      <w:shd w:val="clear" w:color="auto" w:fill="000080"/>
      <w:spacing w:before="280" w:after="280"/>
      <w:jc w:val="center"/>
      <w:textAlignment w:val="center"/>
    </w:pPr>
    <w:rPr>
      <w:rFonts w:eastAsia="Arial Unicode MS" w:cs="Arial Unicode MS"/>
      <w:b/>
      <w:bCs/>
      <w:color w:val="FFFF00"/>
      <w:sz w:val="16"/>
      <w:szCs w:val="16"/>
    </w:rPr>
  </w:style>
  <w:style w:type="paragraph" w:styleId="Xl51" w:customStyle="1">
    <w:name w:val="xl51"/>
    <w:basedOn w:val="Standard"/>
    <w:qFormat/>
    <w:pPr>
      <w:pBdr>
        <w:top w:val="single" w:sz="4" w:space="0" w:color="000000"/>
        <w:left w:val="single" w:sz="4" w:space="0" w:color="000000"/>
        <w:bottom w:val="single" w:sz="4" w:space="0" w:color="000000"/>
        <w:right w:val="single" w:sz="4" w:space="0" w:color="000000"/>
      </w:pBdr>
      <w:shd w:val="clear" w:color="auto" w:fill="000080"/>
      <w:spacing w:before="280" w:after="280"/>
      <w:jc w:val="center"/>
      <w:textAlignment w:val="center"/>
    </w:pPr>
    <w:rPr>
      <w:rFonts w:eastAsia="Arial Unicode MS" w:cs="Arial Unicode MS"/>
      <w:b/>
      <w:bCs/>
      <w:color w:val="FFFF00"/>
      <w:sz w:val="16"/>
      <w:szCs w:val="16"/>
    </w:rPr>
  </w:style>
  <w:style w:type="paragraph" w:styleId="Xl52" w:customStyle="1">
    <w:name w:val="xl52"/>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53" w:customStyle="1">
    <w:name w:val="xl53"/>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top"/>
    </w:pPr>
    <w:rPr>
      <w:rFonts w:eastAsia="Arial Unicode MS" w:cs="Arial Unicode MS"/>
      <w:sz w:val="16"/>
      <w:szCs w:val="16"/>
    </w:rPr>
  </w:style>
  <w:style w:type="paragraph" w:styleId="Xl54" w:customStyle="1">
    <w:name w:val="xl54"/>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55" w:customStyle="1">
    <w:name w:val="xl55"/>
    <w:basedOn w:val="Standard"/>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top"/>
    </w:pPr>
    <w:rPr>
      <w:rFonts w:eastAsia="Arial Unicode MS" w:cs="Arial Unicode MS"/>
      <w:sz w:val="16"/>
      <w:szCs w:val="16"/>
    </w:rPr>
  </w:style>
  <w:style w:type="paragraph" w:styleId="Xl56" w:customStyle="1">
    <w:name w:val="xl56"/>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top"/>
    </w:pPr>
    <w:rPr>
      <w:rFonts w:eastAsia="Arial Unicode MS" w:cs="Arial Unicode MS"/>
      <w:sz w:val="16"/>
      <w:szCs w:val="16"/>
    </w:rPr>
  </w:style>
  <w:style w:type="paragraph" w:styleId="Xl57" w:customStyle="1">
    <w:name w:val="xl57"/>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58" w:customStyle="1">
    <w:name w:val="xl58"/>
    <w:basedOn w:val="Standard"/>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top"/>
    </w:pPr>
    <w:rPr>
      <w:rFonts w:eastAsia="Arial Unicode MS" w:cs="Arial Unicode MS"/>
      <w:sz w:val="16"/>
      <w:szCs w:val="16"/>
    </w:rPr>
  </w:style>
  <w:style w:type="paragraph" w:styleId="Xl59" w:customStyle="1">
    <w:name w:val="xl59"/>
    <w:basedOn w:val="Standard"/>
    <w:qFormat/>
    <w:pPr>
      <w:shd w:val="clear" w:color="auto" w:fill="FFFF00"/>
      <w:spacing w:before="280" w:after="280"/>
      <w:jc w:val="center"/>
      <w:textAlignment w:val="top"/>
    </w:pPr>
    <w:rPr>
      <w:rFonts w:eastAsia="Arial Unicode MS" w:cs="Arial Unicode MS"/>
      <w:color w:val="FF0000"/>
      <w:sz w:val="16"/>
      <w:szCs w:val="16"/>
    </w:rPr>
  </w:style>
  <w:style w:type="paragraph" w:styleId="Xl60" w:customStyle="1">
    <w:name w:val="xl60"/>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top"/>
    </w:pPr>
    <w:rPr>
      <w:rFonts w:eastAsia="Arial Unicode MS" w:cs="Arial Unicode MS"/>
      <w:sz w:val="16"/>
      <w:szCs w:val="16"/>
    </w:rPr>
  </w:style>
  <w:style w:type="paragraph" w:styleId="Xl61" w:customStyle="1">
    <w:name w:val="xl61"/>
    <w:basedOn w:val="Standard"/>
    <w:qFormat/>
    <w:pPr>
      <w:shd w:val="clear" w:color="auto" w:fill="FFFF00"/>
      <w:spacing w:before="280" w:after="280"/>
      <w:textAlignment w:val="top"/>
    </w:pPr>
    <w:rPr>
      <w:rFonts w:eastAsia="Arial Unicode MS" w:cs="Arial Unicode MS"/>
      <w:sz w:val="16"/>
      <w:szCs w:val="16"/>
    </w:rPr>
  </w:style>
  <w:style w:type="paragraph" w:styleId="Xl62" w:customStyle="1">
    <w:name w:val="xl62"/>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63" w:customStyle="1">
    <w:name w:val="xl63"/>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64" w:customStyle="1">
    <w:name w:val="xl64"/>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65" w:customStyle="1">
    <w:name w:val="xl65"/>
    <w:basedOn w:val="Standard"/>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eastAsia="Arial Unicode MS" w:cs="Arial Unicode MS"/>
      <w:sz w:val="16"/>
      <w:szCs w:val="16"/>
    </w:rPr>
  </w:style>
  <w:style w:type="paragraph" w:styleId="Xl66" w:customStyle="1">
    <w:name w:val="xl66"/>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top"/>
    </w:pPr>
    <w:rPr>
      <w:rFonts w:eastAsia="Arial Unicode MS" w:cs="Arial Unicode MS"/>
      <w:sz w:val="16"/>
      <w:szCs w:val="16"/>
    </w:rPr>
  </w:style>
  <w:style w:type="paragraph" w:styleId="Xl67" w:customStyle="1">
    <w:name w:val="xl67"/>
    <w:basedOn w:val="Standard"/>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top"/>
    </w:pPr>
    <w:rPr>
      <w:rFonts w:eastAsia="Arial Unicode MS" w:cs="Arial Unicode MS"/>
      <w:sz w:val="16"/>
      <w:szCs w:val="16"/>
    </w:rPr>
  </w:style>
  <w:style w:type="paragraph" w:styleId="Contenudecadre" w:customStyle="1">
    <w:name w:val="Contenu de cadre"/>
    <w:basedOn w:val="Textbody"/>
    <w:qFormat/>
    <w:pPr/>
    <w:rPr/>
  </w:style>
  <w:style w:type="paragraph" w:styleId="Contenudetableau" w:customStyle="1">
    <w:name w:val="Contenu de tableau"/>
    <w:basedOn w:val="Standard"/>
    <w:qFormat/>
    <w:pPr>
      <w:suppressLineNumbers/>
      <w:snapToGrid w:val="false"/>
    </w:pPr>
    <w:rPr>
      <w:rFonts w:ascii="Arial" w:hAnsi="Arial" w:eastAsia="Arial" w:cs="Arial"/>
      <w:sz w:val="20"/>
    </w:rPr>
  </w:style>
  <w:style w:type="paragraph" w:styleId="Titredetableau" w:customStyle="1">
    <w:name w:val="Titre de tableau"/>
    <w:basedOn w:val="Contenudetableau"/>
    <w:qFormat/>
    <w:pPr>
      <w:jc w:val="center"/>
    </w:pPr>
    <w:rPr>
      <w:b/>
      <w:bCs/>
    </w:rPr>
  </w:style>
  <w:style w:type="paragraph" w:styleId="Tabledesmatiresniveau10" w:customStyle="1">
    <w:name w:val="Table des matières niveau 10"/>
    <w:basedOn w:val="Rpertoire"/>
    <w:qFormat/>
    <w:pPr>
      <w:tabs>
        <w:tab w:val="clear" w:pos="408"/>
        <w:tab w:val="right" w:pos="12184" w:leader="dot"/>
      </w:tabs>
      <w:ind w:left="2547" w:hanging="0"/>
    </w:pPr>
    <w:rPr/>
  </w:style>
  <w:style w:type="paragraph" w:styleId="Titre10" w:customStyle="1">
    <w:name w:val="Titre 10"/>
    <w:basedOn w:val="Titreprincipal"/>
    <w:next w:val="Textbody"/>
    <w:qFormat/>
    <w:pPr>
      <w:numPr>
        <w:ilvl w:val="0"/>
        <w:numId w:val="1"/>
      </w:numPr>
    </w:pPr>
    <w:rPr>
      <w:b/>
      <w:bCs/>
      <w:sz w:val="21"/>
      <w:szCs w:val="21"/>
    </w:rPr>
  </w:style>
  <w:style w:type="paragraph" w:styleId="Objetavecextrmitdeflche" w:customStyle="1">
    <w:name w:val="Objet avec extrémité de flèche"/>
    <w:basedOn w:val="Standard"/>
    <w:qFormat/>
    <w:pPr/>
    <w:rPr/>
  </w:style>
  <w:style w:type="paragraph" w:styleId="Objetavecombre" w:customStyle="1">
    <w:name w:val="Objet avec ombre"/>
    <w:basedOn w:val="Standard"/>
    <w:qFormat/>
    <w:pPr/>
    <w:rPr/>
  </w:style>
  <w:style w:type="paragraph" w:styleId="Objetsansremplissage" w:customStyle="1">
    <w:name w:val="Objet sans remplissage"/>
    <w:basedOn w:val="Standard"/>
    <w:qFormat/>
    <w:pPr/>
    <w:rPr/>
  </w:style>
  <w:style w:type="paragraph" w:styleId="Texte" w:customStyle="1">
    <w:name w:val="Texte"/>
    <w:basedOn w:val="Caption"/>
    <w:qFormat/>
    <w:pPr/>
    <w:rPr/>
  </w:style>
  <w:style w:type="paragraph" w:styleId="Corpsdetextejustifi" w:customStyle="1">
    <w:name w:val="Corps de texte justifié"/>
    <w:basedOn w:val="Standard"/>
    <w:qFormat/>
    <w:pPr/>
    <w:rPr/>
  </w:style>
  <w:style w:type="paragraph" w:styleId="Retraitdepremireligne" w:customStyle="1">
    <w:name w:val="Body Text First Indent"/>
    <w:basedOn w:val="Standard"/>
    <w:pPr>
      <w:ind w:firstLine="340"/>
    </w:pPr>
    <w:rPr/>
  </w:style>
  <w:style w:type="paragraph" w:styleId="Titre31" w:customStyle="1">
    <w:name w:val="Titre3"/>
    <w:basedOn w:val="Standard"/>
    <w:qFormat/>
    <w:pPr/>
    <w:rPr/>
  </w:style>
  <w:style w:type="paragraph" w:styleId="Titre41" w:customStyle="1">
    <w:name w:val="Titre4"/>
    <w:basedOn w:val="Standard"/>
    <w:qFormat/>
    <w:pPr>
      <w:jc w:val="center"/>
    </w:pPr>
    <w:rPr/>
  </w:style>
  <w:style w:type="paragraph" w:styleId="Titre51" w:customStyle="1">
    <w:name w:val="Titre5"/>
    <w:basedOn w:val="Standard"/>
    <w:qFormat/>
    <w:pPr>
      <w:spacing w:before="57" w:after="57"/>
      <w:ind w:right="113" w:hanging="0"/>
      <w:jc w:val="center"/>
    </w:pPr>
    <w:rPr/>
  </w:style>
  <w:style w:type="paragraph" w:styleId="Titre11" w:customStyle="1">
    <w:name w:val="Titre1"/>
    <w:basedOn w:val="Standard"/>
    <w:qFormat/>
    <w:pPr>
      <w:spacing w:before="238" w:after="119"/>
    </w:pPr>
    <w:rPr/>
  </w:style>
  <w:style w:type="paragraph" w:styleId="Titre21" w:customStyle="1">
    <w:name w:val="Titre2"/>
    <w:basedOn w:val="Standard"/>
    <w:qFormat/>
    <w:pPr>
      <w:spacing w:before="238" w:after="119"/>
    </w:pPr>
    <w:rPr/>
  </w:style>
  <w:style w:type="paragraph" w:styleId="Lignedecote" w:customStyle="1">
    <w:name w:val="Ligne de cote"/>
    <w:basedOn w:val="Standard"/>
    <w:qFormat/>
    <w:pPr/>
    <w:rPr/>
  </w:style>
  <w:style w:type="paragraph" w:styleId="StandardLTGliederung1" w:customStyle="1">
    <w:name w:val="Standard~LT~Gliederung 1"/>
    <w:qFormat/>
    <w:pPr>
      <w:widowControl/>
      <w:bidi w:val="0"/>
      <w:spacing w:lineRule="auto" w:line="259" w:before="0" w:after="283"/>
      <w:jc w:val="left"/>
    </w:pPr>
    <w:rPr>
      <w:rFonts w:ascii="Tahoma" w:hAnsi="Tahoma" w:eastAsia="Tahoma" w:cs="" w:cstheme="minorBidi"/>
      <w:color w:val="auto"/>
      <w:kern w:val="0"/>
      <w:sz w:val="64"/>
      <w:szCs w:val="64"/>
      <w:lang w:val="fr-FR" w:eastAsia="fr-FR" w:bidi="ar-SA"/>
    </w:rPr>
  </w:style>
  <w:style w:type="paragraph" w:styleId="StandardLTGliederung2" w:customStyle="1">
    <w:name w:val="Standard~LT~Gliederung 2"/>
    <w:basedOn w:val="StandardLTGliederung1"/>
    <w:qFormat/>
    <w:pPr>
      <w:spacing w:before="0" w:after="227"/>
    </w:pPr>
    <w:rPr>
      <w:sz w:val="56"/>
      <w:szCs w:val="56"/>
    </w:rPr>
  </w:style>
  <w:style w:type="paragraph" w:styleId="StandardLTGliederung3" w:customStyle="1">
    <w:name w:val="Standard~LT~Gliederung 3"/>
    <w:basedOn w:val="StandardLTGliederung2"/>
    <w:qFormat/>
    <w:pPr>
      <w:spacing w:before="0" w:after="170"/>
    </w:pPr>
    <w:rPr>
      <w:sz w:val="48"/>
      <w:szCs w:val="48"/>
    </w:rPr>
  </w:style>
  <w:style w:type="paragraph" w:styleId="StandardLTGliederung4" w:customStyle="1">
    <w:name w:val="Standard~LT~Gliederung 4"/>
    <w:basedOn w:val="StandardLTGliederung3"/>
    <w:qFormat/>
    <w:pPr>
      <w:spacing w:before="0" w:after="113"/>
    </w:pPr>
    <w:rPr>
      <w:sz w:val="40"/>
      <w:szCs w:val="40"/>
    </w:rPr>
  </w:style>
  <w:style w:type="paragraph" w:styleId="StandardLTGliederung5" w:customStyle="1">
    <w:name w:val="Standard~LT~Gliederung 5"/>
    <w:basedOn w:val="StandardLTGliederung4"/>
    <w:qFormat/>
    <w:pPr>
      <w:spacing w:before="0" w:after="57"/>
    </w:pPr>
    <w:rPr/>
  </w:style>
  <w:style w:type="paragraph" w:styleId="StandardLTGliederung6" w:customStyle="1">
    <w:name w:val="Standard~LT~Gliederung 6"/>
    <w:basedOn w:val="StandardLTGliederung5"/>
    <w:qFormat/>
    <w:pPr/>
    <w:rPr/>
  </w:style>
  <w:style w:type="paragraph" w:styleId="StandardLTGliederung7" w:customStyle="1">
    <w:name w:val="Standard~LT~Gliederung 7"/>
    <w:basedOn w:val="StandardLTGliederung6"/>
    <w:qFormat/>
    <w:pPr/>
    <w:rPr/>
  </w:style>
  <w:style w:type="paragraph" w:styleId="StandardLTGliederung8" w:customStyle="1">
    <w:name w:val="Standard~LT~Gliederung 8"/>
    <w:basedOn w:val="StandardLTGliederung7"/>
    <w:qFormat/>
    <w:pPr/>
    <w:rPr/>
  </w:style>
  <w:style w:type="paragraph" w:styleId="StandardLTGliederung9" w:customStyle="1">
    <w:name w:val="Standard~LT~Gliederung 9"/>
    <w:basedOn w:val="StandardLTGliederung8"/>
    <w:qFormat/>
    <w:pPr/>
    <w:rPr/>
  </w:style>
  <w:style w:type="paragraph" w:styleId="StandardLTTitel" w:customStyle="1">
    <w:name w:val="Standard~LT~Titel"/>
    <w:qFormat/>
    <w:pPr>
      <w:widowControl/>
      <w:bidi w:val="0"/>
      <w:spacing w:lineRule="auto" w:line="259" w:before="0" w:after="160"/>
      <w:jc w:val="center"/>
    </w:pPr>
    <w:rPr>
      <w:rFonts w:ascii="Tahoma" w:hAnsi="Tahoma" w:eastAsia="Tahoma" w:cs="" w:cstheme="minorBidi"/>
      <w:color w:val="auto"/>
      <w:kern w:val="0"/>
      <w:sz w:val="88"/>
      <w:szCs w:val="88"/>
      <w:lang w:val="fr-FR" w:eastAsia="fr-FR" w:bidi="ar-SA"/>
    </w:rPr>
  </w:style>
  <w:style w:type="paragraph" w:styleId="StandardLTUntertitel" w:customStyle="1">
    <w:name w:val="Standard~LT~Untertitel"/>
    <w:qFormat/>
    <w:pPr>
      <w:widowControl/>
      <w:bidi w:val="0"/>
      <w:spacing w:lineRule="auto" w:line="259" w:before="0" w:after="160"/>
      <w:jc w:val="center"/>
    </w:pPr>
    <w:rPr>
      <w:rFonts w:ascii="Tahoma" w:hAnsi="Tahoma" w:eastAsia="Tahoma" w:cs="" w:cstheme="minorBidi"/>
      <w:color w:val="auto"/>
      <w:kern w:val="0"/>
      <w:sz w:val="64"/>
      <w:szCs w:val="64"/>
      <w:lang w:val="fr-FR" w:eastAsia="fr-FR" w:bidi="ar-SA"/>
    </w:rPr>
  </w:style>
  <w:style w:type="paragraph" w:styleId="StandardLTNotizen" w:customStyle="1">
    <w:name w:val="Standard~LT~Notizen"/>
    <w:qFormat/>
    <w:pPr>
      <w:widowControl/>
      <w:bidi w:val="0"/>
      <w:spacing w:lineRule="auto" w:line="259" w:before="0" w:after="160"/>
      <w:ind w:left="340" w:hanging="340"/>
      <w:jc w:val="left"/>
    </w:pPr>
    <w:rPr>
      <w:rFonts w:ascii="Tahoma" w:hAnsi="Tahoma" w:eastAsia="Tahoma" w:cs="" w:cstheme="minorBidi"/>
      <w:color w:val="auto"/>
      <w:kern w:val="0"/>
      <w:sz w:val="40"/>
      <w:szCs w:val="40"/>
      <w:lang w:val="fr-FR" w:eastAsia="fr-FR" w:bidi="ar-SA"/>
    </w:rPr>
  </w:style>
  <w:style w:type="paragraph" w:styleId="StandardLTHintergrundobjekte" w:customStyle="1">
    <w:name w:val="Standard~LT~Hintergrundobjekte"/>
    <w:qFormat/>
    <w:pPr>
      <w:widowControl/>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StandardLTHintergrund" w:customStyle="1">
    <w:name w:val="Standard~LT~Hintergrund"/>
    <w:qFormat/>
    <w:pPr>
      <w:widowControl/>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Default" w:customStyle="1">
    <w:name w:val="default"/>
    <w:qFormat/>
    <w:pPr>
      <w:widowControl/>
      <w:bidi w:val="0"/>
      <w:spacing w:lineRule="atLeast" w:line="200" w:before="0" w:after="160"/>
      <w:jc w:val="left"/>
    </w:pPr>
    <w:rPr>
      <w:rFonts w:ascii="Tahoma" w:hAnsi="Tahoma" w:eastAsia="Tahoma" w:cs="" w:cstheme="minorBidi"/>
      <w:color w:val="auto"/>
      <w:kern w:val="0"/>
      <w:sz w:val="36"/>
      <w:szCs w:val="36"/>
      <w:lang w:val="fr-FR" w:eastAsia="fr-FR" w:bidi="ar-SA"/>
    </w:rPr>
  </w:style>
  <w:style w:type="paragraph" w:styleId="Blue1" w:customStyle="1">
    <w:name w:val="blue1"/>
    <w:basedOn w:val="Default"/>
    <w:qFormat/>
    <w:pPr/>
    <w:rPr/>
  </w:style>
  <w:style w:type="paragraph" w:styleId="Blue2" w:customStyle="1">
    <w:name w:val="blue2"/>
    <w:basedOn w:val="Default"/>
    <w:qFormat/>
    <w:pPr/>
    <w:rPr/>
  </w:style>
  <w:style w:type="paragraph" w:styleId="Blue3" w:customStyle="1">
    <w:name w:val="blue3"/>
    <w:basedOn w:val="Default"/>
    <w:qFormat/>
    <w:pPr/>
    <w:rPr/>
  </w:style>
  <w:style w:type="paragraph" w:styleId="Bw1" w:customStyle="1">
    <w:name w:val="bw1"/>
    <w:basedOn w:val="Default"/>
    <w:qFormat/>
    <w:pPr/>
    <w:rPr/>
  </w:style>
  <w:style w:type="paragraph" w:styleId="Bw2" w:customStyle="1">
    <w:name w:val="bw2"/>
    <w:basedOn w:val="Default"/>
    <w:qFormat/>
    <w:pPr/>
    <w:rPr/>
  </w:style>
  <w:style w:type="paragraph" w:styleId="Bw3" w:customStyle="1">
    <w:name w:val="bw3"/>
    <w:basedOn w:val="Default"/>
    <w:qFormat/>
    <w:pPr/>
    <w:rPr/>
  </w:style>
  <w:style w:type="paragraph" w:styleId="Orange1" w:customStyle="1">
    <w:name w:val="orange1"/>
    <w:basedOn w:val="Default"/>
    <w:qFormat/>
    <w:pPr/>
    <w:rPr/>
  </w:style>
  <w:style w:type="paragraph" w:styleId="Orange2" w:customStyle="1">
    <w:name w:val="orange2"/>
    <w:basedOn w:val="Default"/>
    <w:qFormat/>
    <w:pPr/>
    <w:rPr/>
  </w:style>
  <w:style w:type="paragraph" w:styleId="Orange3" w:customStyle="1">
    <w:name w:val="orange3"/>
    <w:basedOn w:val="Default"/>
    <w:qFormat/>
    <w:pPr/>
    <w:rPr/>
  </w:style>
  <w:style w:type="paragraph" w:styleId="Turquise1" w:customStyle="1">
    <w:name w:val="turquise1"/>
    <w:basedOn w:val="Default"/>
    <w:qFormat/>
    <w:pPr/>
    <w:rPr/>
  </w:style>
  <w:style w:type="paragraph" w:styleId="Turquise2" w:customStyle="1">
    <w:name w:val="turquise2"/>
    <w:basedOn w:val="Default"/>
    <w:qFormat/>
    <w:pPr/>
    <w:rPr/>
  </w:style>
  <w:style w:type="paragraph" w:styleId="Turquise3" w:customStyle="1">
    <w:name w:val="turquise3"/>
    <w:basedOn w:val="Default"/>
    <w:qFormat/>
    <w:pPr/>
    <w:rPr/>
  </w:style>
  <w:style w:type="paragraph" w:styleId="Gray1" w:customStyle="1">
    <w:name w:val="gray1"/>
    <w:basedOn w:val="Default"/>
    <w:qFormat/>
    <w:pPr/>
    <w:rPr/>
  </w:style>
  <w:style w:type="paragraph" w:styleId="Gray2" w:customStyle="1">
    <w:name w:val="gray2"/>
    <w:basedOn w:val="Default"/>
    <w:qFormat/>
    <w:pPr/>
    <w:rPr/>
  </w:style>
  <w:style w:type="paragraph" w:styleId="Gray3" w:customStyle="1">
    <w:name w:val="gray3"/>
    <w:basedOn w:val="Default"/>
    <w:qFormat/>
    <w:pPr/>
    <w:rPr/>
  </w:style>
  <w:style w:type="paragraph" w:styleId="Sun1" w:customStyle="1">
    <w:name w:val="sun1"/>
    <w:basedOn w:val="Default"/>
    <w:qFormat/>
    <w:pPr/>
    <w:rPr/>
  </w:style>
  <w:style w:type="paragraph" w:styleId="Sun2" w:customStyle="1">
    <w:name w:val="sun2"/>
    <w:basedOn w:val="Default"/>
    <w:qFormat/>
    <w:pPr/>
    <w:rPr/>
  </w:style>
  <w:style w:type="paragraph" w:styleId="Sun3" w:customStyle="1">
    <w:name w:val="sun3"/>
    <w:basedOn w:val="Default"/>
    <w:qFormat/>
    <w:pPr/>
    <w:rPr/>
  </w:style>
  <w:style w:type="paragraph" w:styleId="Earth1" w:customStyle="1">
    <w:name w:val="earth1"/>
    <w:basedOn w:val="Default"/>
    <w:qFormat/>
    <w:pPr/>
    <w:rPr/>
  </w:style>
  <w:style w:type="paragraph" w:styleId="Earth2" w:customStyle="1">
    <w:name w:val="earth2"/>
    <w:basedOn w:val="Default"/>
    <w:qFormat/>
    <w:pPr/>
    <w:rPr/>
  </w:style>
  <w:style w:type="paragraph" w:styleId="Earth3" w:customStyle="1">
    <w:name w:val="earth3"/>
    <w:basedOn w:val="Default"/>
    <w:qFormat/>
    <w:pPr/>
    <w:rPr/>
  </w:style>
  <w:style w:type="paragraph" w:styleId="Green1" w:customStyle="1">
    <w:name w:val="green1"/>
    <w:basedOn w:val="Default"/>
    <w:qFormat/>
    <w:pPr/>
    <w:rPr/>
  </w:style>
  <w:style w:type="paragraph" w:styleId="Green2" w:customStyle="1">
    <w:name w:val="green2"/>
    <w:basedOn w:val="Default"/>
    <w:qFormat/>
    <w:pPr/>
    <w:rPr/>
  </w:style>
  <w:style w:type="paragraph" w:styleId="Green3" w:customStyle="1">
    <w:name w:val="green3"/>
    <w:basedOn w:val="Default"/>
    <w:qFormat/>
    <w:pPr/>
    <w:rPr/>
  </w:style>
  <w:style w:type="paragraph" w:styleId="Seetang1" w:customStyle="1">
    <w:name w:val="seetang1"/>
    <w:basedOn w:val="Default"/>
    <w:qFormat/>
    <w:pPr/>
    <w:rPr/>
  </w:style>
  <w:style w:type="paragraph" w:styleId="Seetang2" w:customStyle="1">
    <w:name w:val="seetang2"/>
    <w:basedOn w:val="Default"/>
    <w:qFormat/>
    <w:pPr/>
    <w:rPr/>
  </w:style>
  <w:style w:type="paragraph" w:styleId="Seetang3" w:customStyle="1">
    <w:name w:val="seetang3"/>
    <w:basedOn w:val="Default"/>
    <w:qFormat/>
    <w:pPr/>
    <w:rPr/>
  </w:style>
  <w:style w:type="paragraph" w:styleId="Lightblue1" w:customStyle="1">
    <w:name w:val="lightblue1"/>
    <w:basedOn w:val="Default"/>
    <w:qFormat/>
    <w:pPr/>
    <w:rPr/>
  </w:style>
  <w:style w:type="paragraph" w:styleId="Lightblue2" w:customStyle="1">
    <w:name w:val="lightblue2"/>
    <w:basedOn w:val="Default"/>
    <w:qFormat/>
    <w:pPr/>
    <w:rPr/>
  </w:style>
  <w:style w:type="paragraph" w:styleId="Lightblue3" w:customStyle="1">
    <w:name w:val="lightblue3"/>
    <w:basedOn w:val="Default"/>
    <w:qFormat/>
    <w:pPr/>
    <w:rPr/>
  </w:style>
  <w:style w:type="paragraph" w:styleId="Yellow1" w:customStyle="1">
    <w:name w:val="yellow1"/>
    <w:basedOn w:val="Default"/>
    <w:qFormat/>
    <w:pPr/>
    <w:rPr/>
  </w:style>
  <w:style w:type="paragraph" w:styleId="Yellow2" w:customStyle="1">
    <w:name w:val="yellow2"/>
    <w:basedOn w:val="Default"/>
    <w:qFormat/>
    <w:pPr/>
    <w:rPr/>
  </w:style>
  <w:style w:type="paragraph" w:styleId="Yellow3" w:customStyle="1">
    <w:name w:val="yellow3"/>
    <w:basedOn w:val="Default"/>
    <w:qFormat/>
    <w:pPr/>
    <w:rPr/>
  </w:style>
  <w:style w:type="paragraph" w:styleId="WWTitre" w:customStyle="1">
    <w:name w:val="WW-Titre"/>
    <w:qFormat/>
    <w:pPr>
      <w:widowControl/>
      <w:bidi w:val="0"/>
      <w:spacing w:lineRule="auto" w:line="259" w:before="0" w:after="160"/>
      <w:jc w:val="center"/>
    </w:pPr>
    <w:rPr>
      <w:rFonts w:ascii="Tahoma" w:hAnsi="Tahoma" w:eastAsia="Tahoma" w:cs="" w:cstheme="minorBidi"/>
      <w:color w:val="auto"/>
      <w:kern w:val="0"/>
      <w:sz w:val="88"/>
      <w:szCs w:val="88"/>
      <w:lang w:val="fr-FR" w:eastAsia="fr-FR" w:bidi="ar-SA"/>
    </w:rPr>
  </w:style>
  <w:style w:type="paragraph" w:styleId="Objetsdarrireplan" w:customStyle="1">
    <w:name w:val="Objets d'arrière-plan"/>
    <w:qFormat/>
    <w:pPr>
      <w:widowControl/>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Arrireplan" w:customStyle="1">
    <w:name w:val="Arrière-plan"/>
    <w:qFormat/>
    <w:pPr>
      <w:widowControl/>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Notes" w:customStyle="1">
    <w:name w:val="Notes"/>
    <w:qFormat/>
    <w:pPr>
      <w:widowControl/>
      <w:bidi w:val="0"/>
      <w:spacing w:lineRule="auto" w:line="259" w:before="0" w:after="160"/>
      <w:ind w:left="340" w:hanging="340"/>
      <w:jc w:val="left"/>
    </w:pPr>
    <w:rPr>
      <w:rFonts w:ascii="Tahoma" w:hAnsi="Tahoma" w:eastAsia="Tahoma" w:cs="" w:cstheme="minorBidi"/>
      <w:color w:val="auto"/>
      <w:kern w:val="0"/>
      <w:sz w:val="40"/>
      <w:szCs w:val="40"/>
      <w:lang w:val="fr-FR" w:eastAsia="fr-FR" w:bidi="ar-SA"/>
    </w:rPr>
  </w:style>
  <w:style w:type="paragraph" w:styleId="Plan1" w:customStyle="1">
    <w:name w:val="Plan 1"/>
    <w:qFormat/>
    <w:pPr>
      <w:widowControl/>
      <w:bidi w:val="0"/>
      <w:spacing w:lineRule="auto" w:line="259" w:before="0" w:after="283"/>
      <w:jc w:val="left"/>
    </w:pPr>
    <w:rPr>
      <w:rFonts w:ascii="Tahoma" w:hAnsi="Tahoma" w:eastAsia="Tahoma" w:cs="" w:cstheme="minorBidi"/>
      <w:color w:val="auto"/>
      <w:kern w:val="0"/>
      <w:sz w:val="64"/>
      <w:szCs w:val="64"/>
      <w:lang w:val="fr-FR" w:eastAsia="fr-FR" w:bidi="ar-SA"/>
    </w:rPr>
  </w:style>
  <w:style w:type="paragraph" w:styleId="Plan2" w:customStyle="1">
    <w:name w:val="Plan 2"/>
    <w:basedOn w:val="Plan1"/>
    <w:qFormat/>
    <w:pPr>
      <w:spacing w:before="0" w:after="227"/>
    </w:pPr>
    <w:rPr>
      <w:sz w:val="56"/>
      <w:szCs w:val="56"/>
    </w:rPr>
  </w:style>
  <w:style w:type="paragraph" w:styleId="Plan3" w:customStyle="1">
    <w:name w:val="Plan 3"/>
    <w:basedOn w:val="Plan2"/>
    <w:qFormat/>
    <w:pPr>
      <w:spacing w:before="0" w:after="170"/>
    </w:pPr>
    <w:rPr>
      <w:sz w:val="48"/>
      <w:szCs w:val="48"/>
    </w:rPr>
  </w:style>
  <w:style w:type="paragraph" w:styleId="Plan4" w:customStyle="1">
    <w:name w:val="Plan 4"/>
    <w:basedOn w:val="Plan3"/>
    <w:qFormat/>
    <w:pPr>
      <w:spacing w:before="0" w:after="113"/>
    </w:pPr>
    <w:rPr>
      <w:sz w:val="40"/>
      <w:szCs w:val="40"/>
    </w:rPr>
  </w:style>
  <w:style w:type="paragraph" w:styleId="Plan5" w:customStyle="1">
    <w:name w:val="Plan 5"/>
    <w:basedOn w:val="Plan4"/>
    <w:qFormat/>
    <w:pPr>
      <w:spacing w:before="0" w:after="57"/>
    </w:pPr>
    <w:rPr/>
  </w:style>
  <w:style w:type="paragraph" w:styleId="Plan6" w:customStyle="1">
    <w:name w:val="Plan 6"/>
    <w:basedOn w:val="Plan5"/>
    <w:qFormat/>
    <w:pPr/>
    <w:rPr/>
  </w:style>
  <w:style w:type="paragraph" w:styleId="Plan7" w:customStyle="1">
    <w:name w:val="Plan 7"/>
    <w:basedOn w:val="Plan6"/>
    <w:qFormat/>
    <w:pPr/>
    <w:rPr/>
  </w:style>
  <w:style w:type="paragraph" w:styleId="Plan8" w:customStyle="1">
    <w:name w:val="Plan 8"/>
    <w:basedOn w:val="Plan7"/>
    <w:qFormat/>
    <w:pPr/>
    <w:rPr/>
  </w:style>
  <w:style w:type="paragraph" w:styleId="Plan9" w:customStyle="1">
    <w:name w:val="Plan 9"/>
    <w:basedOn w:val="Plan8"/>
    <w:qFormat/>
    <w:pPr/>
    <w:rPr/>
  </w:style>
  <w:style w:type="paragraph" w:styleId="Heading" w:customStyle="1">
    <w:name w:val="Heading"/>
    <w:qFormat/>
    <w:pPr>
      <w:widowControl/>
      <w:bidi w:val="0"/>
      <w:spacing w:lineRule="auto" w:line="259" w:before="423" w:after="212"/>
      <w:jc w:val="left"/>
    </w:pPr>
    <w:rPr>
      <w:rFonts w:ascii="Calibri" w:hAnsi="Calibri" w:eastAsia="" w:cs="" w:asciiTheme="minorHAnsi" w:cstheme="minorBidi" w:eastAsiaTheme="minorEastAsia" w:hAnsiTheme="minorHAnsi"/>
      <w:color w:val="auto"/>
      <w:kern w:val="0"/>
      <w:sz w:val="28"/>
      <w:szCs w:val="28"/>
      <w:lang w:val="fr-FR" w:eastAsia="fr-FR" w:bidi="ar-SA"/>
    </w:rPr>
  </w:style>
  <w:style w:type="paragraph" w:styleId="WWTitre1" w:customStyle="1">
    <w:name w:val="WW-Titre1"/>
    <w:qFormat/>
    <w:pPr>
      <w:widowControl/>
      <w:bidi w:val="0"/>
      <w:spacing w:lineRule="auto" w:line="259" w:before="0" w:after="160"/>
      <w:jc w:val="center"/>
    </w:pPr>
    <w:rPr>
      <w:rFonts w:ascii="Tahoma" w:hAnsi="Tahoma" w:eastAsia="Tahoma" w:cs="" w:cstheme="minorBidi"/>
      <w:color w:val="auto"/>
      <w:kern w:val="0"/>
      <w:sz w:val="88"/>
      <w:szCs w:val="88"/>
      <w:lang w:val="fr-FR" w:eastAsia="fr-FR" w:bidi="ar-SA"/>
    </w:rPr>
  </w:style>
  <w:style w:type="paragraph" w:styleId="CourantOpenDoc" w:customStyle="1">
    <w:name w:val="CourantOpenDoc"/>
    <w:basedOn w:val="Standard"/>
    <w:qFormat/>
    <w:pPr>
      <w:spacing w:before="113" w:after="160"/>
      <w:ind w:left="1701" w:hanging="0"/>
      <w:jc w:val="both"/>
    </w:pPr>
    <w:rPr/>
  </w:style>
  <w:style w:type="paragraph" w:styleId="CelluleTitreOpenDoc" w:customStyle="1">
    <w:name w:val="CelluleTitreOpenDoc"/>
    <w:basedOn w:val="Standard"/>
    <w:qFormat/>
    <w:pPr>
      <w:spacing w:before="0" w:after="57"/>
      <w:jc w:val="center"/>
    </w:pPr>
    <w:rPr>
      <w:b/>
      <w:sz w:val="16"/>
    </w:rPr>
  </w:style>
  <w:style w:type="paragraph" w:styleId="CelluleCourantOpenDoc" w:customStyle="1">
    <w:name w:val="CelluleCourantOpenDoc"/>
    <w:basedOn w:val="Standard"/>
    <w:qFormat/>
    <w:pPr>
      <w:spacing w:before="28" w:after="160"/>
    </w:pPr>
    <w:rPr>
      <w:sz w:val="16"/>
    </w:rPr>
  </w:style>
  <w:style w:type="paragraph" w:styleId="Texteprformat" w:customStyle="1">
    <w:name w:val="Texte préformaté"/>
    <w:basedOn w:val="Standard"/>
    <w:qFormat/>
    <w:pPr/>
    <w:rPr>
      <w:rFonts w:ascii="Courier New" w:hAnsi="Courier New" w:eastAsia="Courier New" w:cs="Courier New"/>
      <w:sz w:val="20"/>
      <w:szCs w:val="20"/>
    </w:rPr>
  </w:style>
  <w:style w:type="paragraph" w:styleId="ContentsHeading" w:customStyle="1">
    <w:name w:val="Contents Heading"/>
    <w:basedOn w:val="Titre"/>
    <w:qFormat/>
    <w:pPr>
      <w:suppressLineNumbers/>
    </w:pPr>
    <w:rPr>
      <w:bCs/>
      <w:sz w:val="32"/>
      <w:szCs w:val="32"/>
    </w:rPr>
  </w:style>
  <w:style w:type="paragraph" w:styleId="WWTitre12" w:customStyle="1">
    <w:name w:val="WW-Titre12"/>
    <w:qFormat/>
    <w:pPr>
      <w:widowControl/>
      <w:bidi w:val="0"/>
      <w:spacing w:lineRule="auto" w:line="259" w:before="0" w:after="160"/>
      <w:jc w:val="center"/>
    </w:pPr>
    <w:rPr>
      <w:rFonts w:ascii="Tahoma" w:hAnsi="Tahoma" w:eastAsia="Tahoma" w:cs="" w:cstheme="minorBidi"/>
      <w:color w:val="auto"/>
      <w:kern w:val="0"/>
      <w:sz w:val="88"/>
      <w:szCs w:val="88"/>
      <w:lang w:val="fr-FR" w:eastAsia="fr-FR" w:bidi="ar-SA"/>
    </w:rPr>
  </w:style>
  <w:style w:type="paragraph" w:styleId="Sansnom1" w:customStyle="1">
    <w:name w:val="Sans nom1"/>
    <w:basedOn w:val="Titre4"/>
    <w:qFormat/>
    <w:pPr/>
    <w:rPr/>
  </w:style>
  <w:style w:type="paragraph" w:styleId="BodyText3">
    <w:name w:val="Body Text 3"/>
    <w:basedOn w:val="Standard"/>
    <w:qFormat/>
    <w:pPr>
      <w:jc w:val="both"/>
    </w:pPr>
    <w:rPr>
      <w:rFonts w:ascii="Arial" w:hAnsi="Arial" w:eastAsia="Arial" w:cs="Arial"/>
      <w:sz w:val="24"/>
    </w:rPr>
  </w:style>
  <w:style w:type="paragraph" w:styleId="INSCorpsdetexte" w:customStyle="1">
    <w:name w:val="INS Corps de texte"/>
    <w:qFormat/>
    <w:pPr>
      <w:widowControl/>
      <w:bidi w:val="0"/>
      <w:spacing w:lineRule="auto" w:line="259" w:before="0" w:after="160"/>
      <w:ind w:left="1134" w:right="567" w:hanging="0"/>
      <w:jc w:val="both"/>
    </w:pPr>
    <w:rPr>
      <w:rFonts w:ascii="Times New Roman" w:hAnsi="Times New Roman" w:eastAsia="" w:cs="" w:cstheme="minorBidi" w:eastAsiaTheme="minorEastAsia"/>
      <w:color w:val="auto"/>
      <w:kern w:val="0"/>
      <w:sz w:val="22"/>
      <w:szCs w:val="22"/>
      <w:lang w:val="fr-FR" w:eastAsia="fr-FR" w:bidi="ar-SA"/>
    </w:rPr>
  </w:style>
  <w:style w:type="paragraph" w:styleId="Default1" w:customStyle="1">
    <w:name w:val="Default"/>
    <w:basedOn w:val="Standard"/>
    <w:qFormat/>
    <w:pPr/>
    <w:rPr>
      <w:rFonts w:ascii="Times New Roman" w:hAnsi="Times New Roman"/>
      <w:color w:val="000000"/>
      <w:sz w:val="24"/>
    </w:rPr>
  </w:style>
  <w:style w:type="paragraph" w:styleId="WWTitre123" w:customStyle="1">
    <w:name w:val="WW-Titre123"/>
    <w:qFormat/>
    <w:pPr>
      <w:widowControl/>
      <w:tabs>
        <w:tab w:val="clear" w:pos="408"/>
        <w:tab w:val="left" w:pos="0" w:leader="none"/>
        <w:tab w:val="left" w:pos="707" w:leader="none"/>
        <w:tab w:val="left" w:pos="1414" w:leader="none"/>
        <w:tab w:val="left" w:pos="2122" w:leader="none"/>
        <w:tab w:val="left" w:pos="2830" w:leader="none"/>
        <w:tab w:val="left" w:pos="3537" w:leader="none"/>
        <w:tab w:val="left" w:pos="4245" w:leader="none"/>
        <w:tab w:val="left" w:pos="4952" w:leader="none"/>
        <w:tab w:val="left" w:pos="5660" w:leader="none"/>
        <w:tab w:val="left" w:pos="6367" w:leader="none"/>
        <w:tab w:val="left" w:pos="7075" w:leader="none"/>
        <w:tab w:val="left" w:pos="7782" w:leader="none"/>
        <w:tab w:val="left" w:pos="8490" w:leader="none"/>
        <w:tab w:val="left" w:pos="9197" w:leader="none"/>
        <w:tab w:val="left" w:pos="9905" w:leader="none"/>
        <w:tab w:val="left" w:pos="10612" w:leader="none"/>
        <w:tab w:val="left" w:pos="11320" w:leader="none"/>
        <w:tab w:val="left" w:pos="12027" w:leader="none"/>
        <w:tab w:val="left" w:pos="12735" w:leader="none"/>
        <w:tab w:val="left" w:pos="13442" w:leader="none"/>
        <w:tab w:val="left" w:pos="14150" w:leader="none"/>
      </w:tabs>
      <w:bidi w:val="0"/>
      <w:spacing w:lineRule="atLeast" w:line="200" w:before="0" w:after="160"/>
      <w:jc w:val="center"/>
    </w:pPr>
    <w:rPr>
      <w:rFonts w:ascii="MS PGothic" w:hAnsi="MS PGothic" w:eastAsia="MS PGothic" w:cs="MS PGothic"/>
      <w:color w:val="000000"/>
      <w:kern w:val="0"/>
      <w:sz w:val="88"/>
      <w:szCs w:val="88"/>
      <w:lang w:val="fr-FR" w:eastAsia="fr-FR" w:bidi="ar-SA"/>
    </w:rPr>
  </w:style>
  <w:style w:type="paragraph" w:styleId="WWTitre1234" w:customStyle="1">
    <w:name w:val="WW-Titre1234"/>
    <w:qFormat/>
    <w:pPr>
      <w:widowControl/>
      <w:tabs>
        <w:tab w:val="clear" w:pos="408"/>
        <w:tab w:val="left" w:pos="0" w:leader="none"/>
        <w:tab w:val="left" w:pos="707" w:leader="none"/>
        <w:tab w:val="left" w:pos="1414" w:leader="none"/>
        <w:tab w:val="left" w:pos="2122" w:leader="none"/>
        <w:tab w:val="left" w:pos="2830" w:leader="none"/>
        <w:tab w:val="left" w:pos="3537" w:leader="none"/>
        <w:tab w:val="left" w:pos="4245" w:leader="none"/>
        <w:tab w:val="left" w:pos="4952" w:leader="none"/>
        <w:tab w:val="left" w:pos="5660" w:leader="none"/>
        <w:tab w:val="left" w:pos="6367" w:leader="none"/>
        <w:tab w:val="left" w:pos="7075" w:leader="none"/>
        <w:tab w:val="left" w:pos="7782" w:leader="none"/>
        <w:tab w:val="left" w:pos="8490" w:leader="none"/>
        <w:tab w:val="left" w:pos="9197" w:leader="none"/>
        <w:tab w:val="left" w:pos="9905" w:leader="none"/>
        <w:tab w:val="left" w:pos="10612" w:leader="none"/>
        <w:tab w:val="left" w:pos="11320" w:leader="none"/>
        <w:tab w:val="left" w:pos="12027" w:leader="none"/>
        <w:tab w:val="left" w:pos="12735" w:leader="none"/>
        <w:tab w:val="left" w:pos="13442" w:leader="none"/>
        <w:tab w:val="left" w:pos="14150" w:leader="none"/>
      </w:tabs>
      <w:bidi w:val="0"/>
      <w:spacing w:lineRule="atLeast" w:line="200" w:before="0" w:after="160"/>
      <w:jc w:val="center"/>
    </w:pPr>
    <w:rPr>
      <w:rFonts w:ascii="MS PGothic" w:hAnsi="MS PGothic" w:eastAsia="MS PGothic" w:cs="MS PGothic"/>
      <w:color w:val="000000"/>
      <w:kern w:val="0"/>
      <w:sz w:val="88"/>
      <w:szCs w:val="88"/>
      <w:lang w:val="fr-FR" w:eastAsia="fr-FR" w:bidi="ar-SA"/>
    </w:rPr>
  </w:style>
  <w:style w:type="paragraph" w:styleId="VJTexte" w:customStyle="1">
    <w:name w:val="VJ-Texte"/>
    <w:qFormat/>
    <w:pPr>
      <w:widowControl/>
      <w:bidi w:val="0"/>
      <w:spacing w:lineRule="auto" w:line="259" w:before="0" w:after="160"/>
      <w:ind w:left="567" w:hanging="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Citations" w:customStyle="1">
    <w:name w:val="Citations"/>
    <w:basedOn w:val="Standard"/>
    <w:qFormat/>
    <w:pPr>
      <w:spacing w:before="0" w:after="283"/>
      <w:ind w:left="567" w:right="567" w:hanging="0"/>
    </w:pPr>
    <w:rPr/>
  </w:style>
  <w:style w:type="paragraph" w:styleId="Texte1" w:customStyle="1">
    <w:name w:val="Texte1"/>
    <w:qFormat/>
    <w:pPr>
      <w:widowControl/>
      <w:bidi w:val="0"/>
      <w:snapToGrid w:val="false"/>
      <w:spacing w:lineRule="auto" w:line="259" w:before="0" w:after="113"/>
      <w:jc w:val="both"/>
    </w:pPr>
    <w:rPr>
      <w:rFonts w:ascii="Arial" w:hAnsi="Arial" w:eastAsia="Verdana,Bold" w:cs="" w:cstheme="minorBidi"/>
      <w:color w:val="auto"/>
      <w:kern w:val="0"/>
      <w:sz w:val="20"/>
      <w:szCs w:val="20"/>
      <w:lang w:val="fr-FR" w:eastAsia="fr-FR" w:bidi="ar-SA"/>
    </w:rPr>
  </w:style>
  <w:style w:type="paragraph" w:styleId="TexteNoteVJA" w:customStyle="1">
    <w:name w:val="TexteNoteVJA"/>
    <w:basedOn w:val="Texte1"/>
    <w:qFormat/>
    <w:pPr/>
    <w:rPr>
      <w:shd w:fill="FFFF00" w:val="clear"/>
    </w:rPr>
  </w:style>
  <w:style w:type="paragraph" w:styleId="Texte1puce" w:customStyle="1">
    <w:name w:val="Texte1puce"/>
    <w:basedOn w:val="Texte1"/>
    <w:qFormat/>
    <w:pPr>
      <w:ind w:left="737" w:hanging="0"/>
    </w:pPr>
    <w:rPr/>
  </w:style>
  <w:style w:type="paragraph" w:styleId="Texte2" w:customStyle="1">
    <w:name w:val="Texte2"/>
    <w:qFormat/>
    <w:pPr>
      <w:widowControl/>
      <w:bidi w:val="0"/>
      <w:snapToGrid w:val="false"/>
      <w:spacing w:lineRule="auto" w:line="259" w:before="40" w:after="160"/>
      <w:jc w:val="left"/>
    </w:pPr>
    <w:rPr>
      <w:rFonts w:ascii="Arial" w:hAnsi="Arial" w:eastAsia="Arial" w:cs="Arial"/>
      <w:color w:val="auto"/>
      <w:kern w:val="0"/>
      <w:sz w:val="16"/>
      <w:szCs w:val="22"/>
      <w:lang w:val="fr-FR" w:eastAsia="fr-FR" w:bidi="ar-SA"/>
    </w:rPr>
  </w:style>
  <w:style w:type="paragraph" w:styleId="Texte2bis" w:customStyle="1">
    <w:name w:val="Texte2bis"/>
    <w:qFormat/>
    <w:pPr>
      <w:widowControl/>
      <w:bidi w:val="0"/>
      <w:spacing w:lineRule="auto" w:line="259" w:before="0" w:after="160"/>
      <w:jc w:val="right"/>
    </w:pPr>
    <w:rPr>
      <w:rFonts w:ascii="Arial" w:hAnsi="Arial" w:eastAsia="Arial" w:cs="Arial"/>
      <w:b/>
      <w:color w:val="auto"/>
      <w:kern w:val="0"/>
      <w:sz w:val="18"/>
      <w:szCs w:val="22"/>
      <w:lang w:val="fr-FR" w:eastAsia="fr-FR" w:bidi="ar-SA"/>
    </w:rPr>
  </w:style>
  <w:style w:type="paragraph" w:styleId="05rubrique" w:customStyle="1">
    <w:name w:val="05_rubrique"/>
    <w:next w:val="Texte1"/>
    <w:qFormat/>
    <w:pPr>
      <w:keepNext w:val="true"/>
      <w:keepLines/>
      <w:widowControl/>
      <w:shd w:val="clear" w:color="auto" w:fill="006600"/>
      <w:bidi w:val="0"/>
      <w:spacing w:lineRule="auto" w:line="259" w:before="600" w:after="360"/>
      <w:ind w:right="204" w:hanging="0"/>
      <w:jc w:val="left"/>
    </w:pPr>
    <w:rPr>
      <w:rFonts w:ascii="Arial" w:hAnsi="Arial" w:eastAsia="Arial" w:cs="Arial"/>
      <w:color w:val="FFFFFF"/>
      <w:kern w:val="0"/>
      <w:sz w:val="22"/>
      <w:szCs w:val="22"/>
      <w:shd w:fill="FD7026" w:val="clear"/>
      <w:lang w:val="fr-FR" w:eastAsia="fr-FR" w:bidi="ar-SA"/>
    </w:rPr>
  </w:style>
  <w:style w:type="paragraph" w:styleId="01courant" w:customStyle="1">
    <w:name w:val="01_courant"/>
    <w:basedOn w:val="Standard"/>
    <w:qFormat/>
    <w:pPr>
      <w:spacing w:before="85" w:after="85"/>
      <w:ind w:left="737" w:hanging="0"/>
      <w:jc w:val="both"/>
    </w:pPr>
    <w:rPr>
      <w:rFonts w:ascii="Arial" w:hAnsi="Arial" w:eastAsia="Arial" w:cs="Arial"/>
      <w:sz w:val="20"/>
    </w:rPr>
  </w:style>
  <w:style w:type="paragraph" w:styleId="07cellulecourant" w:customStyle="1">
    <w:name w:val="07_cellule_courant"/>
    <w:basedOn w:val="01courant"/>
    <w:qFormat/>
    <w:pPr>
      <w:spacing w:before="60" w:after="0"/>
      <w:ind w:left="0" w:hanging="0"/>
    </w:pPr>
    <w:rPr>
      <w:sz w:val="16"/>
    </w:rPr>
  </w:style>
  <w:style w:type="paragraph" w:styleId="06celluletitre" w:customStyle="1">
    <w:name w:val="06_cellule_titre"/>
    <w:basedOn w:val="07cellulecourant"/>
    <w:qFormat/>
    <w:pPr>
      <w:jc w:val="center"/>
    </w:pPr>
    <w:rPr>
      <w:b/>
    </w:rPr>
  </w:style>
  <w:style w:type="paragraph" w:styleId="Xtitre" w:customStyle="1">
    <w:name w:val="xtitre"/>
    <w:basedOn w:val="Standard"/>
    <w:qFormat/>
    <w:pPr>
      <w:spacing w:before="180" w:after="20"/>
      <w:ind w:left="2126" w:hanging="0"/>
    </w:pPr>
    <w:rPr>
      <w:rFonts w:ascii="Arial" w:hAnsi="Arial" w:eastAsia="Arial" w:cs="Arial"/>
      <w:b/>
      <w:sz w:val="20"/>
    </w:rPr>
  </w:style>
  <w:style w:type="paragraph" w:styleId="Wrubrique" w:customStyle="1">
    <w:name w:val="w_rubrique"/>
    <w:basedOn w:val="Xtitre"/>
    <w:next w:val="01courant"/>
    <w:qFormat/>
    <w:pPr>
      <w:keepNext w:val="true"/>
      <w:keepLines/>
      <w:spacing w:before="600" w:after="360"/>
      <w:ind w:left="0" w:right="204" w:hanging="0"/>
    </w:pPr>
    <w:rPr>
      <w:color w:val="FFFFFF"/>
      <w:sz w:val="24"/>
      <w:shd w:fill="FD7026" w:val="clear"/>
    </w:rPr>
  </w:style>
  <w:style w:type="paragraph" w:styleId="Tabledesmatiresniveau1">
    <w:name w:val="TOC 1"/>
    <w:basedOn w:val="Normal"/>
    <w:next w:val="Normal"/>
    <w:autoRedefine/>
    <w:uiPriority w:val="39"/>
    <w:unhideWhenUsed/>
    <w:rsid w:val="00f10258"/>
    <w:pPr>
      <w:tabs>
        <w:tab w:val="clear" w:pos="408"/>
        <w:tab w:val="left" w:pos="440" w:leader="none"/>
        <w:tab w:val="right" w:pos="9628" w:leader="underscore"/>
      </w:tabs>
      <w:spacing w:before="120" w:after="0"/>
    </w:pPr>
    <w:rPr>
      <w:rFonts w:cs="Calibri" w:cstheme="minorHAnsi"/>
      <w:b/>
      <w:bCs/>
      <w:iCs/>
      <w:sz w:val="24"/>
      <w:szCs w:val="24"/>
    </w:rPr>
  </w:style>
  <w:style w:type="paragraph" w:styleId="Tabledesmatiresniveau2">
    <w:name w:val="TOC 2"/>
    <w:basedOn w:val="Normal"/>
    <w:next w:val="Normal"/>
    <w:autoRedefine/>
    <w:uiPriority w:val="39"/>
    <w:unhideWhenUsed/>
    <w:rsid w:val="00990c88"/>
    <w:pPr>
      <w:spacing w:before="120" w:after="0"/>
      <w:ind w:left="220" w:hanging="0"/>
    </w:pPr>
    <w:rPr>
      <w:rFonts w:cs="Calibri" w:cstheme="minorHAnsi"/>
      <w:b/>
      <w:bCs/>
    </w:rPr>
  </w:style>
  <w:style w:type="paragraph" w:styleId="ListParagraph">
    <w:name w:val="List Paragraph"/>
    <w:basedOn w:val="Normal"/>
    <w:uiPriority w:val="34"/>
    <w:qFormat/>
    <w:rsid w:val="00990c88"/>
    <w:pPr>
      <w:spacing w:before="0" w:after="160"/>
      <w:ind w:left="720" w:hanging="0"/>
      <w:contextualSpacing/>
    </w:pPr>
    <w:rPr/>
  </w:style>
  <w:style w:type="paragraph" w:styleId="Indexlexicaltitre">
    <w:name w:val="Index Heading"/>
    <w:basedOn w:val="Titre"/>
    <w:pPr/>
    <w:rPr/>
  </w:style>
  <w:style w:type="paragraph" w:styleId="Titredetabledesmatires">
    <w:name w:val="TOC Heading"/>
    <w:basedOn w:val="Titre1"/>
    <w:next w:val="Normal"/>
    <w:uiPriority w:val="39"/>
    <w:unhideWhenUsed/>
    <w:qFormat/>
    <w:rsid w:val="00ba626f"/>
    <w:pPr>
      <w:outlineLvl w:val="9"/>
    </w:pPr>
    <w:rPr/>
  </w:style>
  <w:style w:type="paragraph" w:styleId="Tabledesmatiresniveau3">
    <w:name w:val="TOC 3"/>
    <w:basedOn w:val="Normal"/>
    <w:next w:val="Normal"/>
    <w:autoRedefine/>
    <w:uiPriority w:val="39"/>
    <w:unhideWhenUsed/>
    <w:rsid w:val="00990c88"/>
    <w:pPr>
      <w:spacing w:before="0" w:after="0"/>
      <w:ind w:left="440" w:hanging="0"/>
    </w:pPr>
    <w:rPr>
      <w:rFonts w:cs="Calibri" w:cstheme="minorHAnsi"/>
      <w:sz w:val="20"/>
      <w:szCs w:val="20"/>
    </w:rPr>
  </w:style>
  <w:style w:type="paragraph" w:styleId="Tabledesmatiresniveau4">
    <w:name w:val="TOC 4"/>
    <w:basedOn w:val="Normal"/>
    <w:next w:val="Normal"/>
    <w:autoRedefine/>
    <w:uiPriority w:val="39"/>
    <w:unhideWhenUsed/>
    <w:rsid w:val="00990c88"/>
    <w:pPr>
      <w:spacing w:before="0" w:after="0"/>
      <w:ind w:left="660" w:hanging="0"/>
    </w:pPr>
    <w:rPr>
      <w:rFonts w:cs="Calibri" w:cstheme="minorHAnsi"/>
      <w:sz w:val="20"/>
      <w:szCs w:val="20"/>
    </w:rPr>
  </w:style>
  <w:style w:type="paragraph" w:styleId="Tabledesmatiresniveau5">
    <w:name w:val="TOC 5"/>
    <w:basedOn w:val="Normal"/>
    <w:next w:val="Normal"/>
    <w:autoRedefine/>
    <w:uiPriority w:val="39"/>
    <w:unhideWhenUsed/>
    <w:rsid w:val="00990c88"/>
    <w:pPr>
      <w:spacing w:before="0" w:after="0"/>
      <w:ind w:left="880" w:hanging="0"/>
    </w:pPr>
    <w:rPr>
      <w:rFonts w:cs="Calibri" w:cstheme="minorHAnsi"/>
      <w:sz w:val="20"/>
      <w:szCs w:val="20"/>
    </w:rPr>
  </w:style>
  <w:style w:type="paragraph" w:styleId="Tabledesmatiresniveau6">
    <w:name w:val="TOC 6"/>
    <w:basedOn w:val="Normal"/>
    <w:next w:val="Normal"/>
    <w:autoRedefine/>
    <w:uiPriority w:val="39"/>
    <w:unhideWhenUsed/>
    <w:rsid w:val="00990c88"/>
    <w:pPr>
      <w:spacing w:before="0" w:after="0"/>
      <w:ind w:left="1100" w:hanging="0"/>
    </w:pPr>
    <w:rPr>
      <w:rFonts w:cs="Calibri" w:cstheme="minorHAnsi"/>
      <w:sz w:val="20"/>
      <w:szCs w:val="20"/>
    </w:rPr>
  </w:style>
  <w:style w:type="paragraph" w:styleId="Tabledesmatiresniveau7">
    <w:name w:val="TOC 7"/>
    <w:basedOn w:val="Normal"/>
    <w:next w:val="Normal"/>
    <w:autoRedefine/>
    <w:uiPriority w:val="39"/>
    <w:unhideWhenUsed/>
    <w:rsid w:val="00990c88"/>
    <w:pPr>
      <w:spacing w:before="0" w:after="0"/>
      <w:ind w:left="1320" w:hanging="0"/>
    </w:pPr>
    <w:rPr>
      <w:rFonts w:cs="Calibri" w:cstheme="minorHAnsi"/>
      <w:sz w:val="20"/>
      <w:szCs w:val="20"/>
    </w:rPr>
  </w:style>
  <w:style w:type="paragraph" w:styleId="Tabledesmatiresniveau8">
    <w:name w:val="TOC 8"/>
    <w:basedOn w:val="Normal"/>
    <w:next w:val="Normal"/>
    <w:autoRedefine/>
    <w:uiPriority w:val="39"/>
    <w:unhideWhenUsed/>
    <w:rsid w:val="00990c88"/>
    <w:pPr>
      <w:spacing w:before="0" w:after="0"/>
      <w:ind w:left="1540" w:hanging="0"/>
    </w:pPr>
    <w:rPr>
      <w:rFonts w:cs="Calibri" w:cstheme="minorHAnsi"/>
      <w:sz w:val="20"/>
      <w:szCs w:val="20"/>
    </w:rPr>
  </w:style>
  <w:style w:type="paragraph" w:styleId="Tabledesmatiresniveau9">
    <w:name w:val="TOC 9"/>
    <w:basedOn w:val="Normal"/>
    <w:next w:val="Normal"/>
    <w:autoRedefine/>
    <w:uiPriority w:val="39"/>
    <w:unhideWhenUsed/>
    <w:rsid w:val="00990c88"/>
    <w:pPr>
      <w:spacing w:before="0" w:after="0"/>
      <w:ind w:left="1760" w:hanging="0"/>
    </w:pPr>
    <w:rPr>
      <w:rFonts w:cs="Calibri" w:cstheme="minorHAnsi"/>
      <w:sz w:val="20"/>
      <w:szCs w:val="20"/>
    </w:rPr>
  </w:style>
  <w:style w:type="paragraph" w:styleId="Lettretexte" w:customStyle="1">
    <w:name w:val="Lettre texte"/>
    <w:qFormat/>
    <w:rsid w:val="00ad0663"/>
    <w:pPr>
      <w:widowControl/>
      <w:bidi w:val="0"/>
      <w:spacing w:lineRule="auto" w:line="360" w:before="0" w:after="160"/>
      <w:ind w:firstLine="567"/>
      <w:jc w:val="both"/>
    </w:pPr>
    <w:rPr>
      <w:rFonts w:ascii="Arial" w:hAnsi="Arial" w:eastAsia="Lucida Sans Unicode" w:cs="Arial"/>
      <w:bCs/>
      <w:color w:val="auto"/>
      <w:kern w:val="0"/>
      <w:sz w:val="20"/>
      <w:szCs w:val="22"/>
      <w:lang w:val="fr-FR" w:eastAsia="fr-FR" w:bidi="ar-SA"/>
    </w:rPr>
  </w:style>
  <w:style w:type="paragraph" w:styleId="NoSpacing">
    <w:name w:val="No Spacing"/>
    <w:uiPriority w:val="1"/>
    <w:qFormat/>
    <w:rsid w:val="00ba626f"/>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fr-FR" w:eastAsia="fr-FR" w:bidi="ar-SA"/>
    </w:rPr>
  </w:style>
  <w:style w:type="paragraph" w:styleId="Quote">
    <w:name w:val="Quote"/>
    <w:basedOn w:val="Normal"/>
    <w:next w:val="Normal"/>
    <w:link w:val="CitationCar"/>
    <w:uiPriority w:val="29"/>
    <w:qFormat/>
    <w:rsid w:val="00ba626f"/>
    <w:pPr>
      <w:spacing w:before="120" w:after="160"/>
      <w:ind w:left="720" w:right="720" w:hanging="0"/>
      <w:jc w:val="center"/>
    </w:pPr>
    <w:rPr>
      <w:i/>
      <w:iCs/>
    </w:rPr>
  </w:style>
  <w:style w:type="paragraph" w:styleId="IntenseQuote">
    <w:name w:val="Intense Quote"/>
    <w:basedOn w:val="Normal"/>
    <w:next w:val="Normal"/>
    <w:link w:val="CitationintenseCar"/>
    <w:uiPriority w:val="30"/>
    <w:qFormat/>
    <w:rsid w:val="00ba626f"/>
    <w:pPr>
      <w:spacing w:lineRule="auto" w:line="300" w:before="120" w:after="160"/>
      <w:ind w:left="576" w:right="576" w:hanging="0"/>
      <w:jc w:val="center"/>
    </w:pPr>
    <w:rPr>
      <w:rFonts w:ascii="Calibri Light" w:hAnsi="Calibri Light" w:eastAsia="" w:cs="" w:asciiTheme="majorHAnsi" w:cstheme="majorBidi" w:eastAsiaTheme="majorEastAsia" w:hAnsiTheme="majorHAnsi"/>
      <w:color w:val="5B9BD5" w:themeColor="accent1"/>
      <w:sz w:val="24"/>
      <w:szCs w:val="24"/>
    </w:rPr>
  </w:style>
  <w:style w:type="paragraph" w:styleId="BalloonText">
    <w:name w:val="Balloon Text"/>
    <w:basedOn w:val="Normal"/>
    <w:link w:val="TextedebullesCar"/>
    <w:uiPriority w:val="99"/>
    <w:semiHidden/>
    <w:unhideWhenUsed/>
    <w:qFormat/>
    <w:rsid w:val="00cb20c6"/>
    <w:pPr>
      <w:spacing w:lineRule="auto" w:line="240" w:before="0" w:after="0"/>
    </w:pPr>
    <w:rPr>
      <w:rFonts w:ascii="Segoe UI" w:hAnsi="Segoe UI" w:cs="Segoe UI"/>
      <w:sz w:val="18"/>
      <w:szCs w:val="18"/>
    </w:rPr>
  </w:style>
  <w:style w:type="paragraph" w:styleId="Notedebasdepage">
    <w:name w:val="Footnote Text"/>
    <w:basedOn w:val="Normal"/>
    <w:link w:val="NotedebasdepageCar"/>
    <w:uiPriority w:val="99"/>
    <w:semiHidden/>
    <w:unhideWhenUsed/>
    <w:rsid w:val="00d6132f"/>
    <w:pPr>
      <w:spacing w:lineRule="auto" w:line="240" w:before="0" w:after="0"/>
    </w:pPr>
    <w:rPr>
      <w:sz w:val="20"/>
      <w:szCs w:val="20"/>
    </w:rPr>
  </w:style>
  <w:style w:type="paragraph" w:styleId="Pa20" w:customStyle="1">
    <w:name w:val="Pa20"/>
    <w:basedOn w:val="Normal"/>
    <w:next w:val="Normal"/>
    <w:qFormat/>
    <w:rsid w:val="005e64d3"/>
    <w:pPr>
      <w:spacing w:lineRule="atLeast" w:line="161" w:before="0" w:after="0"/>
    </w:pPr>
    <w:rPr>
      <w:rFonts w:ascii="IQEHOC+SegoeUI" w:hAnsi="IQEHOC+SegoeUI" w:eastAsia="Times New Roman" w:cs="Times New Roman"/>
      <w:sz w:val="24"/>
      <w:szCs w:val="24"/>
    </w:rPr>
  </w:style>
  <w:style w:type="numbering" w:styleId="NoList" w:default="1">
    <w:name w:val="No List"/>
    <w:uiPriority w:val="99"/>
    <w:semiHidden/>
    <w:unhideWhenUsed/>
    <w:qFormat/>
  </w:style>
  <w:style w:type="numbering" w:styleId="Puce" w:customStyle="1">
    <w:name w:val="Puce •"/>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17" w:customStyle="1">
    <w:name w:val="WW8Num17"/>
    <w:qFormat/>
  </w:style>
  <w:style w:type="numbering" w:styleId="RTFNum2" w:customStyle="1">
    <w:name w:val="RTF_Num 2"/>
    <w:qFormat/>
  </w:style>
  <w:style w:type="numbering" w:styleId="RTFNum3" w:customStyle="1">
    <w:name w:val="RTF_Num 3"/>
    <w:qFormat/>
  </w:style>
  <w:style w:type="numbering" w:styleId="RTFNum4" w:customStyle="1">
    <w:name w:val="RTF_Num 4"/>
    <w:qFormat/>
  </w:style>
  <w:style w:type="numbering" w:styleId="RTFNum5" w:customStyle="1">
    <w:name w:val="RTF_Num 5"/>
    <w:qFormat/>
  </w:style>
  <w:style w:type="numbering" w:styleId="RTFNum6" w:customStyle="1">
    <w:name w:val="RTF_Num 6"/>
    <w:qFormat/>
  </w:style>
  <w:style w:type="numbering" w:styleId="RTFNum7" w:customStyle="1">
    <w:name w:val="RTF_Num 7"/>
    <w:qFormat/>
  </w:style>
  <w:style w:type="numbering" w:styleId="RTFNum8" w:customStyle="1">
    <w:name w:val="RTF_Num 8"/>
    <w:qFormat/>
  </w:style>
  <w:style w:type="numbering" w:styleId="RTFNum9" w:customStyle="1">
    <w:name w:val="RTF_Num 9"/>
    <w:qFormat/>
  </w:style>
  <w:style w:type="numbering" w:styleId="RTFNum10" w:customStyle="1">
    <w:name w:val="RTF_Num 10"/>
    <w:qFormat/>
  </w:style>
  <w:style w:type="numbering" w:styleId="RTFNum11" w:customStyle="1">
    <w:name w:val="RTF_Num 11"/>
    <w:qFormat/>
  </w:style>
  <w:style w:type="numbering" w:styleId="RTFNum12" w:customStyle="1">
    <w:name w:val="RTF_Num 12"/>
    <w:qFormat/>
  </w:style>
  <w:style w:type="numbering" w:styleId="RTFNum13" w:customStyle="1">
    <w:name w:val="RTF_Num 13"/>
    <w:qFormat/>
  </w:style>
  <w:style w:type="numbering" w:styleId="RTFNum14" w:customStyle="1">
    <w:name w:val="RTF_Num 14"/>
    <w:qFormat/>
  </w:style>
  <w:style w:type="numbering" w:styleId="RTFNum15" w:customStyle="1">
    <w:name w:val="RTF_Num 15"/>
    <w:qFormat/>
  </w:style>
  <w:style w:type="numbering" w:styleId="RTFNum16" w:customStyle="1">
    <w:name w:val="RTF_Num 16"/>
    <w:qFormat/>
  </w:style>
  <w:style w:type="numbering" w:styleId="RTFNum17" w:customStyle="1">
    <w:name w:val="RTF_Num 17"/>
    <w:qFormat/>
  </w:style>
  <w:style w:type="numbering" w:styleId="RTFNum18" w:customStyle="1">
    <w:name w:val="RTF_Num 18"/>
    <w:qFormat/>
  </w:style>
  <w:style w:type="numbering" w:styleId="RTFNum19" w:customStyle="1">
    <w:name w:val="RTF_Num 19"/>
    <w:qFormat/>
  </w:style>
  <w:style w:type="numbering" w:styleId="WW8Num10" w:customStyle="1">
    <w:name w:val="WW8Num10"/>
    <w:qFormat/>
    <w:rsid w:val="00ad0663"/>
  </w:style>
  <w:style w:type="numbering" w:styleId="WW8Num13" w:customStyle="1">
    <w:name w:val="WW8Num13"/>
    <w:qFormat/>
    <w:rsid w:val="00ad0663"/>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2.wmf"/><Relationship Id="rId6" Type="http://schemas.openxmlformats.org/officeDocument/2006/relationships/footer" Target="footer1.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E9457-ADC8-4F85-8A9F-4331104F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LibreOffice/7.3.7.2$Linux_X86_64 LibreOffice_project/30$Build-2</Application>
  <AppVersion>15.0000</AppVersion>
  <Pages>8</Pages>
  <Words>2959</Words>
  <Characters>15408</Characters>
  <CharactersWithSpaces>18109</CharactersWithSpaces>
  <Paragraphs>394</Paragraphs>
  <Company>Ministère de l'Agriculture et de l'Alimentation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2022-12-08T07:41:00Z</dcterms:created>
  <dc:creator>Olivier LOUVEAU</dc:creator>
  <dc:description/>
  <dc:language>en-US</dc:language>
  <cp:lastModifiedBy>Massimo Bruni</cp:lastModifiedBy>
  <cp:lastPrinted>2021-12-03T09:15:00Z</cp:lastPrinted>
  <dcterms:modified xsi:type="dcterms:W3CDTF">2024-10-07T00:05:43Z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