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F2A43"/>
          <w:sz w:val="92"/>
        </w:rPr>
        <w:t>AETHER</w:t>
      </w:r>
    </w:p>
    <w:p>
      <w:pPr>
        <w:jc w:val="center"/>
      </w:pPr>
      <w:r>
        <w:rPr>
          <w:i/>
          <w:color w:val="0E767A"/>
          <w:sz w:val="28"/>
        </w:rPr>
        <w:t>Adaptive Environmental Threat &amp; Hazard Evaluation for Resilience</w:t>
      </w:r>
    </w:p>
    <w:p>
      <w:pPr>
        <w:jc w:val="center"/>
      </w:pPr>
      <w:r>
        <w:rPr>
          <w:color w:val="3A4450"/>
          <w:sz w:val="24"/>
        </w:rPr>
        <w:t>Platform Intelijen Risiko Multi-Bencana Berbasis AI untuk Indonesia</w:t>
      </w:r>
    </w:p>
    <w:p/>
    <w:p/>
    <w:p/>
    <w:p>
      <w:pPr>
        <w:jc w:val="center"/>
      </w:pPr>
      <w:r>
        <w:rPr>
          <w:b/>
          <w:color w:val="0F2A43"/>
          <w:sz w:val="40"/>
        </w:rPr>
        <w:t>MANUAL BOOK</w:t>
      </w:r>
    </w:p>
    <w:p>
      <w:pPr>
        <w:jc w:val="center"/>
      </w:pPr>
      <w:r>
        <w:rPr>
          <w:color w:val="3A4450"/>
          <w:sz w:val="26"/>
        </w:rPr>
        <w:t>Panduan Pengguna &amp; Panduan Teknis</w:t>
      </w:r>
    </w:p>
    <w:p/>
    <w:p/>
    <w:p/>
    <w:p/>
    <w:p/>
    <w:p/>
    <w:p>
      <w:pPr>
        <w:jc w:val="center"/>
      </w:pPr>
      <w:r>
        <w:rPr>
          <w:color w:val="3A4450"/>
          <w:sz w:val="22"/>
        </w:rPr>
        <w:t>Versi 1.0 · Agustus 2026</w:t>
      </w:r>
    </w:p>
    <w:p>
      <w:r>
        <w:br w:type="page"/>
      </w:r>
    </w:p>
    <w:p>
      <w:pPr>
        <w:pStyle w:val="Heading1"/>
        <w:pageBreakBefore w:val="0"/>
      </w:pPr>
      <w:r>
        <w:t>Daftar Isi</w:t>
      </w:r>
    </w:p>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6"/>
        <w:gridCol w:w="4816"/>
      </w:tblGrid>
      <w:tr>
        <w:tc>
          <w:tcPr>
            <w:tcW w:type="dxa" w:w="8064"/>
          </w:tcPr>
          <w:p>
            <w:pPr>
              <w:spacing w:before="200"/>
              <w:ind w:left="0"/>
            </w:pPr>
            <w:r>
              <w:rPr>
                <w:rFonts w:ascii="Calibri" w:hAnsi="Calibri"/>
                <w:b/>
                <w:color w:val="0F2A43"/>
                <w:sz w:val="24"/>
              </w:rPr>
              <w:t>BAGIAN A — PENGENALAN</w:t>
            </w:r>
          </w:p>
        </w:tc>
        <w:tc>
          <w:tcPr>
            <w:tcW w:type="dxa" w:w="1296"/>
          </w:tcPr>
          <w:p>
            <w:pPr>
              <w:jc w:val="right"/>
            </w:pPr>
            <w:r>
              <w:rPr>
                <w:color w:val="3A4450"/>
                <w:sz w:val="21"/>
              </w:rPr>
              <w:t>4</w:t>
            </w:r>
          </w:p>
        </w:tc>
      </w:tr>
      <w:tr>
        <w:tc>
          <w:tcPr>
            <w:tcW w:type="dxa" w:w="8064"/>
          </w:tcPr>
          <w:p>
            <w:pPr>
              <w:spacing w:before="40"/>
              <w:ind w:left="360"/>
            </w:pPr>
            <w:r>
              <w:rPr>
                <w:rFonts w:ascii="Calibri" w:hAnsi="Calibri"/>
                <w:color w:val="3A4450"/>
                <w:sz w:val="21"/>
              </w:rPr>
              <w:t>1. Tentang AETHER</w:t>
            </w:r>
          </w:p>
        </w:tc>
        <w:tc>
          <w:tcPr>
            <w:tcW w:type="dxa" w:w="1296"/>
          </w:tcPr>
          <w:p>
            <w:pPr>
              <w:jc w:val="right"/>
            </w:pPr>
            <w:r>
              <w:rPr>
                <w:color w:val="3A4450"/>
                <w:sz w:val="21"/>
              </w:rPr>
              <w:t>4</w:t>
            </w:r>
          </w:p>
        </w:tc>
      </w:tr>
      <w:tr>
        <w:tc>
          <w:tcPr>
            <w:tcW w:type="dxa" w:w="8064"/>
          </w:tcPr>
          <w:p>
            <w:pPr>
              <w:spacing w:before="40"/>
              <w:ind w:left="720"/>
            </w:pPr>
            <w:r>
              <w:rPr>
                <w:rFonts w:ascii="Calibri" w:hAnsi="Calibri"/>
                <w:color w:val="3A4450"/>
                <w:sz w:val="21"/>
              </w:rPr>
              <w:t>1.1 Jenis Bencana yang Dicakup</w:t>
            </w:r>
          </w:p>
        </w:tc>
        <w:tc>
          <w:tcPr>
            <w:tcW w:type="dxa" w:w="1296"/>
          </w:tcPr>
          <w:p>
            <w:pPr>
              <w:jc w:val="right"/>
            </w:pPr>
            <w:r>
              <w:rPr>
                <w:color w:val="3A4450"/>
                <w:sz w:val="21"/>
              </w:rPr>
              <w:t>4</w:t>
            </w:r>
          </w:p>
        </w:tc>
      </w:tr>
      <w:tr>
        <w:tc>
          <w:tcPr>
            <w:tcW w:type="dxa" w:w="8064"/>
          </w:tcPr>
          <w:p>
            <w:pPr>
              <w:spacing w:before="40"/>
              <w:ind w:left="720"/>
            </w:pPr>
            <w:r>
              <w:rPr>
                <w:rFonts w:ascii="Calibri" w:hAnsi="Calibri"/>
                <w:color w:val="3A4450"/>
                <w:sz w:val="21"/>
              </w:rPr>
              <w:t>1.2 Cara Kerja Singkat</w:t>
            </w:r>
          </w:p>
        </w:tc>
        <w:tc>
          <w:tcPr>
            <w:tcW w:type="dxa" w:w="1296"/>
          </w:tcPr>
          <w:p>
            <w:pPr>
              <w:jc w:val="right"/>
            </w:pPr>
            <w:r>
              <w:rPr>
                <w:color w:val="3A4450"/>
                <w:sz w:val="21"/>
              </w:rPr>
              <w:t>4</w:t>
            </w:r>
          </w:p>
        </w:tc>
      </w:tr>
      <w:tr>
        <w:tc>
          <w:tcPr>
            <w:tcW w:type="dxa" w:w="8064"/>
          </w:tcPr>
          <w:p>
            <w:pPr>
              <w:spacing w:before="40"/>
              <w:ind w:left="720"/>
            </w:pPr>
            <w:r>
              <w:rPr>
                <w:rFonts w:ascii="Calibri" w:hAnsi="Calibri"/>
                <w:color w:val="3A4450"/>
                <w:sz w:val="21"/>
              </w:rPr>
              <w:t>1.3 Tiga Komponen Utama Sistem</w:t>
            </w:r>
          </w:p>
        </w:tc>
        <w:tc>
          <w:tcPr>
            <w:tcW w:type="dxa" w:w="1296"/>
          </w:tcPr>
          <w:p>
            <w:pPr>
              <w:jc w:val="right"/>
            </w:pPr>
            <w:r>
              <w:rPr>
                <w:color w:val="3A4450"/>
                <w:sz w:val="21"/>
              </w:rPr>
              <w:t>5</w:t>
            </w:r>
          </w:p>
        </w:tc>
      </w:tr>
      <w:tr>
        <w:tc>
          <w:tcPr>
            <w:tcW w:type="dxa" w:w="8064"/>
          </w:tcPr>
          <w:p>
            <w:pPr>
              <w:spacing w:before="40"/>
              <w:ind w:left="360"/>
            </w:pPr>
            <w:r>
              <w:rPr>
                <w:rFonts w:ascii="Calibri" w:hAnsi="Calibri"/>
                <w:color w:val="3A4450"/>
                <w:sz w:val="21"/>
              </w:rPr>
              <w:t>2. Peran Pengguna &amp; Hak Akses</w:t>
            </w:r>
          </w:p>
        </w:tc>
        <w:tc>
          <w:tcPr>
            <w:tcW w:type="dxa" w:w="1296"/>
          </w:tcPr>
          <w:p>
            <w:pPr>
              <w:jc w:val="right"/>
            </w:pPr>
            <w:r>
              <w:rPr>
                <w:color w:val="3A4450"/>
                <w:sz w:val="21"/>
              </w:rPr>
              <w:t>5</w:t>
            </w:r>
          </w:p>
        </w:tc>
      </w:tr>
      <w:tr>
        <w:tc>
          <w:tcPr>
            <w:tcW w:type="dxa" w:w="8064"/>
          </w:tcPr>
          <w:p>
            <w:pPr>
              <w:spacing w:before="200"/>
              <w:ind w:left="0"/>
            </w:pPr>
            <w:r>
              <w:rPr>
                <w:rFonts w:ascii="Calibri" w:hAnsi="Calibri"/>
                <w:b/>
                <w:color w:val="0F2A43"/>
                <w:sz w:val="24"/>
              </w:rPr>
              <w:t>BAGIAN B — PANDUAN PENGGUNA</w:t>
            </w:r>
          </w:p>
        </w:tc>
        <w:tc>
          <w:tcPr>
            <w:tcW w:type="dxa" w:w="1296"/>
          </w:tcPr>
          <w:p>
            <w:pPr>
              <w:jc w:val="right"/>
            </w:pPr>
            <w:r>
              <w:rPr>
                <w:color w:val="3A4450"/>
                <w:sz w:val="21"/>
              </w:rPr>
              <w:t>6</w:t>
            </w:r>
          </w:p>
        </w:tc>
      </w:tr>
      <w:tr>
        <w:tc>
          <w:tcPr>
            <w:tcW w:type="dxa" w:w="8064"/>
          </w:tcPr>
          <w:p>
            <w:pPr>
              <w:spacing w:before="40"/>
              <w:ind w:left="360"/>
            </w:pPr>
            <w:r>
              <w:rPr>
                <w:rFonts w:ascii="Calibri" w:hAnsi="Calibri"/>
                <w:color w:val="3A4450"/>
                <w:sz w:val="21"/>
              </w:rPr>
              <w:t>3. Mengakses AETHER</w:t>
            </w:r>
          </w:p>
        </w:tc>
        <w:tc>
          <w:tcPr>
            <w:tcW w:type="dxa" w:w="1296"/>
          </w:tcPr>
          <w:p>
            <w:pPr>
              <w:jc w:val="right"/>
            </w:pPr>
            <w:r>
              <w:rPr>
                <w:color w:val="3A4450"/>
                <w:sz w:val="21"/>
              </w:rPr>
              <w:t>6</w:t>
            </w:r>
          </w:p>
        </w:tc>
      </w:tr>
      <w:tr>
        <w:tc>
          <w:tcPr>
            <w:tcW w:type="dxa" w:w="8064"/>
          </w:tcPr>
          <w:p>
            <w:pPr>
              <w:spacing w:before="40"/>
              <w:ind w:left="360"/>
            </w:pPr>
            <w:r>
              <w:rPr>
                <w:rFonts w:ascii="Calibri" w:hAnsi="Calibri"/>
                <w:color w:val="3A4450"/>
                <w:sz w:val="21"/>
              </w:rPr>
              <w:t>4. Portal Publik</w:t>
            </w:r>
          </w:p>
        </w:tc>
        <w:tc>
          <w:tcPr>
            <w:tcW w:type="dxa" w:w="1296"/>
          </w:tcPr>
          <w:p>
            <w:pPr>
              <w:jc w:val="right"/>
            </w:pPr>
            <w:r>
              <w:rPr>
                <w:color w:val="3A4450"/>
                <w:sz w:val="21"/>
              </w:rPr>
              <w:t>6</w:t>
            </w:r>
          </w:p>
        </w:tc>
      </w:tr>
      <w:tr>
        <w:tc>
          <w:tcPr>
            <w:tcW w:type="dxa" w:w="8064"/>
          </w:tcPr>
          <w:p>
            <w:pPr>
              <w:spacing w:before="40"/>
              <w:ind w:left="720"/>
            </w:pPr>
            <w:r>
              <w:rPr>
                <w:rFonts w:ascii="Calibri" w:hAnsi="Calibri"/>
                <w:color w:val="3A4450"/>
                <w:sz w:val="21"/>
              </w:rPr>
              <w:t>4.1 Peta Risiko (Risk Map)</w:t>
            </w:r>
          </w:p>
        </w:tc>
        <w:tc>
          <w:tcPr>
            <w:tcW w:type="dxa" w:w="1296"/>
          </w:tcPr>
          <w:p>
            <w:pPr>
              <w:jc w:val="right"/>
            </w:pPr>
            <w:r>
              <w:rPr>
                <w:color w:val="3A4450"/>
                <w:sz w:val="21"/>
              </w:rPr>
              <w:t>6</w:t>
            </w:r>
          </w:p>
        </w:tc>
      </w:tr>
      <w:tr>
        <w:tc>
          <w:tcPr>
            <w:tcW w:type="dxa" w:w="8064"/>
          </w:tcPr>
          <w:p>
            <w:pPr>
              <w:spacing w:before="40"/>
              <w:ind w:left="720"/>
            </w:pPr>
            <w:r>
              <w:rPr>
                <w:rFonts w:ascii="Calibri" w:hAnsi="Calibri"/>
                <w:color w:val="3A4450"/>
                <w:sz w:val="21"/>
              </w:rPr>
              <w:t>4.2 Daftar Bencana (Hazards)</w:t>
            </w:r>
          </w:p>
        </w:tc>
        <w:tc>
          <w:tcPr>
            <w:tcW w:type="dxa" w:w="1296"/>
          </w:tcPr>
          <w:p>
            <w:pPr>
              <w:jc w:val="right"/>
            </w:pPr>
            <w:r>
              <w:rPr>
                <w:color w:val="3A4450"/>
                <w:sz w:val="21"/>
              </w:rPr>
              <w:t>7</w:t>
            </w:r>
          </w:p>
        </w:tc>
      </w:tr>
      <w:tr>
        <w:tc>
          <w:tcPr>
            <w:tcW w:type="dxa" w:w="8064"/>
          </w:tcPr>
          <w:p>
            <w:pPr>
              <w:spacing w:before="40"/>
              <w:ind w:left="720"/>
            </w:pPr>
            <w:r>
              <w:rPr>
                <w:rFonts w:ascii="Calibri" w:hAnsi="Calibri"/>
                <w:color w:val="3A4450"/>
                <w:sz w:val="21"/>
              </w:rPr>
              <w:t>4.3 Dashboard Keberlanjutan (Sustainability)</w:t>
            </w:r>
          </w:p>
        </w:tc>
        <w:tc>
          <w:tcPr>
            <w:tcW w:type="dxa" w:w="1296"/>
          </w:tcPr>
          <w:p>
            <w:pPr>
              <w:jc w:val="right"/>
            </w:pPr>
            <w:r>
              <w:rPr>
                <w:color w:val="3A4450"/>
                <w:sz w:val="21"/>
              </w:rPr>
              <w:t>7</w:t>
            </w:r>
          </w:p>
        </w:tc>
      </w:tr>
      <w:tr>
        <w:tc>
          <w:tcPr>
            <w:tcW w:type="dxa" w:w="8064"/>
          </w:tcPr>
          <w:p>
            <w:pPr>
              <w:spacing w:before="40"/>
              <w:ind w:left="360"/>
            </w:pPr>
            <w:r>
              <w:rPr>
                <w:rFonts w:ascii="Calibri" w:hAnsi="Calibri"/>
                <w:color w:val="3A4450"/>
                <w:sz w:val="21"/>
              </w:rPr>
              <w:t>5. Ruang Kerja Analis/Agensi (Perlu Login)</w:t>
            </w:r>
          </w:p>
        </w:tc>
        <w:tc>
          <w:tcPr>
            <w:tcW w:type="dxa" w:w="1296"/>
          </w:tcPr>
          <w:p>
            <w:pPr>
              <w:jc w:val="right"/>
            </w:pPr>
            <w:r>
              <w:rPr>
                <w:color w:val="3A4450"/>
                <w:sz w:val="21"/>
              </w:rPr>
              <w:t>7</w:t>
            </w:r>
          </w:p>
        </w:tc>
      </w:tr>
      <w:tr>
        <w:tc>
          <w:tcPr>
            <w:tcW w:type="dxa" w:w="8064"/>
          </w:tcPr>
          <w:p>
            <w:pPr>
              <w:spacing w:before="40"/>
              <w:ind w:left="720"/>
            </w:pPr>
            <w:r>
              <w:rPr>
                <w:rFonts w:ascii="Calibri" w:hAnsi="Calibri"/>
                <w:color w:val="3A4450"/>
                <w:sz w:val="21"/>
              </w:rPr>
              <w:t>5.1 Risk Assessments (Penilaian Risiko)</w:t>
            </w:r>
          </w:p>
        </w:tc>
        <w:tc>
          <w:tcPr>
            <w:tcW w:type="dxa" w:w="1296"/>
          </w:tcPr>
          <w:p>
            <w:pPr>
              <w:jc w:val="right"/>
            </w:pPr>
            <w:r>
              <w:rPr>
                <w:color w:val="3A4450"/>
                <w:sz w:val="21"/>
              </w:rPr>
              <w:t>7</w:t>
            </w:r>
          </w:p>
        </w:tc>
      </w:tr>
      <w:tr>
        <w:tc>
          <w:tcPr>
            <w:tcW w:type="dxa" w:w="8064"/>
          </w:tcPr>
          <w:p>
            <w:pPr>
              <w:spacing w:before="40"/>
              <w:ind w:left="720"/>
            </w:pPr>
            <w:r>
              <w:rPr>
                <w:rFonts w:ascii="Calibri" w:hAnsi="Calibri"/>
                <w:color w:val="3A4450"/>
                <w:sz w:val="21"/>
              </w:rPr>
              <w:t>5.2 Decision Intelligence (Rekomendasi Keputusan)</w:t>
            </w:r>
          </w:p>
        </w:tc>
        <w:tc>
          <w:tcPr>
            <w:tcW w:type="dxa" w:w="1296"/>
          </w:tcPr>
          <w:p>
            <w:pPr>
              <w:jc w:val="right"/>
            </w:pPr>
            <w:r>
              <w:rPr>
                <w:color w:val="3A4450"/>
                <w:sz w:val="21"/>
              </w:rPr>
              <w:t>7</w:t>
            </w:r>
          </w:p>
        </w:tc>
      </w:tr>
      <w:tr>
        <w:tc>
          <w:tcPr>
            <w:tcW w:type="dxa" w:w="8064"/>
          </w:tcPr>
          <w:p>
            <w:pPr>
              <w:spacing w:before="40"/>
              <w:ind w:left="720"/>
            </w:pPr>
            <w:r>
              <w:rPr>
                <w:rFonts w:ascii="Calibri" w:hAnsi="Calibri"/>
                <w:color w:val="3A4450"/>
                <w:sz w:val="21"/>
              </w:rPr>
              <w:t>5.3 Resource Planning (Perencanaan Sumber Daya)</w:t>
            </w:r>
          </w:p>
        </w:tc>
        <w:tc>
          <w:tcPr>
            <w:tcW w:type="dxa" w:w="1296"/>
          </w:tcPr>
          <w:p>
            <w:pPr>
              <w:jc w:val="right"/>
            </w:pPr>
            <w:r>
              <w:rPr>
                <w:color w:val="3A4450"/>
                <w:sz w:val="21"/>
              </w:rPr>
              <w:t>7</w:t>
            </w:r>
          </w:p>
        </w:tc>
      </w:tr>
      <w:tr>
        <w:tc>
          <w:tcPr>
            <w:tcW w:type="dxa" w:w="8064"/>
          </w:tcPr>
          <w:p>
            <w:pPr>
              <w:spacing w:before="40"/>
              <w:ind w:left="720"/>
            </w:pPr>
            <w:r>
              <w:rPr>
                <w:rFonts w:ascii="Calibri" w:hAnsi="Calibri"/>
                <w:color w:val="3A4450"/>
                <w:sz w:val="21"/>
              </w:rPr>
              <w:t>5.4 Field Reports (Laporan Lapangan)</w:t>
            </w:r>
          </w:p>
        </w:tc>
        <w:tc>
          <w:tcPr>
            <w:tcW w:type="dxa" w:w="1296"/>
          </w:tcPr>
          <w:p>
            <w:pPr>
              <w:jc w:val="right"/>
            </w:pPr>
            <w:r>
              <w:rPr>
                <w:color w:val="3A4450"/>
                <w:sz w:val="21"/>
              </w:rPr>
              <w:t>7</w:t>
            </w:r>
          </w:p>
        </w:tc>
      </w:tr>
      <w:tr>
        <w:tc>
          <w:tcPr>
            <w:tcW w:type="dxa" w:w="8064"/>
          </w:tcPr>
          <w:p>
            <w:pPr>
              <w:spacing w:before="40"/>
              <w:ind w:left="720"/>
            </w:pPr>
            <w:r>
              <w:rPr>
                <w:rFonts w:ascii="Calibri" w:hAnsi="Calibri"/>
                <w:color w:val="3A4450"/>
                <w:sz w:val="21"/>
              </w:rPr>
              <w:t>5.5 Analytics (Analitik)</w:t>
            </w:r>
          </w:p>
        </w:tc>
        <w:tc>
          <w:tcPr>
            <w:tcW w:type="dxa" w:w="1296"/>
          </w:tcPr>
          <w:p>
            <w:pPr>
              <w:jc w:val="right"/>
            </w:pPr>
            <w:r>
              <w:rPr>
                <w:color w:val="3A4450"/>
                <w:sz w:val="21"/>
              </w:rPr>
              <w:t>8</w:t>
            </w:r>
          </w:p>
        </w:tc>
      </w:tr>
      <w:tr>
        <w:tc>
          <w:tcPr>
            <w:tcW w:type="dxa" w:w="8064"/>
          </w:tcPr>
          <w:p>
            <w:pPr>
              <w:spacing w:before="40"/>
              <w:ind w:left="360"/>
            </w:pPr>
            <w:r>
              <w:rPr>
                <w:rFonts w:ascii="Calibri" w:hAnsi="Calibri"/>
                <w:color w:val="3A4450"/>
                <w:sz w:val="21"/>
              </w:rPr>
              <w:t>6. Login &amp; Area Admin</w:t>
            </w:r>
          </w:p>
        </w:tc>
        <w:tc>
          <w:tcPr>
            <w:tcW w:type="dxa" w:w="1296"/>
          </w:tcPr>
          <w:p>
            <w:pPr>
              <w:jc w:val="right"/>
            </w:pPr>
            <w:r>
              <w:rPr>
                <w:color w:val="3A4450"/>
                <w:sz w:val="21"/>
              </w:rPr>
              <w:t>8</w:t>
            </w:r>
          </w:p>
        </w:tc>
      </w:tr>
      <w:tr>
        <w:tc>
          <w:tcPr>
            <w:tcW w:type="dxa" w:w="8064"/>
          </w:tcPr>
          <w:p>
            <w:pPr>
              <w:spacing w:before="40"/>
              <w:ind w:left="360"/>
            </w:pPr>
            <w:r>
              <w:rPr>
                <w:rFonts w:ascii="Calibri" w:hAnsi="Calibri"/>
                <w:color w:val="3A4450"/>
                <w:sz w:val="21"/>
              </w:rPr>
              <w:t>7. Notifikasi Real-Time</w:t>
            </w:r>
          </w:p>
        </w:tc>
        <w:tc>
          <w:tcPr>
            <w:tcW w:type="dxa" w:w="1296"/>
          </w:tcPr>
          <w:p>
            <w:pPr>
              <w:jc w:val="right"/>
            </w:pPr>
            <w:r>
              <w:rPr>
                <w:color w:val="3A4450"/>
                <w:sz w:val="21"/>
              </w:rPr>
              <w:t>8</w:t>
            </w:r>
          </w:p>
        </w:tc>
      </w:tr>
      <w:tr>
        <w:tc>
          <w:tcPr>
            <w:tcW w:type="dxa" w:w="8064"/>
          </w:tcPr>
          <w:p>
            <w:pPr>
              <w:spacing w:before="200"/>
              <w:ind w:left="0"/>
            </w:pPr>
            <w:r>
              <w:rPr>
                <w:rFonts w:ascii="Calibri" w:hAnsi="Calibri"/>
                <w:b/>
                <w:color w:val="0F2A43"/>
                <w:sz w:val="24"/>
              </w:rPr>
              <w:t>BAGIAN C — PANDUAN TEKNIS</w:t>
            </w:r>
          </w:p>
        </w:tc>
        <w:tc>
          <w:tcPr>
            <w:tcW w:type="dxa" w:w="1296"/>
          </w:tcPr>
          <w:p>
            <w:pPr>
              <w:jc w:val="right"/>
            </w:pPr>
            <w:r>
              <w:rPr>
                <w:color w:val="3A4450"/>
                <w:sz w:val="21"/>
              </w:rPr>
              <w:t>9</w:t>
            </w:r>
          </w:p>
        </w:tc>
      </w:tr>
      <w:tr>
        <w:tc>
          <w:tcPr>
            <w:tcW w:type="dxa" w:w="8064"/>
          </w:tcPr>
          <w:p>
            <w:pPr>
              <w:spacing w:before="40"/>
              <w:ind w:left="360"/>
            </w:pPr>
            <w:r>
              <w:rPr>
                <w:rFonts w:ascii="Calibri" w:hAnsi="Calibri"/>
                <w:color w:val="3A4450"/>
                <w:sz w:val="21"/>
              </w:rPr>
              <w:t>8. Arsitektur Sistem</w:t>
            </w:r>
          </w:p>
        </w:tc>
        <w:tc>
          <w:tcPr>
            <w:tcW w:type="dxa" w:w="1296"/>
          </w:tcPr>
          <w:p>
            <w:pPr>
              <w:jc w:val="right"/>
            </w:pPr>
            <w:r>
              <w:rPr>
                <w:color w:val="3A4450"/>
                <w:sz w:val="21"/>
              </w:rPr>
              <w:t>9</w:t>
            </w:r>
          </w:p>
        </w:tc>
      </w:tr>
      <w:tr>
        <w:tc>
          <w:tcPr>
            <w:tcW w:type="dxa" w:w="8064"/>
          </w:tcPr>
          <w:p>
            <w:pPr>
              <w:spacing w:before="40"/>
              <w:ind w:left="720"/>
            </w:pPr>
            <w:r>
              <w:rPr>
                <w:rFonts w:ascii="Calibri" w:hAnsi="Calibri"/>
                <w:color w:val="3A4450"/>
                <w:sz w:val="21"/>
              </w:rPr>
              <w:t>8.1 Aturan Baku (Invariant) — Jangan Dilanggar</w:t>
            </w:r>
          </w:p>
        </w:tc>
        <w:tc>
          <w:tcPr>
            <w:tcW w:type="dxa" w:w="1296"/>
          </w:tcPr>
          <w:p>
            <w:pPr>
              <w:jc w:val="right"/>
            </w:pPr>
            <w:r>
              <w:rPr>
                <w:color w:val="3A4450"/>
                <w:sz w:val="21"/>
              </w:rPr>
              <w:t>9</w:t>
            </w:r>
          </w:p>
        </w:tc>
      </w:tr>
      <w:tr>
        <w:tc>
          <w:tcPr>
            <w:tcW w:type="dxa" w:w="8064"/>
          </w:tcPr>
          <w:p>
            <w:pPr>
              <w:spacing w:before="40"/>
              <w:ind w:left="720"/>
            </w:pPr>
            <w:r>
              <w:rPr>
                <w:rFonts w:ascii="Calibri" w:hAnsi="Calibri"/>
                <w:color w:val="3A4450"/>
                <w:sz w:val="21"/>
              </w:rPr>
              <w:t>8.2 Alur Data Singkat</w:t>
            </w:r>
          </w:p>
        </w:tc>
        <w:tc>
          <w:tcPr>
            <w:tcW w:type="dxa" w:w="1296"/>
          </w:tcPr>
          <w:p>
            <w:pPr>
              <w:jc w:val="right"/>
            </w:pPr>
            <w:r>
              <w:rPr>
                <w:color w:val="3A4450"/>
                <w:sz w:val="21"/>
              </w:rPr>
              <w:t>9</w:t>
            </w:r>
          </w:p>
        </w:tc>
      </w:tr>
      <w:tr>
        <w:tc>
          <w:tcPr>
            <w:tcW w:type="dxa" w:w="8064"/>
          </w:tcPr>
          <w:p>
            <w:pPr>
              <w:spacing w:before="40"/>
              <w:ind w:left="360"/>
            </w:pPr>
            <w:r>
              <w:rPr>
                <w:rFonts w:ascii="Calibri" w:hAnsi="Calibri"/>
                <w:color w:val="3A4450"/>
                <w:sz w:val="21"/>
              </w:rPr>
              <w:t>9. Struktur Folder Repository</w:t>
            </w:r>
          </w:p>
        </w:tc>
        <w:tc>
          <w:tcPr>
            <w:tcW w:type="dxa" w:w="1296"/>
          </w:tcPr>
          <w:p>
            <w:pPr>
              <w:jc w:val="right"/>
            </w:pPr>
            <w:r>
              <w:rPr>
                <w:color w:val="3A4450"/>
                <w:sz w:val="21"/>
              </w:rPr>
              <w:t>10</w:t>
            </w:r>
          </w:p>
        </w:tc>
      </w:tr>
      <w:tr>
        <w:tc>
          <w:tcPr>
            <w:tcW w:type="dxa" w:w="8064"/>
          </w:tcPr>
          <w:p>
            <w:pPr>
              <w:spacing w:before="40"/>
              <w:ind w:left="360"/>
            </w:pPr>
            <w:r>
              <w:rPr>
                <w:rFonts w:ascii="Calibri" w:hAnsi="Calibri"/>
                <w:color w:val="3A4450"/>
                <w:sz w:val="21"/>
              </w:rPr>
              <w:t>10. Instalasi &amp; Menjalankan Secara Lokal</w:t>
            </w:r>
          </w:p>
        </w:tc>
        <w:tc>
          <w:tcPr>
            <w:tcW w:type="dxa" w:w="1296"/>
          </w:tcPr>
          <w:p>
            <w:pPr>
              <w:jc w:val="right"/>
            </w:pPr>
            <w:r>
              <w:rPr>
                <w:color w:val="3A4450"/>
                <w:sz w:val="21"/>
              </w:rPr>
              <w:t>10</w:t>
            </w:r>
          </w:p>
        </w:tc>
      </w:tr>
      <w:tr>
        <w:tc>
          <w:tcPr>
            <w:tcW w:type="dxa" w:w="8064"/>
          </w:tcPr>
          <w:p>
            <w:pPr>
              <w:spacing w:before="40"/>
              <w:ind w:left="720"/>
            </w:pPr>
            <w:r>
              <w:rPr>
                <w:rFonts w:ascii="Calibri" w:hAnsi="Calibri"/>
                <w:color w:val="3A4450"/>
                <w:sz w:val="21"/>
              </w:rPr>
              <w:t>10.1 Prasyarat</w:t>
            </w:r>
          </w:p>
        </w:tc>
        <w:tc>
          <w:tcPr>
            <w:tcW w:type="dxa" w:w="1296"/>
          </w:tcPr>
          <w:p>
            <w:pPr>
              <w:jc w:val="right"/>
            </w:pPr>
            <w:r>
              <w:rPr>
                <w:color w:val="3A4450"/>
                <w:sz w:val="21"/>
              </w:rPr>
              <w:t>10</w:t>
            </w:r>
          </w:p>
        </w:tc>
      </w:tr>
      <w:tr>
        <w:tc>
          <w:tcPr>
            <w:tcW w:type="dxa" w:w="8064"/>
          </w:tcPr>
          <w:p>
            <w:pPr>
              <w:spacing w:before="40"/>
              <w:ind w:left="720"/>
            </w:pPr>
            <w:r>
              <w:rPr>
                <w:rFonts w:ascii="Calibri" w:hAnsi="Calibri"/>
                <w:color w:val="3A4450"/>
                <w:sz w:val="21"/>
              </w:rPr>
              <w:t>10.2 Menjalankan dengan Docker Compose (Direkomendasikan)</w:t>
            </w:r>
          </w:p>
        </w:tc>
        <w:tc>
          <w:tcPr>
            <w:tcW w:type="dxa" w:w="1296"/>
          </w:tcPr>
          <w:p>
            <w:pPr>
              <w:jc w:val="right"/>
            </w:pPr>
            <w:r>
              <w:rPr>
                <w:color w:val="3A4450"/>
                <w:sz w:val="21"/>
              </w:rPr>
              <w:t>10</w:t>
            </w:r>
          </w:p>
        </w:tc>
      </w:tr>
      <w:tr>
        <w:tc>
          <w:tcPr>
            <w:tcW w:type="dxa" w:w="8064"/>
          </w:tcPr>
          <w:p>
            <w:pPr>
              <w:spacing w:before="40"/>
              <w:ind w:left="720"/>
            </w:pPr>
            <w:r>
              <w:rPr>
                <w:rFonts w:ascii="Calibri" w:hAnsi="Calibri"/>
                <w:color w:val="3A4450"/>
                <w:sz w:val="21"/>
              </w:rPr>
              <w:t>10.3 Menjalankan Tanpa Docker (Local Dev)</w:t>
            </w:r>
          </w:p>
        </w:tc>
        <w:tc>
          <w:tcPr>
            <w:tcW w:type="dxa" w:w="1296"/>
          </w:tcPr>
          <w:p>
            <w:pPr>
              <w:jc w:val="right"/>
            </w:pPr>
            <w:r>
              <w:rPr>
                <w:color w:val="3A4450"/>
                <w:sz w:val="21"/>
              </w:rPr>
              <w:t>11</w:t>
            </w:r>
          </w:p>
        </w:tc>
      </w:tr>
      <w:tr>
        <w:tc>
          <w:tcPr>
            <w:tcW w:type="dxa" w:w="8064"/>
          </w:tcPr>
          <w:p>
            <w:pPr>
              <w:spacing w:before="40"/>
              <w:ind w:left="720"/>
            </w:pPr>
            <w:r>
              <w:rPr>
                <w:rFonts w:ascii="Calibri" w:hAnsi="Calibri"/>
                <w:color w:val="3A4450"/>
                <w:sz w:val="21"/>
              </w:rPr>
              <w:t>10.4 Environment Variables (Variabel Lingkungan) Penting</w:t>
            </w:r>
          </w:p>
        </w:tc>
        <w:tc>
          <w:tcPr>
            <w:tcW w:type="dxa" w:w="1296"/>
          </w:tcPr>
          <w:p>
            <w:pPr>
              <w:jc w:val="right"/>
            </w:pPr>
            <w:r>
              <w:rPr>
                <w:color w:val="3A4450"/>
                <w:sz w:val="21"/>
              </w:rPr>
              <w:t>11</w:t>
            </w:r>
          </w:p>
        </w:tc>
      </w:tr>
      <w:tr>
        <w:tc>
          <w:tcPr>
            <w:tcW w:type="dxa" w:w="8064"/>
          </w:tcPr>
          <w:p>
            <w:pPr>
              <w:spacing w:before="40"/>
              <w:ind w:left="360"/>
            </w:pPr>
            <w:r>
              <w:rPr>
                <w:rFonts w:ascii="Calibri" w:hAnsi="Calibri"/>
                <w:color w:val="3A4450"/>
                <w:sz w:val="21"/>
              </w:rPr>
              <w:t>11. Modul Backend (apps/api)</w:t>
            </w:r>
          </w:p>
        </w:tc>
        <w:tc>
          <w:tcPr>
            <w:tcW w:type="dxa" w:w="1296"/>
          </w:tcPr>
          <w:p>
            <w:pPr>
              <w:jc w:val="right"/>
            </w:pPr>
            <w:r>
              <w:rPr>
                <w:color w:val="3A4450"/>
                <w:sz w:val="21"/>
              </w:rPr>
              <w:t>12</w:t>
            </w:r>
          </w:p>
        </w:tc>
      </w:tr>
      <w:tr>
        <w:tc>
          <w:tcPr>
            <w:tcW w:type="dxa" w:w="8064"/>
          </w:tcPr>
          <w:p>
            <w:pPr>
              <w:spacing w:before="40"/>
              <w:ind w:left="360"/>
            </w:pPr>
            <w:r>
              <w:rPr>
                <w:rFonts w:ascii="Calibri" w:hAnsi="Calibri"/>
                <w:color w:val="3A4450"/>
                <w:sz w:val="21"/>
              </w:rPr>
              <w:t>12. Mesin AI (apps/ai-engine)</w:t>
            </w:r>
          </w:p>
        </w:tc>
        <w:tc>
          <w:tcPr>
            <w:tcW w:type="dxa" w:w="1296"/>
          </w:tcPr>
          <w:p>
            <w:pPr>
              <w:jc w:val="right"/>
            </w:pPr>
            <w:r>
              <w:rPr>
                <w:color w:val="3A4450"/>
                <w:sz w:val="21"/>
              </w:rPr>
              <w:t>12</w:t>
            </w:r>
          </w:p>
        </w:tc>
      </w:tr>
      <w:tr>
        <w:tc>
          <w:tcPr>
            <w:tcW w:type="dxa" w:w="8064"/>
          </w:tcPr>
          <w:p>
            <w:pPr>
              <w:spacing w:before="40"/>
              <w:ind w:left="360"/>
            </w:pPr>
            <w:r>
              <w:rPr>
                <w:rFonts w:ascii="Calibri" w:hAnsi="Calibri"/>
                <w:color w:val="3A4450"/>
                <w:sz w:val="21"/>
              </w:rPr>
              <w:t>13. Sumber Data Eksternal</w:t>
            </w:r>
          </w:p>
        </w:tc>
        <w:tc>
          <w:tcPr>
            <w:tcW w:type="dxa" w:w="1296"/>
          </w:tcPr>
          <w:p>
            <w:pPr>
              <w:jc w:val="right"/>
            </w:pPr>
            <w:r>
              <w:rPr>
                <w:color w:val="3A4450"/>
                <w:sz w:val="21"/>
              </w:rPr>
              <w:t>13</w:t>
            </w:r>
          </w:p>
        </w:tc>
      </w:tr>
      <w:tr>
        <w:tc>
          <w:tcPr>
            <w:tcW w:type="dxa" w:w="8064"/>
          </w:tcPr>
          <w:p>
            <w:pPr>
              <w:spacing w:before="40"/>
              <w:ind w:left="360"/>
            </w:pPr>
            <w:r>
              <w:rPr>
                <w:rFonts w:ascii="Calibri" w:hAnsi="Calibri"/>
                <w:color w:val="3A4450"/>
                <w:sz w:val="21"/>
              </w:rPr>
              <w:t>14. Status Pengembangan</w:t>
            </w:r>
          </w:p>
        </w:tc>
        <w:tc>
          <w:tcPr>
            <w:tcW w:type="dxa" w:w="1296"/>
          </w:tcPr>
          <w:p>
            <w:pPr>
              <w:jc w:val="right"/>
            </w:pPr>
            <w:r>
              <w:rPr>
                <w:color w:val="3A4450"/>
                <w:sz w:val="21"/>
              </w:rPr>
              <w:t>14</w:t>
            </w:r>
          </w:p>
        </w:tc>
      </w:tr>
      <w:tr>
        <w:tc>
          <w:tcPr>
            <w:tcW w:type="dxa" w:w="8064"/>
          </w:tcPr>
          <w:p>
            <w:pPr>
              <w:spacing w:before="200"/>
              <w:ind w:left="0"/>
            </w:pPr>
            <w:r>
              <w:rPr>
                <w:rFonts w:ascii="Calibri" w:hAnsi="Calibri"/>
                <w:b/>
                <w:color w:val="0F2A43"/>
                <w:sz w:val="24"/>
              </w:rPr>
              <w:t>BAGIAN D — LAMPIRAN</w:t>
            </w:r>
          </w:p>
        </w:tc>
        <w:tc>
          <w:tcPr>
            <w:tcW w:type="dxa" w:w="1296"/>
          </w:tcPr>
          <w:p>
            <w:pPr>
              <w:jc w:val="right"/>
            </w:pPr>
            <w:r>
              <w:rPr>
                <w:color w:val="3A4450"/>
                <w:sz w:val="21"/>
              </w:rPr>
              <w:t>15</w:t>
            </w:r>
          </w:p>
        </w:tc>
      </w:tr>
      <w:tr>
        <w:tc>
          <w:tcPr>
            <w:tcW w:type="dxa" w:w="8064"/>
          </w:tcPr>
          <w:p>
            <w:pPr>
              <w:spacing w:before="40"/>
              <w:ind w:left="360"/>
            </w:pPr>
            <w:r>
              <w:rPr>
                <w:rFonts w:ascii="Calibri" w:hAnsi="Calibri"/>
                <w:color w:val="3A4450"/>
                <w:sz w:val="21"/>
              </w:rPr>
              <w:t>15. Glosarium</w:t>
            </w:r>
          </w:p>
        </w:tc>
        <w:tc>
          <w:tcPr>
            <w:tcW w:type="dxa" w:w="1296"/>
          </w:tcPr>
          <w:p>
            <w:pPr>
              <w:jc w:val="right"/>
            </w:pPr>
            <w:r>
              <w:rPr>
                <w:color w:val="3A4450"/>
                <w:sz w:val="21"/>
              </w:rPr>
              <w:t>15</w:t>
            </w:r>
          </w:p>
        </w:tc>
      </w:tr>
      <w:tr>
        <w:tc>
          <w:tcPr>
            <w:tcW w:type="dxa" w:w="8064"/>
          </w:tcPr>
          <w:p>
            <w:pPr>
              <w:spacing w:before="40"/>
              <w:ind w:left="360"/>
            </w:pPr>
            <w:r>
              <w:rPr>
                <w:rFonts w:ascii="Calibri" w:hAnsi="Calibri"/>
                <w:color w:val="3A4450"/>
                <w:sz w:val="21"/>
              </w:rPr>
              <w:t>16. Referensi Dokumen Lengkap</w:t>
            </w:r>
          </w:p>
        </w:tc>
        <w:tc>
          <w:tcPr>
            <w:tcW w:type="dxa" w:w="1296"/>
          </w:tcPr>
          <w:p>
            <w:pPr>
              <w:jc w:val="right"/>
            </w:pPr>
            <w:r>
              <w:rPr>
                <w:color w:val="3A4450"/>
                <w:sz w:val="21"/>
              </w:rPr>
              <w:t>16</w:t>
            </w:r>
          </w:p>
        </w:tc>
      </w:tr>
    </w:tbl>
    <w:p>
      <w:r>
        <w:br w:type="page"/>
      </w:r>
    </w:p>
    <w:p>
      <w:pPr>
        <w:pStyle w:val="Heading1"/>
      </w:pPr>
      <w:r>
        <w:t>BAGIAN A — PENGENALAN</w:t>
      </w:r>
    </w:p>
    <w:p>
      <w:pPr>
        <w:pStyle w:val="Heading2"/>
      </w:pPr>
      <w:r>
        <w:t>1. Tentang AETHER</w:t>
      </w:r>
    </w:p>
    <w:p>
      <w:r>
        <w:t>AETHER (Adaptive Environmental Threat &amp; Hazard Evaluation for Resilience) adalah platform intelijen risiko multi-bencana berbasis kecerdasan buatan (AI) untuk Indonesia. Berbeda dari sistem tanggap bencana biasa yang baru bereaksi setelah bencana terjadi, misi utama AETHER adalah prediksi dan pencegahan (prediction &amp; prevention): menilai tingkat risiko suatu wilayah secara terus-menerus, bahkan sebelum ada kejadian bencana konkret.</w:t>
      </w:r>
    </w:p>
    <w:p>
      <w:r>
        <w:t>Secara sederhana, AETHER menjawab pertanyaan: “seberapa berisiko wilayah ini sekarang?” — bukan hanya “apa yang harus dilakukan setelah bencana terjadi?”.</w:t>
      </w:r>
    </w:p>
    <w:p>
      <w:pPr>
        <w:pStyle w:val="Heading3"/>
      </w:pPr>
      <w:r>
        <w:t>1.1 Jenis Bencana yang Dicakup</w:t>
      </w:r>
    </w:p>
    <w:p>
      <w:r>
        <w:t>AETHER memodelkan empat jenis bencana sekaligus, lengkap dengan hubungan sebab-akibat antar bencana (misalnya gempa bumi yang memicu tanah longsor):</w:t>
      </w:r>
    </w:p>
    <w:tbl>
      <w:tblPr>
        <w:tblStyle w:val="TableGrid"/>
        <w:tblW w:type="auto" w:w="0"/>
        <w:jc w:val="center"/>
        <w:tblLook w:firstColumn="1" w:firstRow="1" w:lastColumn="0" w:lastRow="0" w:noHBand="0" w:noVBand="1" w:val="04A0"/>
      </w:tblPr>
      <w:tblGrid>
        <w:gridCol w:w="4816"/>
        <w:gridCol w:w="4816"/>
      </w:tblGrid>
      <w:tr>
        <w:tc>
          <w:tcPr>
            <w:tcW w:type="dxa" w:w="3744"/>
            <w:shd w:val="clear" w:color="auto" w:fill="0F2A43"/>
          </w:tcPr>
          <w:p>
            <w:pPr>
              <w:jc w:val="left"/>
            </w:pPr>
            <w:r>
              <w:rPr>
                <w:b/>
                <w:color w:val="FFFFFF"/>
                <w:sz w:val="21"/>
              </w:rPr>
              <w:t>Jenis Bencana</w:t>
            </w:r>
          </w:p>
        </w:tc>
        <w:tc>
          <w:tcPr>
            <w:tcW w:type="dxa" w:w="5184"/>
            <w:shd w:val="clear" w:color="auto" w:fill="0F2A43"/>
          </w:tcPr>
          <w:p>
            <w:pPr>
              <w:jc w:val="left"/>
            </w:pPr>
            <w:r>
              <w:rPr>
                <w:b/>
                <w:color w:val="FFFFFF"/>
                <w:sz w:val="21"/>
              </w:rPr>
              <w:t>Sumber Data Utama</w:t>
            </w:r>
          </w:p>
        </w:tc>
      </w:tr>
      <w:tr>
        <w:tc>
          <w:tcPr>
            <w:tcW w:type="dxa" w:w="3744"/>
          </w:tcPr>
          <w:p>
            <w:r>
              <w:rPr>
                <w:sz w:val="21"/>
              </w:rPr>
              <w:t>Gempa Bumi (Earthquake)</w:t>
            </w:r>
          </w:p>
        </w:tc>
        <w:tc>
          <w:tcPr>
            <w:tcW w:type="dxa" w:w="5184"/>
          </w:tcPr>
          <w:p>
            <w:r>
              <w:rPr>
                <w:sz w:val="21"/>
              </w:rPr>
              <w:t>BMKG (Badan Meteorologi, Klimatologi, dan Geofisika)</w:t>
            </w:r>
          </w:p>
        </w:tc>
      </w:tr>
      <w:tr>
        <w:tc>
          <w:tcPr>
            <w:tcW w:type="dxa" w:w="3744"/>
          </w:tcPr>
          <w:p>
            <w:r>
              <w:rPr>
                <w:sz w:val="21"/>
              </w:rPr>
              <w:t>Tanah Longsor (Landslide)</w:t>
            </w:r>
          </w:p>
        </w:tc>
        <w:tc>
          <w:tcPr>
            <w:tcW w:type="dxa" w:w="5184"/>
          </w:tcPr>
          <w:p>
            <w:r>
              <w:rPr>
                <w:sz w:val="21"/>
              </w:rPr>
              <w:t>Input manual/tersimulasi — belum ada feed publik real-time yang stabil</w:t>
            </w:r>
          </w:p>
        </w:tc>
      </w:tr>
      <w:tr>
        <w:tc>
          <w:tcPr>
            <w:tcW w:type="dxa" w:w="3744"/>
          </w:tcPr>
          <w:p>
            <w:r>
              <w:rPr>
                <w:sz w:val="21"/>
              </w:rPr>
              <w:t>Banjir (Flood)</w:t>
            </w:r>
          </w:p>
        </w:tc>
        <w:tc>
          <w:tcPr>
            <w:tcW w:type="dxa" w:w="5184"/>
          </w:tcPr>
          <w:p>
            <w:r>
              <w:rPr>
                <w:sz w:val="21"/>
              </w:rPr>
              <w:t>API cuaca/curah hujan &amp; ketinggian air (real-time)</w:t>
            </w:r>
          </w:p>
        </w:tc>
      </w:tr>
      <w:tr>
        <w:tc>
          <w:tcPr>
            <w:tcW w:type="dxa" w:w="3744"/>
          </w:tcPr>
          <w:p>
            <w:r>
              <w:rPr>
                <w:sz w:val="21"/>
              </w:rPr>
              <w:t>Kebakaran Hutan (Wildfire)</w:t>
            </w:r>
          </w:p>
        </w:tc>
        <w:tc>
          <w:tcPr>
            <w:tcW w:type="dxa" w:w="5184"/>
          </w:tcPr>
          <w:p>
            <w:r>
              <w:rPr>
                <w:sz w:val="21"/>
              </w:rPr>
              <w:t>NASA FIRMS — deteksi titik panas satelit (real-time)</w:t>
            </w:r>
          </w:p>
        </w:tc>
      </w:tr>
    </w:tbl>
    <w:p/>
    <w:p>
      <w:pPr>
        <w:pStyle w:val="Note"/>
      </w:pPr>
      <w:r>
        <w:rPr>
          <w:b/>
        </w:rPr>
        <w:t xml:space="preserve">Catatan: </w:t>
      </w:r>
      <w:r>
        <w:t>AETHER juga mendeteksi hubungan bertingkat (cascading) antar bencana — misalnya gempa besar di suatu wilayah yang berpotensi memicu longsor di sekitarnya. Ini adalah fitur pembeda utama dibanding sistem sebelumnya.</w:t>
      </w:r>
    </w:p>
    <w:p>
      <w:pPr>
        <w:pStyle w:val="Heading3"/>
      </w:pPr>
      <w:r>
        <w:t>1.2 Cara Kerja Singkat</w:t>
      </w:r>
    </w:p>
    <w:p>
      <w:r>
        <w:t>AETHER bekerja lewat dua jalur penilaian risiko:</w:t>
      </w:r>
    </w:p>
    <w:p>
      <w:pPr>
        <w:pStyle w:val="ListNumber"/>
      </w:pPr>
      <w:r>
        <w:rPr>
          <w:b/>
          <w:color w:val="0F2A43"/>
        </w:rPr>
        <w:t xml:space="preserve">Jalur berbasis kejadian (event-triggered): </w:t>
      </w:r>
      <w:r/>
      <w:r>
        <w:t>ketika ada laporan bencana masuk (dari BMKG, API cuaca, NASA FIRMS, atau laporan warga), sistem otomatis memvalidasi data, menentukan wilayah yang terdampak, menghitung skor risiko, memberi rekomendasi prioritas penanganan, dan — bila perlu — menyusun rencana sumber daya (evakuasi, shelter, logistik).</w:t>
      </w:r>
    </w:p>
    <w:p>
      <w:pPr>
        <w:pStyle w:val="ListNumber"/>
      </w:pPr>
      <w:r>
        <w:rPr>
          <w:b/>
          <w:color w:val="0F2A43"/>
        </w:rPr>
        <w:t xml:space="preserve">Jalur berkala (standing/baseline): </w:t>
      </w:r>
      <w:r/>
      <w:r>
        <w:t>secara terjadwal, sistem menilai ulang tingkat risiko tiap wilayah untuk tiap jenis bencana meskipun tidak ada kejadian yang sedang berlangsung. Inilah yang membuat AETHER bersifat prediktif, bukan sekadar reaktif.</w:t>
      </w:r>
    </w:p>
    <w:p>
      <w:pPr>
        <w:pStyle w:val="Heading3"/>
      </w:pPr>
      <w:r>
        <w:t>1.3 Tiga Komponen Utama Sistem</w:t>
      </w:r>
    </w:p>
    <w:p>
      <w:r>
        <w:t>Di balik layar, AETHER dibangun dari tiga bagian yang saling terhubung (istilah teknis lengkap ada di Bagian C untuk pembaca yang memerlukan detail teknis):</w:t>
      </w:r>
    </w:p>
    <w:p>
      <w:pPr>
        <w:pStyle w:val="ListBullet"/>
      </w:pPr>
      <w:r>
        <w:rPr>
          <w:b/>
          <w:color w:val="0F2A43"/>
        </w:rPr>
        <w:t xml:space="preserve">Aplikasi Web (apps/web) — </w:t>
      </w:r>
      <w:r/>
      <w:r>
        <w:t>tampilan yang dilihat dan digunakan pengguna: peta risiko publik, dashboard keberlanjutan, dan ruang kerja analis/agensi.</w:t>
      </w:r>
    </w:p>
    <w:p>
      <w:pPr>
        <w:pStyle w:val="ListBullet"/>
      </w:pPr>
      <w:r>
        <w:rPr>
          <w:b/>
          <w:color w:val="0F2A43"/>
        </w:rPr>
        <w:t xml:space="preserve">API / Backend (apps/api) — </w:t>
      </w:r>
      <w:r/>
      <w:r>
        <w:t>“otak administratif” sistem: menyimpan data, mengelola akun &amp; hak akses, mengambil data dari sumber eksternal, dan menjadi satu-satunya pintu yang boleh diakses oleh aplikasi web.</w:t>
      </w:r>
    </w:p>
    <w:p>
      <w:pPr>
        <w:pStyle w:val="ListBullet"/>
      </w:pPr>
      <w:r>
        <w:rPr>
          <w:b/>
          <w:color w:val="0F2A43"/>
        </w:rPr>
        <w:t xml:space="preserve">Mesin AI (apps/ai-engine) — </w:t>
      </w:r>
      <w:r/>
      <w:r>
        <w:t>lima “otak analitis” yang menghitung prediksi risiko, rekomendasi keputusan, dan optimasi sumber daya, tanpa pernah diakses langsung oleh aplikasi web.</w:t>
      </w:r>
    </w:p>
    <w:p>
      <w:pPr>
        <w:pStyle w:val="Heading2"/>
      </w:pPr>
      <w:r>
        <w:t>2. Peran Pengguna &amp; Hak Akses</w:t>
      </w:r>
    </w:p>
    <w:p>
      <w:r>
        <w:t>Setiap pengguna AETHER memiliki salah satu dari empat peran berikut, yang menentukan menu dan aksi apa saja yang tersedia baginya:</w:t>
      </w:r>
    </w:p>
    <w:tbl>
      <w:tblPr>
        <w:tblStyle w:val="TableGrid"/>
        <w:tblW w:type="auto" w:w="0"/>
        <w:jc w:val="center"/>
        <w:tblLook w:firstColumn="1" w:firstRow="1" w:lastColumn="0" w:lastRow="0" w:noHBand="0" w:noVBand="1" w:val="04A0"/>
      </w:tblPr>
      <w:tblGrid>
        <w:gridCol w:w="3211"/>
        <w:gridCol w:w="3211"/>
        <w:gridCol w:w="3211"/>
      </w:tblGrid>
      <w:tr>
        <w:tc>
          <w:tcPr>
            <w:tcW w:type="dxa" w:w="2304"/>
            <w:shd w:val="clear" w:color="auto" w:fill="0F2A43"/>
          </w:tcPr>
          <w:p>
            <w:pPr>
              <w:jc w:val="left"/>
            </w:pPr>
            <w:r>
              <w:rPr>
                <w:b/>
                <w:color w:val="FFFFFF"/>
                <w:sz w:val="21"/>
              </w:rPr>
              <w:t>Peran</w:t>
            </w:r>
          </w:p>
        </w:tc>
        <w:tc>
          <w:tcPr>
            <w:tcW w:type="dxa" w:w="3744"/>
            <w:shd w:val="clear" w:color="auto" w:fill="0F2A43"/>
          </w:tcPr>
          <w:p>
            <w:pPr>
              <w:jc w:val="left"/>
            </w:pPr>
            <w:r>
              <w:rPr>
                <w:b/>
                <w:color w:val="FFFFFF"/>
                <w:sz w:val="21"/>
              </w:rPr>
              <w:t>Deskripsi</w:t>
            </w:r>
          </w:p>
        </w:tc>
        <w:tc>
          <w:tcPr>
            <w:tcW w:type="dxa" w:w="4320"/>
            <w:shd w:val="clear" w:color="auto" w:fill="0F2A43"/>
          </w:tcPr>
          <w:p>
            <w:pPr>
              <w:jc w:val="left"/>
            </w:pPr>
            <w:r>
              <w:rPr>
                <w:b/>
                <w:color w:val="FFFFFF"/>
                <w:sz w:val="21"/>
              </w:rPr>
              <w:t>Hak Akses Utama</w:t>
            </w:r>
          </w:p>
        </w:tc>
      </w:tr>
      <w:tr>
        <w:tc>
          <w:tcPr>
            <w:tcW w:type="dxa" w:w="2304"/>
          </w:tcPr>
          <w:p>
            <w:r>
              <w:rPr>
                <w:sz w:val="21"/>
              </w:rPr>
              <w:t>Admin</w:t>
            </w:r>
          </w:p>
        </w:tc>
        <w:tc>
          <w:tcPr>
            <w:tcW w:type="dxa" w:w="3744"/>
          </w:tcPr>
          <w:p>
            <w:r>
              <w:rPr>
                <w:sz w:val="21"/>
              </w:rPr>
              <w:t>Administrator sistem</w:t>
            </w:r>
          </w:p>
        </w:tc>
        <w:tc>
          <w:tcPr>
            <w:tcW w:type="dxa" w:w="4320"/>
          </w:tcPr>
          <w:p>
            <w:r>
              <w:rPr>
                <w:sz w:val="21"/>
              </w:rPr>
              <w:t>Akses penuh ke seluruh fitur &amp; pengaturan</w:t>
            </w:r>
          </w:p>
        </w:tc>
      </w:tr>
      <w:tr>
        <w:tc>
          <w:tcPr>
            <w:tcW w:type="dxa" w:w="2304"/>
          </w:tcPr>
          <w:p>
            <w:r>
              <w:rPr>
                <w:sz w:val="21"/>
              </w:rPr>
              <w:t>Agency Operator</w:t>
            </w:r>
          </w:p>
        </w:tc>
        <w:tc>
          <w:tcPr>
            <w:tcW w:type="dxa" w:w="3744"/>
          </w:tcPr>
          <w:p>
            <w:r>
              <w:rPr>
                <w:sz w:val="21"/>
              </w:rPr>
              <w:t>Operator instansi/lembaga terkait kebencanaan</w:t>
            </w:r>
          </w:p>
        </w:tc>
        <w:tc>
          <w:tcPr>
            <w:tcW w:type="dxa" w:w="4320"/>
          </w:tcPr>
          <w:p>
            <w:r>
              <w:rPr>
                <w:sz w:val="21"/>
              </w:rPr>
              <w:t>Mengelola data historis bencana, rencana sumber daya, dan data shelter</w:t>
            </w:r>
          </w:p>
        </w:tc>
      </w:tr>
      <w:tr>
        <w:tc>
          <w:tcPr>
            <w:tcW w:type="dxa" w:w="2304"/>
          </w:tcPr>
          <w:p>
            <w:r>
              <w:rPr>
                <w:sz w:val="21"/>
              </w:rPr>
              <w:t>Analyst</w:t>
            </w:r>
          </w:p>
        </w:tc>
        <w:tc>
          <w:tcPr>
            <w:tcW w:type="dxa" w:w="3744"/>
          </w:tcPr>
          <w:p>
            <w:r>
              <w:rPr>
                <w:sz w:val="21"/>
              </w:rPr>
              <w:t>Analis yang meninjau data risiko</w:t>
            </w:r>
          </w:p>
        </w:tc>
        <w:tc>
          <w:tcPr>
            <w:tcW w:type="dxa" w:w="4320"/>
          </w:tcPr>
          <w:p>
            <w:r>
              <w:rPr>
                <w:sz w:val="21"/>
              </w:rPr>
              <w:t>Hanya membaca (read-only): penilaian risiko, rekomendasi keputusan, metrik keberlanjutan</w:t>
            </w:r>
          </w:p>
        </w:tc>
      </w:tr>
      <w:tr>
        <w:tc>
          <w:tcPr>
            <w:tcW w:type="dxa" w:w="2304"/>
          </w:tcPr>
          <w:p>
            <w:r>
              <w:rPr>
                <w:sz w:val="21"/>
              </w:rPr>
              <w:t>Field Reporter</w:t>
            </w:r>
          </w:p>
        </w:tc>
        <w:tc>
          <w:tcPr>
            <w:tcW w:type="dxa" w:w="3744"/>
          </w:tcPr>
          <w:p>
            <w:r>
              <w:rPr>
                <w:sz w:val="21"/>
              </w:rPr>
              <w:t>Petugas/relawan lapangan</w:t>
            </w:r>
          </w:p>
        </w:tc>
        <w:tc>
          <w:tcPr>
            <w:tcW w:type="dxa" w:w="4320"/>
          </w:tcPr>
          <w:p>
            <w:r>
              <w:rPr>
                <w:sz w:val="21"/>
              </w:rPr>
              <w:t>Mengirim laporan foto lapangan untuk dianalisis sistem Computer Vision</w:t>
            </w:r>
          </w:p>
        </w:tc>
      </w:tr>
    </w:tbl>
    <w:p/>
    <w:p>
      <w:pPr>
        <w:pStyle w:val="Note"/>
      </w:pPr>
      <w:r>
        <w:rPr>
          <w:b/>
        </w:rPr>
        <w:t xml:space="preserve">Catatan: </w:t>
      </w:r>
      <w:r>
        <w:t>Halaman publik (Peta Risiko, Daftar Bencana, Dashboard Keberlanjutan) dapat diakses siapa saja tanpa login. Halaman ruang kerja (workspace) memerlukan login dengan salah satu peran di atas.</w:t>
      </w:r>
    </w:p>
    <w:p>
      <w:pPr>
        <w:pStyle w:val="Heading1"/>
      </w:pPr>
      <w:r>
        <w:t>BAGIAN B — PANDUAN PENGGUNA</w:t>
      </w:r>
    </w:p>
    <w:p>
      <w:r>
        <w:t>Bagian ini menjelaskan cara memakai AETHER dari sudut pandang pengguna aplikasi (bukan pengembang) — apa yang ada di tiap halaman dan apa yang bisa dilakukan di sana.</w:t>
      </w:r>
    </w:p>
    <w:p>
      <w:pPr>
        <w:pStyle w:val="Heading2"/>
      </w:pPr>
      <w:r>
        <w:t>3. Mengakses AETHER</w:t>
      </w:r>
    </w:p>
    <w:p>
      <w:r>
        <w:t>Navigasi utama AETHER terletak di bilah atas (top navigation) halaman web, dan terbagi menjadi dua area besar:</w:t>
      </w:r>
    </w:p>
    <w:tbl>
      <w:tblPr>
        <w:tblStyle w:val="TableGrid"/>
        <w:tblW w:type="auto" w:w="0"/>
        <w:jc w:val="center"/>
        <w:tblLook w:firstColumn="1" w:firstRow="1" w:lastColumn="0" w:lastRow="0" w:noHBand="0" w:noVBand="1" w:val="04A0"/>
      </w:tblPr>
      <w:tblGrid>
        <w:gridCol w:w="3211"/>
        <w:gridCol w:w="3211"/>
        <w:gridCol w:w="3211"/>
      </w:tblGrid>
      <w:tr>
        <w:tc>
          <w:tcPr>
            <w:tcW w:type="dxa" w:w="3168"/>
            <w:shd w:val="clear" w:color="auto" w:fill="0F2A43"/>
          </w:tcPr>
          <w:p>
            <w:pPr>
              <w:jc w:val="left"/>
            </w:pPr>
            <w:r>
              <w:rPr>
                <w:b/>
                <w:color w:val="FFFFFF"/>
                <w:sz w:val="21"/>
              </w:rPr>
              <w:t>Area</w:t>
            </w:r>
          </w:p>
        </w:tc>
        <w:tc>
          <w:tcPr>
            <w:tcW w:type="dxa" w:w="3168"/>
            <w:shd w:val="clear" w:color="auto" w:fill="0F2A43"/>
          </w:tcPr>
          <w:p>
            <w:pPr>
              <w:jc w:val="left"/>
            </w:pPr>
            <w:r>
              <w:rPr>
                <w:b/>
                <w:color w:val="FFFFFF"/>
                <w:sz w:val="21"/>
              </w:rPr>
              <w:t>Perlu Login?</w:t>
            </w:r>
          </w:p>
        </w:tc>
        <w:tc>
          <w:tcPr>
            <w:tcW w:type="dxa" w:w="5040"/>
            <w:shd w:val="clear" w:color="auto" w:fill="0F2A43"/>
          </w:tcPr>
          <w:p>
            <w:pPr>
              <w:jc w:val="left"/>
            </w:pPr>
            <w:r>
              <w:rPr>
                <w:b/>
                <w:color w:val="FFFFFF"/>
                <w:sz w:val="21"/>
              </w:rPr>
              <w:t>Menu</w:t>
            </w:r>
          </w:p>
        </w:tc>
      </w:tr>
      <w:tr>
        <w:tc>
          <w:tcPr>
            <w:tcW w:type="dxa" w:w="3168"/>
          </w:tcPr>
          <w:p>
            <w:r>
              <w:rPr>
                <w:sz w:val="21"/>
              </w:rPr>
              <w:t>Portal Publik</w:t>
            </w:r>
          </w:p>
        </w:tc>
        <w:tc>
          <w:tcPr>
            <w:tcW w:type="dxa" w:w="3168"/>
          </w:tcPr>
          <w:p>
            <w:r>
              <w:rPr>
                <w:sz w:val="21"/>
              </w:rPr>
              <w:t>Tidak</w:t>
            </w:r>
          </w:p>
        </w:tc>
        <w:tc>
          <w:tcPr>
            <w:tcW w:type="dxa" w:w="5040"/>
          </w:tcPr>
          <w:p>
            <w:r>
              <w:rPr>
                <w:sz w:val="21"/>
              </w:rPr>
              <w:t>Risk Map (Peta Risiko), Hazards (Daftar Bencana), Sustainability (Keberlanjutan)</w:t>
            </w:r>
          </w:p>
        </w:tc>
      </w:tr>
      <w:tr>
        <w:tc>
          <w:tcPr>
            <w:tcW w:type="dxa" w:w="3168"/>
          </w:tcPr>
          <w:p>
            <w:r>
              <w:rPr>
                <w:sz w:val="21"/>
              </w:rPr>
              <w:t>Ruang Kerja (Workspace)</w:t>
            </w:r>
          </w:p>
        </w:tc>
        <w:tc>
          <w:tcPr>
            <w:tcW w:type="dxa" w:w="3168"/>
          </w:tcPr>
          <w:p>
            <w:r>
              <w:rPr>
                <w:sz w:val="21"/>
              </w:rPr>
              <w:t>Ya — Analyst, Agency Operator, Field Reporter, atau Admin</w:t>
            </w:r>
          </w:p>
        </w:tc>
        <w:tc>
          <w:tcPr>
            <w:tcW w:type="dxa" w:w="5040"/>
          </w:tcPr>
          <w:p>
            <w:r>
              <w:rPr>
                <w:sz w:val="21"/>
              </w:rPr>
              <w:t>Risk Assessments, Decision Intelligence, Resource Planning, Field Reports, Analytics</w:t>
            </w:r>
          </w:p>
        </w:tc>
      </w:tr>
      <w:tr>
        <w:tc>
          <w:tcPr>
            <w:tcW w:type="dxa" w:w="3168"/>
          </w:tcPr>
          <w:p>
            <w:r>
              <w:rPr>
                <w:sz w:val="21"/>
              </w:rPr>
              <w:t>Area Admin</w:t>
            </w:r>
          </w:p>
        </w:tc>
        <w:tc>
          <w:tcPr>
            <w:tcW w:type="dxa" w:w="3168"/>
          </w:tcPr>
          <w:p>
            <w:r>
              <w:rPr>
                <w:sz w:val="21"/>
              </w:rPr>
              <w:t>Ya — Admin</w:t>
            </w:r>
          </w:p>
        </w:tc>
        <w:tc>
          <w:tcPr>
            <w:tcW w:type="dxa" w:w="5040"/>
          </w:tcPr>
          <w:p>
            <w:r>
              <w:rPr>
                <w:sz w:val="21"/>
              </w:rPr>
              <w:t>Settings (Pengaturan), Profile (Profil)</w:t>
            </w:r>
          </w:p>
        </w:tc>
      </w:tr>
    </w:tbl>
    <w:p/>
    <w:p>
      <w:pPr>
        <w:pStyle w:val="Heading2"/>
      </w:pPr>
      <w:r>
        <w:t>4. Portal Publik</w:t>
      </w:r>
    </w:p>
    <w:p>
      <w:pPr>
        <w:pStyle w:val="Heading3"/>
      </w:pPr>
      <w:r>
        <w:t>4.1 Peta Risiko (Risk Map)</w:t>
      </w:r>
    </w:p>
    <w:p>
      <w:r>
        <w:t>Halaman utama saat pertama kali membuka AETHER. Berisi:</w:t>
      </w:r>
    </w:p>
    <w:p>
      <w:pPr>
        <w:pStyle w:val="ListBullet"/>
      </w:pPr>
      <w:r>
        <w:t>Peta interaktif dengan penanda (marker) tiap kejadian bencana, diwarnai dan diberi ukuran sesuai tingkat keparahan.</w:t>
      </w:r>
    </w:p>
    <w:p>
      <w:pPr>
        <w:pStyle w:val="ListBullet"/>
      </w:pPr>
      <w:r>
        <w:t>Filter jenis bencana (gempa bumi, longsor, banjir, kebakaran hutan).</w:t>
      </w:r>
    </w:p>
    <w:p>
      <w:pPr>
        <w:pStyle w:val="ListBullet"/>
      </w:pPr>
      <w:r>
        <w:t>Lapisan overlay opsional: zona risiko, zona kerentanan (vulnerability), dan zona paparan (exposure).</w:t>
      </w:r>
    </w:p>
    <w:p>
      <w:pPr>
        <w:pStyle w:val="ListBullet"/>
      </w:pPr>
      <w:r>
        <w:t>Ringkasan KPI (indikator kinerja utama) di bagian atas halaman.</w:t>
      </w:r>
    </w:p>
    <w:p>
      <w:pPr>
        <w:pStyle w:val="ListBullet"/>
      </w:pPr>
      <w:r>
        <w:t>Panel Decision Intelligence yang menonjolkan rekomendasi prioritas AI.</w:t>
      </w:r>
    </w:p>
    <w:p>
      <w:pPr>
        <w:pStyle w:val="ListBullet"/>
      </w:pPr>
      <w:r>
        <w:t>Grafik aktivitas terkini dan distribusi tingkat risiko.</w:t>
      </w:r>
    </w:p>
    <w:p>
      <w:pPr>
        <w:pStyle w:val="ListBullet"/>
      </w:pPr>
      <w:r>
        <w:t>Indikator status langsung (live) dan lonceng notifikasi real-time.</w:t>
      </w:r>
    </w:p>
    <w:p>
      <w:pPr>
        <w:pStyle w:val="Heading3"/>
      </w:pPr>
      <w:r>
        <w:t>4.2 Daftar Bencana (Hazards)</w:t>
      </w:r>
    </w:p>
    <w:p>
      <w:r>
        <w:t>Menampilkan seluruh kejadian bencana dalam bentuk tabel dan peta kecil. Pengguna dapat mencari, memfilter berdasarkan jenis bencana, serta mengurutkan berdasarkan lokasi, waktu, tingkat keparahan, atau jumlah terdampak. Klik salah satu baris untuk membuka halaman detail kejadian tersebut.</w:t>
      </w:r>
    </w:p>
    <w:p>
      <w:pPr>
        <w:pStyle w:val="Heading3"/>
      </w:pPr>
      <w:r>
        <w:t>4.3 Dashboard Keberlanjutan (Sustainability)</w:t>
      </w:r>
    </w:p>
    <w:p>
      <w:r>
        <w:t>Halaman akuntabilitas publik yang menampilkan indikator-indikator berikut, diperbarui per wilayah dan periode:</w:t>
      </w:r>
    </w:p>
    <w:p>
      <w:pPr>
        <w:pStyle w:val="ListBullet"/>
      </w:pPr>
      <w:r>
        <w:t>Indikator SDG (Sustainable Development Goals).</w:t>
      </w:r>
    </w:p>
    <w:p>
      <w:pPr>
        <w:pStyle w:val="ListBullet"/>
      </w:pPr>
      <w:r>
        <w:t>Skor Ketahanan Iklim (Climate Resilience Score).</w:t>
      </w:r>
    </w:p>
    <w:p>
      <w:pPr>
        <w:pStyle w:val="ListBullet"/>
      </w:pPr>
      <w:r>
        <w:t>Estimasi Pengurangan Karbon (Carbon Reduction Estimate).</w:t>
      </w:r>
    </w:p>
    <w:p>
      <w:pPr>
        <w:pStyle w:val="ListBullet"/>
      </w:pPr>
      <w:r>
        <w:t>Populasi Terlindungi (Protected Population).</w:t>
      </w:r>
    </w:p>
    <w:p>
      <w:pPr>
        <w:pStyle w:val="ListBullet"/>
      </w:pPr>
      <w:r>
        <w:t>Skor Efisiensi Respons (Response Efficiency Score).</w:t>
      </w:r>
    </w:p>
    <w:p>
      <w:pPr>
        <w:pStyle w:val="Heading2"/>
      </w:pPr>
      <w:r>
        <w:t>5. Ruang Kerja Analis/Agensi (Perlu Login)</w:t>
      </w:r>
    </w:p>
    <w:p>
      <w:r>
        <w:t>Setelah login, pengguna dengan peran Analyst, Agency Operator, atau Field Reporter mendapat akses ke menu tambahan berikut.</w:t>
      </w:r>
    </w:p>
    <w:p>
      <w:pPr>
        <w:pStyle w:val="Heading3"/>
      </w:pPr>
      <w:r>
        <w:t>5.1 Risk Assessments (Penilaian Risiko)</w:t>
      </w:r>
    </w:p>
    <w:p>
      <w:r>
        <w:t>Tabel seluruh hasil penilaian risiko per distrik/wilayah, termasuk skor risiko, tingkat paparan, estimasi populasi terdampak, dan skor kepercayaan (confidence). Dapat difilter berdasarkan jenis bencana dan diurutkan berdasarkan kolom yang diinginkan.</w:t>
      </w:r>
    </w:p>
    <w:p>
      <w:pPr>
        <w:pStyle w:val="Heading3"/>
      </w:pPr>
      <w:r>
        <w:t>5.2 Decision Intelligence (Rekomendasi Keputusan)</w:t>
      </w:r>
    </w:p>
    <w:p>
      <w:r>
        <w:t>Daftar rekomendasi tindakan yang diurutkan berdasarkan tingkat prioritas (kritis, tinggi, sedang, rendah). Setiap rekomendasi disertai daftar alasan terstruktur (bukan teks bebas) — termasuk faktor bencana bertingkat (cascading) bila relevan — sehingga pengguna memahami mengapa AI memberi prioritas tertentu.</w:t>
      </w:r>
    </w:p>
    <w:p>
      <w:pPr>
        <w:pStyle w:val="Heading3"/>
      </w:pPr>
      <w:r>
        <w:t>5.3 Resource Planning (Perencanaan Sumber Daya)</w:t>
      </w:r>
    </w:p>
    <w:p>
      <w:r>
        <w:t>Menampilkan rencana evakuasi/shelter/logistik yang disusun otomatis ketika tingkat prioritas suatu wilayah melewati ambang batas tertentu, meliputi kebutuhan relawan, ambulans, kendaraan, tempat pengungsian, dan bantuan logistik — beserta data kapasitas dan okupansi shelter.</w:t>
      </w:r>
    </w:p>
    <w:p>
      <w:pPr>
        <w:pStyle w:val="Heading3"/>
      </w:pPr>
      <w:r>
        <w:t>5.4 Field Reports (Laporan Lapangan)</w:t>
      </w:r>
    </w:p>
    <w:p>
      <w:r>
        <w:t>Fitur bagi petugas/relawan lapangan (Field Reporter) untuk mengirim foto langsung dari lokasi. Langkah pengiriman laporan:</w:t>
      </w:r>
    </w:p>
    <w:p>
      <w:pPr>
        <w:pStyle w:val="ListNumber"/>
      </w:pPr>
      <w:r>
        <w:t>Buka menu Field Reports, lalu pilih “Submit Field Report” (kirim laporan baru).</w:t>
      </w:r>
    </w:p>
    <w:p>
      <w:pPr>
        <w:pStyle w:val="ListNumber"/>
      </w:pPr>
      <w:r>
        <w:t>Unggah foto dari lokasi kejadian.</w:t>
      </w:r>
    </w:p>
    <w:p>
      <w:pPr>
        <w:pStyle w:val="ListNumber"/>
      </w:pPr>
      <w:r>
        <w:t>(Opsional) Pilih perkiraan jenis bencana dan tambahkan catatan.</w:t>
      </w:r>
    </w:p>
    <w:p>
      <w:pPr>
        <w:pStyle w:val="ListNumber"/>
      </w:pPr>
      <w:r>
        <w:t>Kirim — foto akan otomatis dianalisis oleh sistem Computer Vision untuk mendeteksi tanda-tanda banjir, asap, api, atau kerusakan infrastruktur.</w:t>
      </w:r>
    </w:p>
    <w:p>
      <w:pPr>
        <w:pStyle w:val="ListNumber"/>
      </w:pPr>
      <w:r>
        <w:t>Hasil deteksi dapat ditinjau oleh reviewer, yang dapat menaikkan status laporan menjadi kejadian bencana resmi bila diperlukan.</w:t>
      </w:r>
    </w:p>
    <w:p>
      <w:pPr>
        <w:pStyle w:val="Note"/>
      </w:pPr>
      <w:r>
        <w:rPr>
          <w:b/>
        </w:rPr>
        <w:t xml:space="preserve">Catatan: </w:t>
      </w:r>
      <w:r>
        <w:t>Hanya peran Field Reporter, Agency Operator, dan Admin yang dapat mengirim laporan; peran lain hanya dapat melihat daftar laporan.</w:t>
      </w:r>
    </w:p>
    <w:p>
      <w:pPr>
        <w:pStyle w:val="Heading3"/>
      </w:pPr>
      <w:r>
        <w:t>5.5 Analytics (Analitik)</w:t>
      </w:r>
    </w:p>
    <w:p>
      <w:r>
        <w:t>Grafik dan statistik historis, termasuk data bencana masa lalu, yang dapat difilter berdasarkan provinsi dan periode waktu — berguna untuk melihat tren dan pola kejadian dari waktu ke waktu.</w:t>
      </w:r>
    </w:p>
    <w:p>
      <w:pPr>
        <w:pStyle w:val="Heading2"/>
      </w:pPr>
      <w:r>
        <w:t>6. Login &amp; Area Admin</w:t>
      </w:r>
    </w:p>
    <w:p>
      <w:r>
        <w:t>Login dilakukan melalui halaman khusus admin/login menggunakan email dan kata sandi. Setelah berhasil login, pengguna dengan peran Admin juga memperoleh akses ke:</w:t>
      </w:r>
    </w:p>
    <w:p>
      <w:pPr>
        <w:pStyle w:val="ListBullet"/>
      </w:pPr>
      <w:r>
        <w:rPr>
          <w:b/>
          <w:color w:val="0F2A43"/>
        </w:rPr>
        <w:t xml:space="preserve">Settings — </w:t>
      </w:r>
      <w:r/>
      <w:r>
        <w:t>pengaturan sistem.</w:t>
      </w:r>
    </w:p>
    <w:p>
      <w:pPr>
        <w:pStyle w:val="ListBullet"/>
      </w:pPr>
      <w:r>
        <w:rPr>
          <w:b/>
          <w:color w:val="0F2A43"/>
        </w:rPr>
        <w:t xml:space="preserve">Profile — </w:t>
      </w:r>
      <w:r/>
      <w:r>
        <w:t>pengelolaan profil akun pengguna.</w:t>
      </w:r>
    </w:p>
    <w:p>
      <w:pPr>
        <w:pStyle w:val="Heading2"/>
      </w:pPr>
      <w:r>
        <w:t>7. Notifikasi Real-Time</w:t>
      </w:r>
    </w:p>
    <w:p>
      <w:r>
        <w:t>AETHER mendorong (push) pembaruan secara langsung ke layar pengguna tanpa perlu memuat ulang halaman — misalnya saat ada kejadian bencana baru atau rekomendasi keputusan baru. Notifikasi ini ditandai dengan ikon lonceng dan indikator status langsung (live) di bagian atas halaman.</w:t>
      </w:r>
    </w:p>
    <w:p>
      <w:pPr>
        <w:pStyle w:val="Heading1"/>
      </w:pPr>
      <w:r>
        <w:t>BAGIAN C — PANDUAN TEKNIS</w:t>
      </w:r>
    </w:p>
    <w:p>
      <w:r>
        <w:t>Bagian ini ditujukan bagi developer, DevOps, atau administrator sistem yang perlu memasang (install), menjalankan, atau memahami arsitektur AETHER secara teknis.</w:t>
      </w:r>
    </w:p>
    <w:p>
      <w:pPr>
        <w:pStyle w:val="Heading2"/>
      </w:pPr>
      <w:r>
        <w:t>8. Arsitektur Sistem</w:t>
      </w:r>
    </w:p>
    <w:p>
      <w:r>
        <w:t>AETHER adalah monorepo (pnpm + turborepo) berisi tiga aplikasi yang membentuk satu sistem logis, dengan pemisahan tiga lapis (three-tier):</w:t>
      </w:r>
    </w:p>
    <w:tbl>
      <w:tblPr>
        <w:tblStyle w:val="TableGrid"/>
        <w:tblW w:type="auto" w:w="0"/>
        <w:jc w:val="center"/>
        <w:tblLook w:firstColumn="1" w:firstRow="1" w:lastColumn="0" w:lastRow="0" w:noHBand="0" w:noVBand="1" w:val="04A0"/>
      </w:tblPr>
      <w:tblGrid>
        <w:gridCol w:w="3211"/>
        <w:gridCol w:w="3211"/>
        <w:gridCol w:w="3211"/>
      </w:tblGrid>
      <w:tr>
        <w:tc>
          <w:tcPr>
            <w:tcW w:type="dxa" w:w="2592"/>
            <w:shd w:val="clear" w:color="auto" w:fill="0F2A43"/>
          </w:tcPr>
          <w:p>
            <w:pPr>
              <w:jc w:val="left"/>
            </w:pPr>
            <w:r>
              <w:rPr>
                <w:b/>
                <w:color w:val="FFFFFF"/>
                <w:sz w:val="21"/>
              </w:rPr>
              <w:t>Aplikasi</w:t>
            </w:r>
          </w:p>
        </w:tc>
        <w:tc>
          <w:tcPr>
            <w:tcW w:type="dxa" w:w="2592"/>
            <w:shd w:val="clear" w:color="auto" w:fill="0F2A43"/>
          </w:tcPr>
          <w:p>
            <w:pPr>
              <w:jc w:val="left"/>
            </w:pPr>
            <w:r>
              <w:rPr>
                <w:b/>
                <w:color w:val="FFFFFF"/>
                <w:sz w:val="21"/>
              </w:rPr>
              <w:t>Teknologi</w:t>
            </w:r>
          </w:p>
        </w:tc>
        <w:tc>
          <w:tcPr>
            <w:tcW w:type="dxa" w:w="5616"/>
            <w:shd w:val="clear" w:color="auto" w:fill="0F2A43"/>
          </w:tcPr>
          <w:p>
            <w:pPr>
              <w:jc w:val="left"/>
            </w:pPr>
            <w:r>
              <w:rPr>
                <w:b/>
                <w:color w:val="FFFFFF"/>
                <w:sz w:val="21"/>
              </w:rPr>
              <w:t>Peran</w:t>
            </w:r>
          </w:p>
        </w:tc>
      </w:tr>
      <w:tr>
        <w:tc>
          <w:tcPr>
            <w:tcW w:type="dxa" w:w="2592"/>
          </w:tcPr>
          <w:p>
            <w:r>
              <w:rPr>
                <w:sz w:val="21"/>
              </w:rPr>
              <w:t>apps/web</w:t>
            </w:r>
          </w:p>
        </w:tc>
        <w:tc>
          <w:tcPr>
            <w:tcW w:type="dxa" w:w="2592"/>
          </w:tcPr>
          <w:p>
            <w:r>
              <w:rPr>
                <w:sz w:val="21"/>
              </w:rPr>
              <w:t>Next.js 15</w:t>
            </w:r>
          </w:p>
        </w:tc>
        <w:tc>
          <w:tcPr>
            <w:tcW w:type="dxa" w:w="5616"/>
          </w:tcPr>
          <w:p>
            <w:r>
              <w:rPr>
                <w:sz w:val="21"/>
              </w:rPr>
              <w:t>Peta risiko publik + Dashboard Keberlanjutan + ruang kerja analis</w:t>
            </w:r>
          </w:p>
        </w:tc>
      </w:tr>
      <w:tr>
        <w:tc>
          <w:tcPr>
            <w:tcW w:type="dxa" w:w="2592"/>
          </w:tcPr>
          <w:p>
            <w:r>
              <w:rPr>
                <w:sz w:val="21"/>
              </w:rPr>
              <w:t>apps/api</w:t>
            </w:r>
          </w:p>
        </w:tc>
        <w:tc>
          <w:tcPr>
            <w:tcW w:type="dxa" w:w="2592"/>
          </w:tcPr>
          <w:p>
            <w:r>
              <w:rPr>
                <w:sz w:val="21"/>
              </w:rPr>
              <w:t>NestJS</w:t>
            </w:r>
          </w:p>
        </w:tc>
        <w:tc>
          <w:tcPr>
            <w:tcW w:type="dxa" w:w="5616"/>
          </w:tcPr>
          <w:p>
            <w:r>
              <w:rPr>
                <w:sz w:val="21"/>
              </w:rPr>
              <w:t>Sistem pencatatan utama: PostgreSQL/PostGIS, Redis, autentikasi, ingestion data, orkestrasi</w:t>
            </w:r>
          </w:p>
        </w:tc>
      </w:tr>
      <w:tr>
        <w:tc>
          <w:tcPr>
            <w:tcW w:type="dxa" w:w="2592"/>
          </w:tcPr>
          <w:p>
            <w:r>
              <w:rPr>
                <w:sz w:val="21"/>
              </w:rPr>
              <w:t>apps/ai-engine</w:t>
            </w:r>
          </w:p>
        </w:tc>
        <w:tc>
          <w:tcPr>
            <w:tcW w:type="dxa" w:w="2592"/>
          </w:tcPr>
          <w:p>
            <w:r>
              <w:rPr>
                <w:sz w:val="21"/>
              </w:rPr>
              <w:t>FastAPI (Python)</w:t>
            </w:r>
          </w:p>
        </w:tc>
        <w:tc>
          <w:tcPr>
            <w:tcW w:type="dxa" w:w="5616"/>
          </w:tcPr>
          <w:p>
            <w:r>
              <w:rPr>
                <w:sz w:val="21"/>
              </w:rPr>
              <w:t>Inferensi tanpa status (stateless): 5 mesin risiko internal di balik satu layanan</w:t>
            </w:r>
          </w:p>
        </w:tc>
      </w:tr>
    </w:tbl>
    <w:p/>
    <w:p>
      <w:pPr>
        <w:pStyle w:val="Heading3"/>
      </w:pPr>
      <w:r>
        <w:t>8.1 Aturan Baku (Invariant) — Jangan Dilanggar</w:t>
      </w:r>
    </w:p>
    <w:p>
      <w:pPr>
        <w:pStyle w:val="ListBullet"/>
      </w:pPr>
      <w:r>
        <w:t>apps/web tidak pernah memanggil apps/ai-engine secara langsung — hanya apps/api yang boleh melakukannya.</w:t>
      </w:r>
    </w:p>
    <w:p>
      <w:pPr>
        <w:pStyle w:val="ListBullet"/>
      </w:pPr>
      <w:r>
        <w:t>apps/ai-engine tidak pernah mengakses PostgreSQL/Redis secara langsung — bersifat stateless, murni fungsi dari data yang diterimanya.</w:t>
      </w:r>
    </w:p>
    <w:p>
      <w:pPr>
        <w:pStyle w:val="ListBullet"/>
      </w:pPr>
      <w:r>
        <w:t>apps/api adalah satu-satunya layanan dengan akses jaringan keluar (external network egress).</w:t>
      </w:r>
    </w:p>
    <w:p>
      <w:pPr>
        <w:pStyle w:val="ListBullet"/>
      </w:pPr>
      <w:r>
        <w:t>Batas autentikasi: JWT pengguna akhir hanya divalidasi di apps/api. Panggilan api → ai-engine diamankan oleh token layanan internal terpisah, bukan JWT pengguna.</w:t>
      </w:r>
    </w:p>
    <w:p>
      <w:pPr>
        <w:pStyle w:val="Heading3"/>
      </w:pPr>
      <w:r>
        <w:t>8.2 Alur Data Singkat</w:t>
      </w:r>
    </w:p>
    <w:p>
      <w:r>
        <w:t>Alur kejadian bencana (event-triggered): sumber eksternal (BMKG, API cuaca, NASA FIRMS, dll.) → adapter ingestion apps/api memvalidasi &amp; menyimpan data → Spatial Intelligence Engine menentukan wilayah terdampak &amp; mendeteksi hubungan bencana bertingkat → Hazard Prediction Engine menghitung skor risiko → Decision Intelligence Engine menyusun prioritas &amp; alasan → (bila prioritas tinggi) Resource Optimization Engine menyusun rencana sumber daya → seluruh hasil disimpan dan didorong (push) ke dashboard via WebSocket secara real-time.</w:t>
      </w:r>
    </w:p>
    <w:p>
      <w:r>
        <w:t>Bila apps/ai-engine tidak dapat dihubungi, kejadian bencana tetap tampil di sistem; penilaian risiko ditandai berstatus gagal (failed) dan dicoba ulang secara bertahap (retry with backoff) — proses ingestion data tidak pernah terhambat oleh gangguan pada mesin AI.</w:t>
      </w:r>
    </w:p>
    <w:p>
      <w:pPr>
        <w:pStyle w:val="Heading2"/>
      </w:pPr>
      <w:r>
        <w:t>9. Struktur Folder Repository</w:t>
      </w:r>
    </w:p>
    <w:p>
      <w:r>
        <w:t>Struktur folder utama proyek AETHER:</w:t>
      </w:r>
    </w:p>
    <w:p>
      <w:pPr>
        <w:spacing w:after="40"/>
      </w:pPr>
      <w:r>
        <w:rPr>
          <w:rFonts w:ascii="Consolas" w:hAnsi="Consolas"/>
          <w:color w:val="3A4450"/>
          <w:sz w:val="20"/>
        </w:rPr>
        <w:t>AETHER/</w:t>
        <w:br/>
      </w:r>
      <w:r>
        <w:rPr>
          <w:rFonts w:ascii="Consolas" w:hAnsi="Consolas"/>
          <w:color w:val="3A4450"/>
          <w:sz w:val="20"/>
        </w:rPr>
        <w:t>├─ apps/</w:t>
        <w:br/>
      </w:r>
      <w:r>
        <w:rPr>
          <w:rFonts w:ascii="Consolas" w:hAnsi="Consolas"/>
          <w:color w:val="3A4450"/>
          <w:sz w:val="20"/>
        </w:rPr>
        <w:t>│  ├─ web/          Next.js 15 (App Router) — antarmuka pengguna</w:t>
        <w:br/>
      </w:r>
      <w:r>
        <w:rPr>
          <w:rFonts w:ascii="Consolas" w:hAnsi="Consolas"/>
          <w:color w:val="3A4450"/>
          <w:sz w:val="20"/>
        </w:rPr>
        <w:t>│  ├─ api/           NestJS — backend/API utama</w:t>
        <w:br/>
      </w:r>
      <w:r>
        <w:rPr>
          <w:rFonts w:ascii="Consolas" w:hAnsi="Consolas"/>
          <w:color w:val="3A4450"/>
          <w:sz w:val="20"/>
        </w:rPr>
        <w:t>│  └─ ai-engine/      FastAPI (Python) — mesin inferensi AI</w:t>
        <w:br/>
      </w:r>
      <w:r>
        <w:rPr>
          <w:rFonts w:ascii="Consolas" w:hAnsi="Consolas"/>
          <w:color w:val="3A4450"/>
          <w:sz w:val="20"/>
        </w:rPr>
        <w:t>├─ packages/</w:t>
        <w:br/>
      </w:r>
      <w:r>
        <w:rPr>
          <w:rFonts w:ascii="Consolas" w:hAnsi="Consolas"/>
          <w:color w:val="3A4450"/>
          <w:sz w:val="20"/>
        </w:rPr>
        <w:t>│  ├─ contracts/      Tipe TypeScript bersama, digenerate dari OpenAPI spec apps/api</w:t>
        <w:br/>
      </w:r>
      <w:r>
        <w:rPr>
          <w:rFonts w:ascii="Consolas" w:hAnsi="Consolas"/>
          <w:color w:val="3A4450"/>
          <w:sz w:val="20"/>
        </w:rPr>
        <w:t>│  └─ config/         Preset eslint/tsconfig/tailwind bersama</w:t>
        <w:br/>
      </w:r>
      <w:r>
        <w:rPr>
          <w:rFonts w:ascii="Consolas" w:hAnsi="Consolas"/>
          <w:color w:val="3A4450"/>
          <w:sz w:val="20"/>
        </w:rPr>
        <w:t>├─ docs/              Dokumen desain: SRS, ARCHITECTURE, DATABASE_SCHEMA, API_SPEC</w:t>
        <w:br/>
      </w:r>
      <w:r>
        <w:rPr>
          <w:rFonts w:ascii="Consolas" w:hAnsi="Consolas"/>
          <w:color w:val="3A4450"/>
          <w:sz w:val="20"/>
        </w:rPr>
        <w:t>├─ infra/             docker-compose.yml</w:t>
        <w:br/>
      </w:r>
      <w:r>
        <w:rPr>
          <w:rFonts w:ascii="Consolas" w:hAnsi="Consolas"/>
          <w:color w:val="3A4450"/>
          <w:sz w:val="20"/>
        </w:rPr>
        <w:t>└─ .github/workflows/ CI/CD (GitHub Actions)</w:t>
        <w:br/>
      </w:r>
    </w:p>
    <w:p/>
    <w:p>
      <w:pPr>
        <w:pStyle w:val="Note"/>
      </w:pPr>
      <w:r>
        <w:rPr>
          <w:b/>
        </w:rPr>
        <w:t xml:space="preserve">Catatan: </w:t>
      </w:r>
      <w:r>
        <w:t>apps/ai-engine ditulis dalam Python dan berada di luar dependency graph pnpm/turborepo JS — dibangun dan dijalankan secara terpisah (memiliki Dockerfile dan requirements.txt sendiri), dan disatukan hanya melalui infra/docker-compose.yml.</w:t>
      </w:r>
    </w:p>
    <w:p>
      <w:pPr>
        <w:pStyle w:val="Heading2"/>
      </w:pPr>
      <w:r>
        <w:t>10. Instalasi &amp; Menjalankan Secara Lokal</w:t>
      </w:r>
    </w:p>
    <w:p>
      <w:pPr>
        <w:pStyle w:val="Heading3"/>
      </w:pPr>
      <w:r>
        <w:t>10.1 Prasyarat</w:t>
      </w:r>
    </w:p>
    <w:p>
      <w:pPr>
        <w:pStyle w:val="ListBullet"/>
      </w:pPr>
      <w:r>
        <w:t>Docker &amp; Docker Compose (cara tercepat/direkomendasikan).</w:t>
      </w:r>
    </w:p>
    <w:p>
      <w:pPr>
        <w:pStyle w:val="ListBullet"/>
      </w:pPr>
      <w:r>
        <w:t>Node.js + pnpm 10.x (bila menjalankan tanpa Docker).</w:t>
      </w:r>
    </w:p>
    <w:p>
      <w:pPr>
        <w:pStyle w:val="ListBullet"/>
      </w:pPr>
      <w:r>
        <w:t>Python 3.x + pip (untuk apps/ai-engine tanpa Docker).</w:t>
      </w:r>
    </w:p>
    <w:p>
      <w:pPr>
        <w:pStyle w:val="Heading3"/>
      </w:pPr>
      <w:r>
        <w:t>10.2 Menjalankan dengan Docker Compose (Direkomendasikan)</w:t>
      </w:r>
    </w:p>
    <w:p>
      <w:r>
        <w:t>Langkah-langkah:</w:t>
      </w:r>
    </w:p>
    <w:p>
      <w:pPr>
        <w:pStyle w:val="ListNumber"/>
      </w:pPr>
      <w:r>
        <w:t>Salin berkas contoh environment: cp .env.example .env</w:t>
      </w:r>
    </w:p>
    <w:p>
      <w:pPr>
        <w:pStyle w:val="ListNumber"/>
      </w:pPr>
      <w:r>
        <w:t>Jalankan seluruh layanan: docker compose -f infra/docker-compose.yml up -d --build</w:t>
      </w:r>
    </w:p>
    <w:p>
      <w:pPr>
        <w:pStyle w:val="ListNumber"/>
      </w:pPr>
      <w:r>
        <w:t>Jalankan migrasi database: docker compose -f infra/docker-compose.yml exec api pnpm run migration:run</w:t>
      </w:r>
    </w:p>
    <w:p>
      <w:pPr>
        <w:pStyle w:val="ListNumber"/>
      </w:pPr>
      <w:r>
        <w:t>Isi data awal (seed): docker compose -f infra/docker-compose.yml exec api pnpm run seed</w:t>
      </w:r>
    </w:p>
    <w:tbl>
      <w:tblPr>
        <w:tblStyle w:val="TableGrid"/>
        <w:tblW w:type="auto" w:w="0"/>
        <w:jc w:val="center"/>
        <w:tblLook w:firstColumn="1" w:firstRow="1" w:lastColumn="0" w:lastRow="0" w:noHBand="0" w:noVBand="1" w:val="04A0"/>
      </w:tblPr>
      <w:tblGrid>
        <w:gridCol w:w="4816"/>
        <w:gridCol w:w="4816"/>
      </w:tblGrid>
      <w:tr>
        <w:tc>
          <w:tcPr>
            <w:tcW w:type="dxa" w:w="3744"/>
            <w:shd w:val="clear" w:color="auto" w:fill="0F2A43"/>
          </w:tcPr>
          <w:p>
            <w:pPr>
              <w:jc w:val="left"/>
            </w:pPr>
            <w:r>
              <w:rPr>
                <w:b/>
                <w:color w:val="FFFFFF"/>
                <w:sz w:val="21"/>
              </w:rPr>
              <w:t>Layanan</w:t>
            </w:r>
          </w:p>
        </w:tc>
        <w:tc>
          <w:tcPr>
            <w:tcW w:type="dxa" w:w="7056"/>
            <w:shd w:val="clear" w:color="auto" w:fill="0F2A43"/>
          </w:tcPr>
          <w:p>
            <w:pPr>
              <w:jc w:val="left"/>
            </w:pPr>
            <w:r>
              <w:rPr>
                <w:b/>
                <w:color w:val="FFFFFF"/>
                <w:sz w:val="21"/>
              </w:rPr>
              <w:t>Alamat Akses</w:t>
            </w:r>
          </w:p>
        </w:tc>
      </w:tr>
      <w:tr>
        <w:tc>
          <w:tcPr>
            <w:tcW w:type="dxa" w:w="3744"/>
          </w:tcPr>
          <w:p>
            <w:r>
              <w:rPr>
                <w:sz w:val="21"/>
              </w:rPr>
              <w:t>Frontend (apps/web)</w:t>
            </w:r>
          </w:p>
        </w:tc>
        <w:tc>
          <w:tcPr>
            <w:tcW w:type="dxa" w:w="7056"/>
          </w:tcPr>
          <w:p>
            <w:r>
              <w:rPr>
                <w:sz w:val="21"/>
              </w:rPr>
              <w:t>http://localhost:3000</w:t>
            </w:r>
          </w:p>
        </w:tc>
      </w:tr>
      <w:tr>
        <w:tc>
          <w:tcPr>
            <w:tcW w:type="dxa" w:w="3744"/>
          </w:tcPr>
          <w:p>
            <w:r>
              <w:rPr>
                <w:sz w:val="21"/>
              </w:rPr>
              <w:t>API (apps/api)</w:t>
            </w:r>
          </w:p>
        </w:tc>
        <w:tc>
          <w:tcPr>
            <w:tcW w:type="dxa" w:w="7056"/>
          </w:tcPr>
          <w:p>
            <w:r>
              <w:rPr>
                <w:sz w:val="21"/>
              </w:rPr>
              <w:t>http://localhost:4000/api/v1 — dokumentasi Swagger di /docs</w:t>
            </w:r>
          </w:p>
        </w:tc>
      </w:tr>
      <w:tr>
        <w:tc>
          <w:tcPr>
            <w:tcW w:type="dxa" w:w="3744"/>
          </w:tcPr>
          <w:p>
            <w:r>
              <w:rPr>
                <w:sz w:val="21"/>
              </w:rPr>
              <w:t>AI Engine (apps/ai-engine)</w:t>
            </w:r>
          </w:p>
        </w:tc>
        <w:tc>
          <w:tcPr>
            <w:tcW w:type="dxa" w:w="7056"/>
          </w:tcPr>
          <w:p>
            <w:r>
              <w:rPr>
                <w:sz w:val="21"/>
              </w:rPr>
              <w:t>http://localhost:8000 — internal saja, tidak pernah diekspos ke frontend</w:t>
            </w:r>
          </w:p>
        </w:tc>
      </w:tr>
      <w:tr>
        <w:tc>
          <w:tcPr>
            <w:tcW w:type="dxa" w:w="3744"/>
          </w:tcPr>
          <w:p>
            <w:r>
              <w:rPr>
                <w:sz w:val="21"/>
              </w:rPr>
              <w:t>MinIO Console (object storage)</w:t>
            </w:r>
          </w:p>
        </w:tc>
        <w:tc>
          <w:tcPr>
            <w:tcW w:type="dxa" w:w="7056"/>
          </w:tcPr>
          <w:p>
            <w:r>
              <w:rPr>
                <w:sz w:val="21"/>
              </w:rPr>
              <w:t>http://localhost:9001 — kredensial ada di berkas .env</w:t>
            </w:r>
          </w:p>
        </w:tc>
      </w:tr>
    </w:tbl>
    <w:p/>
    <w:p>
      <w:pPr>
        <w:pStyle w:val="Heading3"/>
      </w:pPr>
      <w:r>
        <w:t>10.3 Menjalankan Tanpa Docker (Local Dev)</w:t>
      </w:r>
    </w:p>
    <w:p>
      <w:r>
        <w:rPr>
          <w:rFonts w:ascii="Consolas" w:hAnsi="Consolas"/>
          <w:color w:val="3A4450"/>
          <w:sz w:val="20"/>
        </w:rPr>
        <w:t>pnpm install</w:t>
        <w:br/>
      </w:r>
      <w:r>
        <w:rPr>
          <w:rFonts w:ascii="Consolas" w:hAnsi="Consolas"/>
          <w:color w:val="3A4450"/>
          <w:sz w:val="20"/>
        </w:rPr>
        <w:t>pnpm dev            # menjalankan apps/web + apps/api via turborepo</w:t>
        <w:br/>
      </w:r>
      <w:r>
        <w:rPr>
          <w:rFonts w:ascii="Consolas" w:hAnsi="Consolas"/>
          <w:color w:val="3A4450"/>
          <w:sz w:val="20"/>
        </w:rPr>
        <w:t>cd apps/ai-engine &amp;&amp; pip install -r requirements.txt \</w:t>
        <w:br/>
      </w:r>
      <w:r>
        <w:rPr>
          <w:rFonts w:ascii="Consolas" w:hAnsi="Consolas"/>
          <w:color w:val="3A4450"/>
          <w:sz w:val="20"/>
        </w:rPr>
        <w:t xml:space="preserve">    &amp;&amp; uvicorn app.main:app --reload --port 8000</w:t>
        <w:br/>
      </w:r>
    </w:p>
    <w:p/>
    <w:p>
      <w:pPr>
        <w:pStyle w:val="Heading3"/>
      </w:pPr>
      <w:r>
        <w:t>10.4 Environment Variables (Variabel Lingkungan) Penting</w:t>
      </w:r>
    </w:p>
    <w:p>
      <w:r>
        <w:t>Dikonfigurasi melalui berkas .env (contoh nilainya ada di .env.example):</w:t>
      </w:r>
    </w:p>
    <w:tbl>
      <w:tblPr>
        <w:tblStyle w:val="TableGrid"/>
        <w:tblW w:type="auto" w:w="0"/>
        <w:jc w:val="center"/>
        <w:tblLook w:firstColumn="1" w:firstRow="1" w:lastColumn="0" w:lastRow="0" w:noHBand="0" w:noVBand="1" w:val="04A0"/>
      </w:tblPr>
      <w:tblGrid>
        <w:gridCol w:w="3211"/>
        <w:gridCol w:w="3211"/>
        <w:gridCol w:w="3211"/>
      </w:tblGrid>
      <w:tr>
        <w:tc>
          <w:tcPr>
            <w:tcW w:type="dxa" w:w="2448"/>
            <w:shd w:val="clear" w:color="auto" w:fill="0F2A43"/>
          </w:tcPr>
          <w:p>
            <w:pPr>
              <w:jc w:val="left"/>
            </w:pPr>
            <w:r>
              <w:rPr>
                <w:b/>
                <w:color w:val="FFFFFF"/>
                <w:sz w:val="21"/>
              </w:rPr>
              <w:t>Kelompok</w:t>
            </w:r>
          </w:p>
        </w:tc>
        <w:tc>
          <w:tcPr>
            <w:tcW w:type="dxa" w:w="3744"/>
            <w:shd w:val="clear" w:color="auto" w:fill="0F2A43"/>
          </w:tcPr>
          <w:p>
            <w:pPr>
              <w:jc w:val="left"/>
            </w:pPr>
            <w:r>
              <w:rPr>
                <w:b/>
                <w:color w:val="FFFFFF"/>
                <w:sz w:val="21"/>
              </w:rPr>
              <w:t>Variabel Kunci</w:t>
            </w:r>
          </w:p>
        </w:tc>
        <w:tc>
          <w:tcPr>
            <w:tcW w:type="dxa" w:w="3888"/>
            <w:shd w:val="clear" w:color="auto" w:fill="0F2A43"/>
          </w:tcPr>
          <w:p>
            <w:pPr>
              <w:jc w:val="left"/>
            </w:pPr>
            <w:r>
              <w:rPr>
                <w:b/>
                <w:color w:val="FFFFFF"/>
                <w:sz w:val="21"/>
              </w:rPr>
              <w:t>Keterangan</w:t>
            </w:r>
          </w:p>
        </w:tc>
      </w:tr>
      <w:tr>
        <w:tc>
          <w:tcPr>
            <w:tcW w:type="dxa" w:w="2448"/>
          </w:tcPr>
          <w:p>
            <w:r>
              <w:rPr>
                <w:sz w:val="21"/>
              </w:rPr>
              <w:t>Database &amp; Cache</w:t>
            </w:r>
          </w:p>
        </w:tc>
        <w:tc>
          <w:tcPr>
            <w:tcW w:type="dxa" w:w="3744"/>
          </w:tcPr>
          <w:p>
            <w:r>
              <w:rPr>
                <w:sz w:val="21"/>
              </w:rPr>
              <w:t>DATABASE_URL, REDIS_URL, POSTGRES_USER/PASSWORD/DB</w:t>
            </w:r>
          </w:p>
        </w:tc>
        <w:tc>
          <w:tcPr>
            <w:tcW w:type="dxa" w:w="3888"/>
          </w:tcPr>
          <w:p>
            <w:r>
              <w:rPr>
                <w:sz w:val="21"/>
              </w:rPr>
              <w:t>Koneksi PostgreSQL(+PostGIS) dan Redis</w:t>
            </w:r>
          </w:p>
        </w:tc>
      </w:tr>
      <w:tr>
        <w:tc>
          <w:tcPr>
            <w:tcW w:type="dxa" w:w="2448"/>
          </w:tcPr>
          <w:p>
            <w:r>
              <w:rPr>
                <w:sz w:val="21"/>
              </w:rPr>
              <w:t>Autentikasi</w:t>
            </w:r>
          </w:p>
        </w:tc>
        <w:tc>
          <w:tcPr>
            <w:tcW w:type="dxa" w:w="3744"/>
          </w:tcPr>
          <w:p>
            <w:r>
              <w:rPr>
                <w:sz w:val="21"/>
              </w:rPr>
              <w:t>JWT_ACCESS_SECRET, JWT_REFRESH_SECRET, ADMIN_EMAIL, ADMIN_PASSWORD</w:t>
            </w:r>
          </w:p>
        </w:tc>
        <w:tc>
          <w:tcPr>
            <w:tcW w:type="dxa" w:w="3888"/>
          </w:tcPr>
          <w:p>
            <w:r>
              <w:rPr>
                <w:sz w:val="21"/>
              </w:rPr>
              <w:t>Kunci JWT dan akun admin awal</w:t>
            </w:r>
          </w:p>
        </w:tc>
      </w:tr>
      <w:tr>
        <w:tc>
          <w:tcPr>
            <w:tcW w:type="dxa" w:w="2448"/>
          </w:tcPr>
          <w:p>
            <w:r>
              <w:rPr>
                <w:sz w:val="21"/>
              </w:rPr>
              <w:t>Integrasi AI Engine</w:t>
            </w:r>
          </w:p>
        </w:tc>
        <w:tc>
          <w:tcPr>
            <w:tcW w:type="dxa" w:w="3744"/>
          </w:tcPr>
          <w:p>
            <w:r>
              <w:rPr>
                <w:sz w:val="21"/>
              </w:rPr>
              <w:t>AI_ENGINE_URL, INTERNAL_SERVICE_TOKEN</w:t>
            </w:r>
          </w:p>
        </w:tc>
        <w:tc>
          <w:tcPr>
            <w:tcW w:type="dxa" w:w="3888"/>
          </w:tcPr>
          <w:p>
            <w:r>
              <w:rPr>
                <w:sz w:val="21"/>
              </w:rPr>
              <w:t>Alamat &amp; token layanan internal api → ai-engine</w:t>
            </w:r>
          </w:p>
        </w:tc>
      </w:tr>
      <w:tr>
        <w:tc>
          <w:tcPr>
            <w:tcW w:type="dxa" w:w="2448"/>
          </w:tcPr>
          <w:p>
            <w:r>
              <w:rPr>
                <w:sz w:val="21"/>
              </w:rPr>
              <w:t>Adapter Ingestion</w:t>
            </w:r>
          </w:p>
        </w:tc>
        <w:tc>
          <w:tcPr>
            <w:tcW w:type="dxa" w:w="3744"/>
          </w:tcPr>
          <w:p>
            <w:r>
              <w:rPr>
                <w:sz w:val="21"/>
              </w:rPr>
              <w:t>WEATHER_API_BASE_URL/KEY, NASA_FIRMS_BASE_URL/API_KEY, SENTINEL_*</w:t>
            </w:r>
          </w:p>
        </w:tc>
        <w:tc>
          <w:tcPr>
            <w:tcW w:type="dxa" w:w="3888"/>
          </w:tcPr>
          <w:p>
            <w:r>
              <w:rPr>
                <w:sz w:val="21"/>
              </w:rPr>
              <w:t>Kredensial sumber data eksternal (kosongkan jika belum tersedia — adapter akan no-op secara aman)</w:t>
            </w:r>
          </w:p>
        </w:tc>
      </w:tr>
      <w:tr>
        <w:tc>
          <w:tcPr>
            <w:tcW w:type="dxa" w:w="2448"/>
          </w:tcPr>
          <w:p>
            <w:r>
              <w:rPr>
                <w:sz w:val="21"/>
              </w:rPr>
              <w:t>Storage</w:t>
            </w:r>
          </w:p>
        </w:tc>
        <w:tc>
          <w:tcPr>
            <w:tcW w:type="dxa" w:w="3744"/>
          </w:tcPr>
          <w:p>
            <w:r>
              <w:rPr>
                <w:sz w:val="21"/>
              </w:rPr>
              <w:t>STORAGE_ENDPOINT, STORAGE_BUCKET, STORAGE_ACCESS_KEY_ID, dst.</w:t>
            </w:r>
          </w:p>
        </w:tc>
        <w:tc>
          <w:tcPr>
            <w:tcW w:type="dxa" w:w="3888"/>
          </w:tcPr>
          <w:p>
            <w:r>
              <w:rPr>
                <w:sz w:val="21"/>
              </w:rPr>
              <w:t>Konfigurasi S3/MinIO untuk citra CV &amp; unggahan laporan lapangan</w:t>
            </w:r>
          </w:p>
        </w:tc>
      </w:tr>
      <w:tr>
        <w:tc>
          <w:tcPr>
            <w:tcW w:type="dxa" w:w="2448"/>
          </w:tcPr>
          <w:p>
            <w:r>
              <w:rPr>
                <w:sz w:val="21"/>
              </w:rPr>
              <w:t>apps/web (build-time)</w:t>
            </w:r>
          </w:p>
        </w:tc>
        <w:tc>
          <w:tcPr>
            <w:tcW w:type="dxa" w:w="3744"/>
          </w:tcPr>
          <w:p>
            <w:r>
              <w:rPr>
                <w:sz w:val="21"/>
              </w:rPr>
              <w:t>NEXT_PUBLIC_API_URL, NEXT_PUBLIC_WS_URL</w:t>
            </w:r>
          </w:p>
        </w:tc>
        <w:tc>
          <w:tcPr>
            <w:tcW w:type="dxa" w:w="3888"/>
          </w:tcPr>
          <w:p>
            <w:r>
              <w:rPr>
                <w:sz w:val="21"/>
              </w:rPr>
              <w:t>Alamat API &amp; WebSocket yang di-inline saat build Next.js</w:t>
            </w:r>
          </w:p>
        </w:tc>
      </w:tr>
    </w:tbl>
    <w:p/>
    <w:p>
      <w:pPr>
        <w:pStyle w:val="Note"/>
      </w:pPr>
      <w:r>
        <w:rPr>
          <w:b/>
        </w:rPr>
        <w:t xml:space="preserve">Catatan: </w:t>
      </w:r>
      <w:r>
        <w:t>Variabel adapter Weather/NASA FIRMS/Sentinel boleh dikosongkan saat pengembangan — masing-masing adapter dirancang untuk tidak melakukan apa pun (no-op) secara aman tanpa kredensial, bukan menyebabkan error.</w:t>
      </w:r>
    </w:p>
    <w:p>
      <w:pPr>
        <w:pStyle w:val="Heading2"/>
      </w:pPr>
      <w:r>
        <w:t>11. Modul Backend (apps/api)</w:t>
      </w:r>
    </w:p>
    <w:p>
      <w:r>
        <w:t>apps/api dibangun dengan NestJS dan terdiri dari modul-modul berikut:</w:t>
      </w:r>
    </w:p>
    <w:tbl>
      <w:tblPr>
        <w:tblStyle w:val="TableGrid"/>
        <w:tblW w:type="auto" w:w="0"/>
        <w:jc w:val="center"/>
        <w:tblLook w:firstColumn="1" w:firstRow="1" w:lastColumn="0" w:lastRow="0" w:noHBand="0" w:noVBand="1" w:val="04A0"/>
      </w:tblPr>
      <w:tblGrid>
        <w:gridCol w:w="4816"/>
        <w:gridCol w:w="4816"/>
      </w:tblGrid>
      <w:tr>
        <w:tc>
          <w:tcPr>
            <w:tcW w:type="dxa" w:w="3744"/>
            <w:shd w:val="clear" w:color="auto" w:fill="0F2A43"/>
          </w:tcPr>
          <w:p>
            <w:pPr>
              <w:jc w:val="left"/>
            </w:pPr>
            <w:r>
              <w:rPr>
                <w:b/>
                <w:color w:val="FFFFFF"/>
                <w:sz w:val="21"/>
              </w:rPr>
              <w:t>Modul</w:t>
            </w:r>
          </w:p>
        </w:tc>
        <w:tc>
          <w:tcPr>
            <w:tcW w:type="dxa" w:w="5904"/>
            <w:shd w:val="clear" w:color="auto" w:fill="0F2A43"/>
          </w:tcPr>
          <w:p>
            <w:pPr>
              <w:jc w:val="left"/>
            </w:pPr>
            <w:r>
              <w:rPr>
                <w:b/>
                <w:color w:val="FFFFFF"/>
                <w:sz w:val="21"/>
              </w:rPr>
              <w:t>Fungsi</w:t>
            </w:r>
          </w:p>
        </w:tc>
      </w:tr>
      <w:tr>
        <w:tc>
          <w:tcPr>
            <w:tcW w:type="dxa" w:w="3744"/>
          </w:tcPr>
          <w:p>
            <w:r>
              <w:rPr>
                <w:sz w:val="21"/>
              </w:rPr>
              <w:t>auth, users, roles, audit</w:t>
            </w:r>
          </w:p>
        </w:tc>
        <w:tc>
          <w:tcPr>
            <w:tcW w:type="dxa" w:w="5904"/>
          </w:tcPr>
          <w:p>
            <w:r>
              <w:rPr>
                <w:sz w:val="21"/>
              </w:rPr>
              <w:t>Autentikasi, manajemen pengguna, peran, dan log audit</w:t>
            </w:r>
          </w:p>
        </w:tc>
      </w:tr>
      <w:tr>
        <w:tc>
          <w:tcPr>
            <w:tcW w:type="dxa" w:w="3744"/>
          </w:tcPr>
          <w:p>
            <w:r>
              <w:rPr>
                <w:sz w:val="21"/>
              </w:rPr>
              <w:t>redis, storage, config, database</w:t>
            </w:r>
          </w:p>
        </w:tc>
        <w:tc>
          <w:tcPr>
            <w:tcW w:type="dxa" w:w="5904"/>
          </w:tcPr>
          <w:p>
            <w:r>
              <w:rPr>
                <w:sz w:val="21"/>
              </w:rPr>
              <w:t>Infrastruktur: cache/pub-sub, penyimpanan objek (S3/MinIO), konfigurasi, koneksi database</w:t>
            </w:r>
          </w:p>
        </w:tc>
      </w:tr>
      <w:tr>
        <w:tc>
          <w:tcPr>
            <w:tcW w:type="dxa" w:w="3744"/>
          </w:tcPr>
          <w:p>
            <w:r>
              <w:rPr>
                <w:sz w:val="21"/>
              </w:rPr>
              <w:t>geo</w:t>
            </w:r>
          </w:p>
        </w:tc>
        <w:tc>
          <w:tcPr>
            <w:tcW w:type="dxa" w:w="5904"/>
          </w:tcPr>
          <w:p>
            <w:r>
              <w:rPr>
                <w:sz w:val="21"/>
              </w:rPr>
              <w:t>Data geografis (provinsi/distrik, dahulu bernama population)</w:t>
            </w:r>
          </w:p>
        </w:tc>
      </w:tr>
      <w:tr>
        <w:tc>
          <w:tcPr>
            <w:tcW w:type="dxa" w:w="3744"/>
          </w:tcPr>
          <w:p>
            <w:r>
              <w:rPr>
                <w:sz w:val="21"/>
              </w:rPr>
              <w:t>hazard-events (+ earthquake/, landslide/, flood/, wildfire/)</w:t>
            </w:r>
          </w:p>
        </w:tc>
        <w:tc>
          <w:tcPr>
            <w:tcW w:type="dxa" w:w="5904"/>
          </w:tcPr>
          <w:p>
            <w:r>
              <w:rPr>
                <w:sz w:val="21"/>
              </w:rPr>
              <w:t>Penyimpanan &amp; pengelolaan kejadian bencana per jenis</w:t>
            </w:r>
          </w:p>
        </w:tc>
      </w:tr>
      <w:tr>
        <w:tc>
          <w:tcPr>
            <w:tcW w:type="dxa" w:w="3744"/>
          </w:tcPr>
          <w:p>
            <w:r>
              <w:rPr>
                <w:sz w:val="21"/>
              </w:rPr>
              <w:t>field-reports</w:t>
            </w:r>
          </w:p>
        </w:tc>
        <w:tc>
          <w:tcPr>
            <w:tcW w:type="dxa" w:w="5904"/>
          </w:tcPr>
          <w:p>
            <w:r>
              <w:rPr>
                <w:sz w:val="21"/>
              </w:rPr>
              <w:t>Penerimaan laporan foto dari warga/petugas lapangan</w:t>
            </w:r>
          </w:p>
        </w:tc>
      </w:tr>
      <w:tr>
        <w:tc>
          <w:tcPr>
            <w:tcW w:type="dxa" w:w="3744"/>
          </w:tcPr>
          <w:p>
            <w:r>
              <w:rPr>
                <w:sz w:val="21"/>
              </w:rPr>
              <w:t>ingestion</w:t>
            </w:r>
          </w:p>
        </w:tc>
        <w:tc>
          <w:tcPr>
            <w:tcW w:type="dxa" w:w="5904"/>
          </w:tcPr>
          <w:p>
            <w:r>
              <w:rPr>
                <w:sz w:val="21"/>
              </w:rPr>
              <w:t>Registry adapter sumber data eksternal: bmkg, nasa_firms, weather_api (aktif); sentinel (stub)</w:t>
            </w:r>
          </w:p>
        </w:tc>
      </w:tr>
      <w:tr>
        <w:tc>
          <w:tcPr>
            <w:tcW w:type="dxa" w:w="3744"/>
          </w:tcPr>
          <w:p>
            <w:r>
              <w:rPr>
                <w:sz w:val="21"/>
              </w:rPr>
              <w:t>risk-engine-orchestration</w:t>
            </w:r>
          </w:p>
        </w:tc>
        <w:tc>
          <w:tcPr>
            <w:tcW w:type="dxa" w:w="5904"/>
          </w:tcPr>
          <w:p>
            <w:r>
              <w:rPr>
                <w:sz w:val="21"/>
              </w:rPr>
              <w:t>Menjembatani apps/api dengan apps/ai-engine</w:t>
            </w:r>
          </w:p>
        </w:tc>
      </w:tr>
      <w:tr>
        <w:tc>
          <w:tcPr>
            <w:tcW w:type="dxa" w:w="3744"/>
          </w:tcPr>
          <w:p>
            <w:r>
              <w:rPr>
                <w:sz w:val="21"/>
              </w:rPr>
              <w:t>risk-assessments</w:t>
            </w:r>
          </w:p>
        </w:tc>
        <w:tc>
          <w:tcPr>
            <w:tcW w:type="dxa" w:w="5904"/>
          </w:tcPr>
          <w:p>
            <w:r>
              <w:rPr>
                <w:sz w:val="21"/>
              </w:rPr>
              <w:t>Penyimpanan hasil penilaian risiko (dahulu bernama predictions)</w:t>
            </w:r>
          </w:p>
        </w:tc>
      </w:tr>
      <w:tr>
        <w:tc>
          <w:tcPr>
            <w:tcW w:type="dxa" w:w="3744"/>
          </w:tcPr>
          <w:p>
            <w:r>
              <w:rPr>
                <w:sz w:val="21"/>
              </w:rPr>
              <w:t>decision-intelligence</w:t>
            </w:r>
          </w:p>
        </w:tc>
        <w:tc>
          <w:tcPr>
            <w:tcW w:type="dxa" w:w="5904"/>
          </w:tcPr>
          <w:p>
            <w:r>
              <w:rPr>
                <w:sz w:val="21"/>
              </w:rPr>
              <w:t>Rekomendasi keputusan &amp; alasan XAI (dahulu bernama recommendations)</w:t>
            </w:r>
          </w:p>
        </w:tc>
      </w:tr>
      <w:tr>
        <w:tc>
          <w:tcPr>
            <w:tcW w:type="dxa" w:w="3744"/>
          </w:tcPr>
          <w:p>
            <w:r>
              <w:rPr>
                <w:sz w:val="21"/>
              </w:rPr>
              <w:t>spatial-intelligence</w:t>
            </w:r>
          </w:p>
        </w:tc>
        <w:tc>
          <w:tcPr>
            <w:tcW w:type="dxa" w:w="5904"/>
          </w:tcPr>
          <w:p>
            <w:r>
              <w:rPr>
                <w:sz w:val="21"/>
              </w:rPr>
              <w:t>Perhitungan wilayah terdampak &amp; hubungan bencana bertingkat</w:t>
            </w:r>
          </w:p>
        </w:tc>
      </w:tr>
      <w:tr>
        <w:tc>
          <w:tcPr>
            <w:tcW w:type="dxa" w:w="3744"/>
          </w:tcPr>
          <w:p>
            <w:r>
              <w:rPr>
                <w:sz w:val="21"/>
              </w:rPr>
              <w:t>resource-optimization</w:t>
            </w:r>
          </w:p>
        </w:tc>
        <w:tc>
          <w:tcPr>
            <w:tcW w:type="dxa" w:w="5904"/>
          </w:tcPr>
          <w:p>
            <w:r>
              <w:rPr>
                <w:sz w:val="21"/>
              </w:rPr>
              <w:t>Penyusunan rencana evakuasi/shelter/logistik</w:t>
            </w:r>
          </w:p>
        </w:tc>
      </w:tr>
      <w:tr>
        <w:tc>
          <w:tcPr>
            <w:tcW w:type="dxa" w:w="3744"/>
          </w:tcPr>
          <w:p>
            <w:r>
              <w:rPr>
                <w:sz w:val="21"/>
              </w:rPr>
              <w:t>sustainability</w:t>
            </w:r>
          </w:p>
        </w:tc>
        <w:tc>
          <w:tcPr>
            <w:tcW w:type="dxa" w:w="5904"/>
          </w:tcPr>
          <w:p>
            <w:r>
              <w:rPr>
                <w:sz w:val="21"/>
              </w:rPr>
              <w:t>Metrik keberlanjutan/SDG</w:t>
            </w:r>
          </w:p>
        </w:tc>
      </w:tr>
      <w:tr>
        <w:tc>
          <w:tcPr>
            <w:tcW w:type="dxa" w:w="3744"/>
          </w:tcPr>
          <w:p>
            <w:r>
              <w:rPr>
                <w:sz w:val="21"/>
              </w:rPr>
              <w:t>notifications, websocket, dashboard</w:t>
            </w:r>
          </w:p>
        </w:tc>
        <w:tc>
          <w:tcPr>
            <w:tcW w:type="dxa" w:w="5904"/>
          </w:tcPr>
          <w:p>
            <w:r>
              <w:rPr>
                <w:sz w:val="21"/>
              </w:rPr>
              <w:t>Notifikasi real-time &amp; agregasi data dashboard</w:t>
            </w:r>
          </w:p>
        </w:tc>
      </w:tr>
    </w:tbl>
    <w:p/>
    <w:p>
      <w:pPr>
        <w:pStyle w:val="Heading2"/>
      </w:pPr>
      <w:r>
        <w:t>12. Mesin AI (apps/ai-engine)</w:t>
      </w:r>
    </w:p>
    <w:p>
      <w:r>
        <w:t>apps/ai-engine dibangun dengan FastAPI (Python), bersifat stateless (tanpa akses database), dan terdiri dari lima mesin/router:</w:t>
      </w:r>
    </w:p>
    <w:tbl>
      <w:tblPr>
        <w:tblStyle w:val="TableGrid"/>
        <w:tblW w:type="auto" w:w="0"/>
        <w:jc w:val="center"/>
        <w:tblLook w:firstColumn="1" w:firstRow="1" w:lastColumn="0" w:lastRow="0" w:noHBand="0" w:noVBand="1" w:val="04A0"/>
      </w:tblPr>
      <w:tblGrid>
        <w:gridCol w:w="4816"/>
        <w:gridCol w:w="4816"/>
      </w:tblGrid>
      <w:tr>
        <w:tc>
          <w:tcPr>
            <w:tcW w:type="dxa" w:w="3456"/>
            <w:shd w:val="clear" w:color="auto" w:fill="0F2A43"/>
          </w:tcPr>
          <w:p>
            <w:pPr>
              <w:jc w:val="left"/>
            </w:pPr>
            <w:r>
              <w:rPr>
                <w:b/>
                <w:color w:val="FFFFFF"/>
                <w:sz w:val="21"/>
              </w:rPr>
              <w:t>Mesin</w:t>
            </w:r>
          </w:p>
        </w:tc>
        <w:tc>
          <w:tcPr>
            <w:tcW w:type="dxa" w:w="6192"/>
            <w:shd w:val="clear" w:color="auto" w:fill="0F2A43"/>
          </w:tcPr>
          <w:p>
            <w:pPr>
              <w:jc w:val="left"/>
            </w:pPr>
            <w:r>
              <w:rPr>
                <w:b/>
                <w:color w:val="FFFFFF"/>
                <w:sz w:val="21"/>
              </w:rPr>
              <w:t>Fungsi</w:t>
            </w:r>
          </w:p>
        </w:tc>
      </w:tr>
      <w:tr>
        <w:tc>
          <w:tcPr>
            <w:tcW w:type="dxa" w:w="3456"/>
          </w:tcPr>
          <w:p>
            <w:r>
              <w:rPr>
                <w:sz w:val="21"/>
              </w:rPr>
              <w:t>Hazard Prediction Engine</w:t>
            </w:r>
          </w:p>
        </w:tc>
        <w:tc>
          <w:tcPr>
            <w:tcW w:type="dxa" w:w="6192"/>
          </w:tcPr>
          <w:p>
            <w:r>
              <w:rPr>
                <w:sz w:val="21"/>
              </w:rPr>
              <w:t>Modul heuristik per jenis bencana (gempa, longsor, banjir, kebakaran hutan) untuk menghitung skor risiko</w:t>
            </w:r>
          </w:p>
        </w:tc>
      </w:tr>
      <w:tr>
        <w:tc>
          <w:tcPr>
            <w:tcW w:type="dxa" w:w="3456"/>
          </w:tcPr>
          <w:p>
            <w:r>
              <w:rPr>
                <w:sz w:val="21"/>
              </w:rPr>
              <w:t>Spatial Intelligence Engine</w:t>
            </w:r>
          </w:p>
        </w:tc>
        <w:tc>
          <w:tcPr>
            <w:tcW w:type="dxa" w:w="6192"/>
          </w:tcPr>
          <w:p>
            <w:r>
              <w:rPr>
                <w:sz w:val="21"/>
              </w:rPr>
              <w:t>Analisis keruangan pendukung</w:t>
            </w:r>
          </w:p>
        </w:tc>
      </w:tr>
      <w:tr>
        <w:tc>
          <w:tcPr>
            <w:tcW w:type="dxa" w:w="3456"/>
          </w:tcPr>
          <w:p>
            <w:r>
              <w:rPr>
                <w:sz w:val="21"/>
              </w:rPr>
              <w:t>Decision Intelligence Engine</w:t>
            </w:r>
          </w:p>
        </w:tc>
        <w:tc>
          <w:tcPr>
            <w:tcW w:type="dxa" w:w="6192"/>
          </w:tcPr>
          <w:p>
            <w:r>
              <w:rPr>
                <w:sz w:val="21"/>
              </w:rPr>
              <w:t>Penyusunan prioritas &amp; alasan terstruktur (XAI)</w:t>
            </w:r>
          </w:p>
        </w:tc>
      </w:tr>
      <w:tr>
        <w:tc>
          <w:tcPr>
            <w:tcW w:type="dxa" w:w="3456"/>
          </w:tcPr>
          <w:p>
            <w:r>
              <w:rPr>
                <w:sz w:val="21"/>
              </w:rPr>
              <w:t>Resource Optimization Engine</w:t>
            </w:r>
          </w:p>
        </w:tc>
        <w:tc>
          <w:tcPr>
            <w:tcW w:type="dxa" w:w="6192"/>
          </w:tcPr>
          <w:p>
            <w:r>
              <w:rPr>
                <w:sz w:val="21"/>
              </w:rPr>
              <w:t>Optimasi kebutuhan sumber daya</w:t>
            </w:r>
          </w:p>
        </w:tc>
      </w:tr>
      <w:tr>
        <w:tc>
          <w:tcPr>
            <w:tcW w:type="dxa" w:w="3456"/>
          </w:tcPr>
          <w:p>
            <w:r>
              <w:rPr>
                <w:sz w:val="21"/>
              </w:rPr>
              <w:t>Computer Vision Engine</w:t>
            </w:r>
          </w:p>
        </w:tc>
        <w:tc>
          <w:tcPr>
            <w:tcW w:type="dxa" w:w="6192"/>
          </w:tcPr>
          <w:p>
            <w:r>
              <w:rPr>
                <w:sz w:val="21"/>
              </w:rPr>
              <w:t>Deteksi api, asap, banjir, dan kerusakan infrastruktur dari foto — menggunakan heuristik warna/tekstur klasik, bukan model terlatih (belum ada dataset citra bencana berlabel)</w:t>
            </w:r>
          </w:p>
        </w:tc>
      </w:tr>
    </w:tbl>
    <w:p/>
    <w:p>
      <w:pPr>
        <w:pStyle w:val="Note"/>
      </w:pPr>
      <w:r>
        <w:rPr>
          <w:b/>
        </w:rPr>
        <w:t xml:space="preserve">Catatan: </w:t>
      </w:r>
      <w:r>
        <w:t>Seluruh mesin prediksi saat ini bersifat heuristik v0 (baseline), bukan model machine learning terlatih penuh — ini adalah keputusan desain yang disengaja dan didokumentasikan, bukan keterbatasan yang tersembunyi.</w:t>
      </w:r>
    </w:p>
    <w:p>
      <w:pPr>
        <w:pStyle w:val="Heading2"/>
      </w:pPr>
      <w:r>
        <w:t>13. Sumber Data Eksternal</w:t>
      </w:r>
    </w:p>
    <w:tbl>
      <w:tblPr>
        <w:tblStyle w:val="TableGrid"/>
        <w:tblW w:type="auto" w:w="0"/>
        <w:jc w:val="center"/>
        <w:tblLook w:firstColumn="1" w:firstRow="1" w:lastColumn="0" w:lastRow="0" w:noHBand="0" w:noVBand="1" w:val="04A0"/>
      </w:tblPr>
      <w:tblGrid>
        <w:gridCol w:w="3211"/>
        <w:gridCol w:w="3211"/>
        <w:gridCol w:w="3211"/>
      </w:tblGrid>
      <w:tr>
        <w:tc>
          <w:tcPr>
            <w:tcW w:type="dxa" w:w="2736"/>
            <w:shd w:val="clear" w:color="auto" w:fill="0F2A43"/>
          </w:tcPr>
          <w:p>
            <w:pPr>
              <w:jc w:val="left"/>
            </w:pPr>
            <w:r>
              <w:rPr>
                <w:b/>
                <w:color w:val="FFFFFF"/>
                <w:sz w:val="21"/>
              </w:rPr>
              <w:t>Sumber</w:t>
            </w:r>
          </w:p>
        </w:tc>
        <w:tc>
          <w:tcPr>
            <w:tcW w:type="dxa" w:w="3024"/>
            <w:shd w:val="clear" w:color="auto" w:fill="0F2A43"/>
          </w:tcPr>
          <w:p>
            <w:pPr>
              <w:jc w:val="left"/>
            </w:pPr>
            <w:r>
              <w:rPr>
                <w:b/>
                <w:color w:val="FFFFFF"/>
                <w:sz w:val="21"/>
              </w:rPr>
              <w:t>Metode Akses</w:t>
            </w:r>
          </w:p>
        </w:tc>
        <w:tc>
          <w:tcPr>
            <w:tcW w:type="dxa" w:w="4032"/>
            <w:shd w:val="clear" w:color="auto" w:fill="0F2A43"/>
          </w:tcPr>
          <w:p>
            <w:pPr>
              <w:jc w:val="left"/>
            </w:pPr>
            <w:r>
              <w:rPr>
                <w:b/>
                <w:color w:val="FFFFFF"/>
                <w:sz w:val="21"/>
              </w:rPr>
              <w:t>Catatan</w:t>
            </w:r>
          </w:p>
        </w:tc>
      </w:tr>
      <w:tr>
        <w:tc>
          <w:tcPr>
            <w:tcW w:type="dxa" w:w="2736"/>
          </w:tcPr>
          <w:p>
            <w:r>
              <w:rPr>
                <w:sz w:val="21"/>
              </w:rPr>
              <w:t>BMKG (gempa bumi)</w:t>
            </w:r>
          </w:p>
        </w:tc>
        <w:tc>
          <w:tcPr>
            <w:tcW w:type="dxa" w:w="3024"/>
          </w:tcPr>
          <w:p>
            <w:r>
              <w:rPr>
                <w:sz w:val="21"/>
              </w:rPr>
              <w:t>Feed JSON publik</w:t>
            </w:r>
          </w:p>
        </w:tc>
        <w:tc>
          <w:tcPr>
            <w:tcW w:type="dxa" w:w="4032"/>
          </w:tcPr>
          <w:p>
            <w:r>
              <w:rPr>
                <w:sz w:val="21"/>
              </w:rPr>
              <w:t>Mendukung degradasi anggun (graceful degradation) bila sumber tidak tersedia</w:t>
            </w:r>
          </w:p>
        </w:tc>
      </w:tr>
      <w:tr>
        <w:tc>
          <w:tcPr>
            <w:tcW w:type="dxa" w:w="2736"/>
          </w:tcPr>
          <w:p>
            <w:r>
              <w:rPr>
                <w:sz w:val="21"/>
              </w:rPr>
              <w:t>Pemicu longsor</w:t>
            </w:r>
          </w:p>
        </w:tc>
        <w:tc>
          <w:tcPr>
            <w:tcW w:type="dxa" w:w="3024"/>
          </w:tcPr>
          <w:p>
            <w:r>
              <w:rPr>
                <w:sz w:val="21"/>
              </w:rPr>
              <w:t>Input manual/seed</w:t>
            </w:r>
          </w:p>
        </w:tc>
        <w:tc>
          <w:tcPr>
            <w:tcW w:type="dxa" w:w="4032"/>
          </w:tcPr>
          <w:p>
            <w:r>
              <w:rPr>
                <w:sz w:val="21"/>
              </w:rPr>
              <w:t>Belum ada feed publik real-time yang stabil; integrasi sensor curah hujan/tanah menjadi kandidat masa depan</w:t>
            </w:r>
          </w:p>
        </w:tc>
      </w:tr>
      <w:tr>
        <w:tc>
          <w:tcPr>
            <w:tcW w:type="dxa" w:w="2736"/>
          </w:tcPr>
          <w:p>
            <w:r>
              <w:rPr>
                <w:sz w:val="21"/>
              </w:rPr>
              <w:t>API Cuaca/Curah Hujan (banjir)</w:t>
            </w:r>
          </w:p>
        </w:tc>
        <w:tc>
          <w:tcPr>
            <w:tcW w:type="dxa" w:w="3024"/>
          </w:tcPr>
          <w:p>
            <w:r>
              <w:rPr>
                <w:sz w:val="21"/>
              </w:rPr>
              <w:t>REST + API key, dapat dikonfigurasi</w:t>
            </w:r>
          </w:p>
        </w:tc>
        <w:tc>
          <w:tcPr>
            <w:tcW w:type="dxa" w:w="4032"/>
          </w:tcPr>
          <w:p>
            <w:r>
              <w:rPr>
                <w:sz w:val="21"/>
              </w:rPr>
              <w:t>Memerlukan feed ketinggian air, bukan sekadar cuaca umum</w:t>
            </w:r>
          </w:p>
        </w:tc>
      </w:tr>
      <w:tr>
        <w:tc>
          <w:tcPr>
            <w:tcW w:type="dxa" w:w="2736"/>
          </w:tcPr>
          <w:p>
            <w:r>
              <w:rPr>
                <w:sz w:val="21"/>
              </w:rPr>
              <w:t>NASA FIRMS (kebakaran hutan)</w:t>
            </w:r>
          </w:p>
        </w:tc>
        <w:tc>
          <w:tcPr>
            <w:tcW w:type="dxa" w:w="3024"/>
          </w:tcPr>
          <w:p>
            <w:r>
              <w:rPr>
                <w:sz w:val="21"/>
              </w:rPr>
              <w:t>Area API publik, autentikasi MAP_KEY</w:t>
            </w:r>
          </w:p>
        </w:tc>
        <w:tc>
          <w:tcPr>
            <w:tcW w:type="dxa" w:w="4032"/>
          </w:tcPr>
          <w:p>
            <w:r>
              <w:rPr>
                <w:sz w:val="21"/>
              </w:rPr>
              <w:t>Setiap deteksi titik panas diperlakukan sebagai satu kejadian tersendiri</w:t>
            </w:r>
          </w:p>
        </w:tc>
      </w:tr>
      <w:tr>
        <w:tc>
          <w:tcPr>
            <w:tcW w:type="dxa" w:w="2736"/>
          </w:tcPr>
          <w:p>
            <w:r>
              <w:rPr>
                <w:sz w:val="21"/>
              </w:rPr>
              <w:t>BNPB / BPS</w:t>
            </w:r>
          </w:p>
        </w:tc>
        <w:tc>
          <w:tcPr>
            <w:tcW w:type="dxa" w:w="3024"/>
          </w:tcPr>
          <w:p>
            <w:r>
              <w:rPr>
                <w:sz w:val="21"/>
              </w:rPr>
              <w:t>Seed + CRUD terautentikasi</w:t>
            </w:r>
          </w:p>
        </w:tc>
        <w:tc>
          <w:tcPr>
            <w:tcW w:type="dxa" w:w="4032"/>
          </w:tcPr>
          <w:p>
            <w:r>
              <w:rPr>
                <w:sz w:val="21"/>
              </w:rPr>
              <w:t>Data historis bencana &amp; data populasi/administratif</w:t>
            </w:r>
          </w:p>
        </w:tc>
      </w:tr>
      <w:tr>
        <w:tc>
          <w:tcPr>
            <w:tcW w:type="dxa" w:w="2736"/>
          </w:tcPr>
          <w:p>
            <w:r>
              <w:rPr>
                <w:sz w:val="21"/>
              </w:rPr>
              <w:t>Citra Sentinel</w:t>
            </w:r>
          </w:p>
        </w:tc>
        <w:tc>
          <w:tcPr>
            <w:tcW w:type="dxa" w:w="3024"/>
          </w:tcPr>
          <w:p>
            <w:r>
              <w:rPr>
                <w:sz w:val="21"/>
              </w:rPr>
              <w:t>Belum diimplementasikan (stub)</w:t>
            </w:r>
          </w:p>
        </w:tc>
        <w:tc>
          <w:tcPr>
            <w:tcW w:type="dxa" w:w="4032"/>
          </w:tcPr>
          <w:p>
            <w:r>
              <w:rPr>
                <w:sz w:val="21"/>
              </w:rPr>
              <w:t>Memerlukan OAuth2 Sentinel Hub &amp; pipeline pemrosesan tile citra; ditunda hingga ada konsumen data yang konkret</w:t>
            </w:r>
          </w:p>
        </w:tc>
      </w:tr>
      <w:tr>
        <w:tc>
          <w:tcPr>
            <w:tcW w:type="dxa" w:w="2736"/>
          </w:tcPr>
          <w:p>
            <w:r>
              <w:rPr>
                <w:sz w:val="21"/>
              </w:rPr>
              <w:t>OpenStreetMap (OSM)</w:t>
            </w:r>
          </w:p>
        </w:tc>
        <w:tc>
          <w:tcPr>
            <w:tcW w:type="dxa" w:w="3024"/>
          </w:tcPr>
          <w:p>
            <w:r>
              <w:rPr>
                <w:sz w:val="21"/>
              </w:rPr>
              <w:t>Data referensi</w:t>
            </w:r>
          </w:p>
        </w:tc>
        <w:tc>
          <w:tcPr>
            <w:tcW w:type="dxa" w:w="4032"/>
          </w:tcPr>
          <w:p>
            <w:r>
              <w:rPr>
                <w:sz w:val="21"/>
              </w:rPr>
              <w:t>Referensi spasial/routing</w:t>
            </w:r>
          </w:p>
        </w:tc>
      </w:tr>
    </w:tbl>
    <w:p/>
    <w:p>
      <w:pPr>
        <w:pStyle w:val="Heading2"/>
      </w:pPr>
      <w:r>
        <w:t>14. Status Pengembangan</w:t>
      </w:r>
    </w:p>
    <w:p>
      <w:r>
        <w:t>Pembangunan AETHER dibagi menjadi dua fase:</w:t>
      </w:r>
    </w:p>
    <w:tbl>
      <w:tblPr>
        <w:tblStyle w:val="TableGrid"/>
        <w:tblW w:type="auto" w:w="0"/>
        <w:jc w:val="center"/>
        <w:tblLook w:firstColumn="1" w:firstRow="1" w:lastColumn="0" w:lastRow="0" w:noHBand="0" w:noVBand="1" w:val="04A0"/>
      </w:tblPr>
      <w:tblGrid>
        <w:gridCol w:w="3211"/>
        <w:gridCol w:w="3211"/>
        <w:gridCol w:w="3211"/>
      </w:tblGrid>
      <w:tr>
        <w:tc>
          <w:tcPr>
            <w:tcW w:type="dxa" w:w="1728"/>
            <w:shd w:val="clear" w:color="auto" w:fill="0F2A43"/>
          </w:tcPr>
          <w:p>
            <w:pPr>
              <w:jc w:val="left"/>
            </w:pPr>
            <w:r>
              <w:rPr>
                <w:b/>
                <w:color w:val="FFFFFF"/>
                <w:sz w:val="21"/>
              </w:rPr>
              <w:t>Fase</w:t>
            </w:r>
          </w:p>
        </w:tc>
        <w:tc>
          <w:tcPr>
            <w:tcW w:type="dxa" w:w="6192"/>
            <w:shd w:val="clear" w:color="auto" w:fill="0F2A43"/>
          </w:tcPr>
          <w:p>
            <w:pPr>
              <w:jc w:val="left"/>
            </w:pPr>
            <w:r>
              <w:rPr>
                <w:b/>
                <w:color w:val="FFFFFF"/>
                <w:sz w:val="21"/>
              </w:rPr>
              <w:t>Cakupan</w:t>
            </w:r>
          </w:p>
        </w:tc>
        <w:tc>
          <w:tcPr>
            <w:tcW w:type="dxa" w:w="2304"/>
            <w:shd w:val="clear" w:color="auto" w:fill="0F2A43"/>
          </w:tcPr>
          <w:p>
            <w:pPr>
              <w:jc w:val="left"/>
            </w:pPr>
            <w:r>
              <w:rPr>
                <w:b/>
                <w:color w:val="FFFFFF"/>
                <w:sz w:val="21"/>
              </w:rPr>
              <w:t>Status</w:t>
            </w:r>
          </w:p>
        </w:tc>
      </w:tr>
      <w:tr>
        <w:tc>
          <w:tcPr>
            <w:tcW w:type="dxa" w:w="1728"/>
          </w:tcPr>
          <w:p>
            <w:r>
              <w:rPr>
                <w:sz w:val="21"/>
              </w:rPr>
              <w:t>Fase 1</w:t>
            </w:r>
          </w:p>
        </w:tc>
        <w:tc>
          <w:tcPr>
            <w:tcW w:type="dxa" w:w="6192"/>
          </w:tcPr>
          <w:p>
            <w:r>
              <w:rPr>
                <w:sz w:val="21"/>
              </w:rPr>
              <w:t>Gempa bumi + Tanah longsor (pasangan bencana bertingkat, memanfaatkan pipeline gempa yang telah teruji)</w:t>
            </w:r>
          </w:p>
        </w:tc>
        <w:tc>
          <w:tcPr>
            <w:tcW w:type="dxa" w:w="2304"/>
          </w:tcPr>
          <w:p>
            <w:r>
              <w:rPr>
                <w:sz w:val="21"/>
              </w:rPr>
              <w:t>Selesai</w:t>
            </w:r>
          </w:p>
        </w:tc>
      </w:tr>
      <w:tr>
        <w:tc>
          <w:tcPr>
            <w:tcW w:type="dxa" w:w="1728"/>
          </w:tcPr>
          <w:p>
            <w:r>
              <w:rPr>
                <w:sz w:val="21"/>
              </w:rPr>
              <w:t>Fase 2</w:t>
            </w:r>
          </w:p>
        </w:tc>
        <w:tc>
          <w:tcPr>
            <w:tcW w:type="dxa" w:w="6192"/>
          </w:tcPr>
          <w:p>
            <w:r>
              <w:rPr>
                <w:sz w:val="21"/>
              </w:rPr>
              <w:t>Banjir + Kebakaran hutan, ingestion Cuaca/Curah Hujan &amp; NASA FIRMS yang nyata, serta Computer Vision Engine berbasis heuristik</w:t>
            </w:r>
          </w:p>
        </w:tc>
        <w:tc>
          <w:tcPr>
            <w:tcW w:type="dxa" w:w="2304"/>
          </w:tcPr>
          <w:p>
            <w:r>
              <w:rPr>
                <w:sz w:val="21"/>
              </w:rPr>
              <w:t>Selesai, dengan dua penyempitan cakupan yang disengaja (lihat catatan)</w:t>
            </w:r>
          </w:p>
        </w:tc>
      </w:tr>
    </w:tbl>
    <w:p/>
    <w:p>
      <w:r>
        <w:t>Dua penyempitan cakupan yang disengaja pada Fase 2 (dapat dikembangkan kembali tanpa perlu mengubah arsitektur):</w:t>
      </w:r>
    </w:p>
    <w:p>
      <w:pPr>
        <w:pStyle w:val="ListBullet"/>
      </w:pPr>
      <w:r>
        <w:t>Adapter NASA FIRMS dan Cuaca/Curah Hujan bersifat nyata (real, terhubung jaringan); adapter Sentinel masih berupa stub struktural — terdaftar seperti adapter sungguhan namun fungsi fetch()-nya selalu mengembalikan data kosong.</w:t>
      </w:r>
    </w:p>
    <w:p>
      <w:pPr>
        <w:pStyle w:val="ListBullet"/>
      </w:pPr>
      <w:r>
        <w:t>Penilaian risiko berkala/baseline (§8.2) masih belum dapat menilai suatu distrik tanpa adanya kejadian konkret — belum ada sumber data “kondisi tipikal per jenis bencana per distrik” untuk mensintesis penilaian tersebut; hal ini kini ditangani secara eksplisit (dilewati dengan log, bukan mengirim permintaan yang salah bentuk).</w:t>
      </w:r>
    </w:p>
    <w:p/>
    <w:p>
      <w:r>
        <w:t>Hal-hal yang secara sengaja belum termasuk dalam cakupan (deferred/out-of-scope): ingestion citra Sentinel, integrasi sensor IoT, citra drone, dan simulasi skenario “what-if” — didokumentasikan secara eksplisit agar tidak hilang dari perhatian, bukan sekadar dilupakan.</w:t>
      </w:r>
    </w:p>
    <w:p>
      <w:pPr>
        <w:pStyle w:val="Heading1"/>
      </w:pPr>
      <w:r>
        <w:t>BAGIAN D — LAMPIRAN</w:t>
      </w:r>
    </w:p>
    <w:p>
      <w:pPr>
        <w:pStyle w:val="Heading2"/>
      </w:pPr>
      <w:r>
        <w:t>15. Glosarium</w:t>
      </w:r>
    </w:p>
    <w:tbl>
      <w:tblPr>
        <w:tblStyle w:val="TableGrid"/>
        <w:tblW w:type="auto" w:w="0"/>
        <w:jc w:val="center"/>
        <w:tblLook w:firstColumn="1" w:firstRow="1" w:lastColumn="0" w:lastRow="0" w:noHBand="0" w:noVBand="1" w:val="04A0"/>
      </w:tblPr>
      <w:tblGrid>
        <w:gridCol w:w="4816"/>
        <w:gridCol w:w="4816"/>
      </w:tblGrid>
      <w:tr>
        <w:tc>
          <w:tcPr>
            <w:tcW w:type="dxa" w:w="3024"/>
            <w:shd w:val="clear" w:color="auto" w:fill="0F2A43"/>
          </w:tcPr>
          <w:p>
            <w:pPr>
              <w:jc w:val="left"/>
            </w:pPr>
            <w:r>
              <w:rPr>
                <w:b/>
                <w:color w:val="FFFFFF"/>
                <w:sz w:val="21"/>
              </w:rPr>
              <w:t>Istilah</w:t>
            </w:r>
          </w:p>
        </w:tc>
        <w:tc>
          <w:tcPr>
            <w:tcW w:type="dxa" w:w="6624"/>
            <w:shd w:val="clear" w:color="auto" w:fill="0F2A43"/>
          </w:tcPr>
          <w:p>
            <w:pPr>
              <w:jc w:val="left"/>
            </w:pPr>
            <w:r>
              <w:rPr>
                <w:b/>
                <w:color w:val="FFFFFF"/>
                <w:sz w:val="21"/>
              </w:rPr>
              <w:t>Penjelasan</w:t>
            </w:r>
          </w:p>
        </w:tc>
      </w:tr>
      <w:tr>
        <w:tc>
          <w:tcPr>
            <w:tcW w:type="dxa" w:w="3024"/>
          </w:tcPr>
          <w:p>
            <w:r>
              <w:rPr>
                <w:sz w:val="21"/>
              </w:rPr>
              <w:t>BMKG</w:t>
            </w:r>
          </w:p>
        </w:tc>
        <w:tc>
          <w:tcPr>
            <w:tcW w:type="dxa" w:w="6624"/>
          </w:tcPr>
          <w:p>
            <w:r>
              <w:rPr>
                <w:sz w:val="21"/>
              </w:rPr>
              <w:t>Badan Meteorologi, Klimatologi, dan Geofisika — sumber data gempa bumi Indonesia</w:t>
            </w:r>
          </w:p>
        </w:tc>
      </w:tr>
      <w:tr>
        <w:tc>
          <w:tcPr>
            <w:tcW w:type="dxa" w:w="3024"/>
          </w:tcPr>
          <w:p>
            <w:r>
              <w:rPr>
                <w:sz w:val="21"/>
              </w:rPr>
              <w:t>BNPB</w:t>
            </w:r>
          </w:p>
        </w:tc>
        <w:tc>
          <w:tcPr>
            <w:tcW w:type="dxa" w:w="6624"/>
          </w:tcPr>
          <w:p>
            <w:r>
              <w:rPr>
                <w:sz w:val="21"/>
              </w:rPr>
              <w:t>Badan Nasional Penanggulangan Bencana — sumber data historis bencana</w:t>
            </w:r>
          </w:p>
        </w:tc>
      </w:tr>
      <w:tr>
        <w:tc>
          <w:tcPr>
            <w:tcW w:type="dxa" w:w="3024"/>
          </w:tcPr>
          <w:p>
            <w:r>
              <w:rPr>
                <w:sz w:val="21"/>
              </w:rPr>
              <w:t>BPS</w:t>
            </w:r>
          </w:p>
        </w:tc>
        <w:tc>
          <w:tcPr>
            <w:tcW w:type="dxa" w:w="6624"/>
          </w:tcPr>
          <w:p>
            <w:r>
              <w:rPr>
                <w:sz w:val="21"/>
              </w:rPr>
              <w:t>Badan Pusat Statistik — sumber data populasi/administratif</w:t>
            </w:r>
          </w:p>
        </w:tc>
      </w:tr>
      <w:tr>
        <w:tc>
          <w:tcPr>
            <w:tcW w:type="dxa" w:w="3024"/>
          </w:tcPr>
          <w:p>
            <w:r>
              <w:rPr>
                <w:sz w:val="21"/>
              </w:rPr>
              <w:t>XAI</w:t>
            </w:r>
          </w:p>
        </w:tc>
        <w:tc>
          <w:tcPr>
            <w:tcW w:type="dxa" w:w="6624"/>
          </w:tcPr>
          <w:p>
            <w:r>
              <w:rPr>
                <w:sz w:val="21"/>
              </w:rPr>
              <w:t>Explainable AI — kecerdasan buatan yang menyertakan alasan terstruktur atas setiap keputusan/rekomendasinya, bukan hanya angka/skor</w:t>
            </w:r>
          </w:p>
        </w:tc>
      </w:tr>
      <w:tr>
        <w:tc>
          <w:tcPr>
            <w:tcW w:type="dxa" w:w="3024"/>
          </w:tcPr>
          <w:p>
            <w:r>
              <w:rPr>
                <w:sz w:val="21"/>
              </w:rPr>
              <w:t>Hazard Relationship</w:t>
            </w:r>
          </w:p>
        </w:tc>
        <w:tc>
          <w:tcPr>
            <w:tcW w:type="dxa" w:w="6624"/>
          </w:tcPr>
          <w:p>
            <w:r>
              <w:rPr>
                <w:sz w:val="21"/>
              </w:rPr>
              <w:t>Hubungan bencana bertingkat/berdampingan yang terdeteksi sistem antara dua kejadian bencana berbeda jenis, misalnya gempa bumi yang memicu longsor</w:t>
            </w:r>
          </w:p>
        </w:tc>
      </w:tr>
      <w:tr>
        <w:tc>
          <w:tcPr>
            <w:tcW w:type="dxa" w:w="3024"/>
          </w:tcPr>
          <w:p>
            <w:r>
              <w:rPr>
                <w:sz w:val="21"/>
              </w:rPr>
              <w:t>Standing/Baseline Risk Assessment</w:t>
            </w:r>
          </w:p>
        </w:tc>
        <w:tc>
          <w:tcPr>
            <w:tcW w:type="dxa" w:w="6624"/>
          </w:tcPr>
          <w:p>
            <w:r>
              <w:rPr>
                <w:sz w:val="21"/>
              </w:rPr>
              <w:t>Penilaian risiko berkala tanpa kejadian pemicu — mekanisme inti yang membedakan AETHER sebagai platform prediksi/pencegahan</w:t>
            </w:r>
          </w:p>
        </w:tc>
      </w:tr>
      <w:tr>
        <w:tc>
          <w:tcPr>
            <w:tcW w:type="dxa" w:w="3024"/>
          </w:tcPr>
          <w:p>
            <w:r>
              <w:rPr>
                <w:sz w:val="21"/>
              </w:rPr>
              <w:t>PostGIS</w:t>
            </w:r>
          </w:p>
        </w:tc>
        <w:tc>
          <w:tcPr>
            <w:tcW w:type="dxa" w:w="6624"/>
          </w:tcPr>
          <w:p>
            <w:r>
              <w:rPr>
                <w:sz w:val="21"/>
              </w:rPr>
              <w:t>Ekstensi PostgreSQL untuk data geografis/spasial</w:t>
            </w:r>
          </w:p>
        </w:tc>
      </w:tr>
      <w:tr>
        <w:tc>
          <w:tcPr>
            <w:tcW w:type="dxa" w:w="3024"/>
          </w:tcPr>
          <w:p>
            <w:r>
              <w:rPr>
                <w:sz w:val="21"/>
              </w:rPr>
              <w:t>WebSocket</w:t>
            </w:r>
          </w:p>
        </w:tc>
        <w:tc>
          <w:tcPr>
            <w:tcW w:type="dxa" w:w="6624"/>
          </w:tcPr>
          <w:p>
            <w:r>
              <w:rPr>
                <w:sz w:val="21"/>
              </w:rPr>
              <w:t>Teknologi yang memungkinkan data didorong (push) ke browser secara real-time tanpa perlu memuat ulang halaman</w:t>
            </w:r>
          </w:p>
        </w:tc>
      </w:tr>
      <w:tr>
        <w:tc>
          <w:tcPr>
            <w:tcW w:type="dxa" w:w="3024"/>
          </w:tcPr>
          <w:p>
            <w:r>
              <w:rPr>
                <w:sz w:val="21"/>
              </w:rPr>
              <w:t>Computer Vision (CV) Engine</w:t>
            </w:r>
          </w:p>
        </w:tc>
        <w:tc>
          <w:tcPr>
            <w:tcW w:type="dxa" w:w="6624"/>
          </w:tcPr>
          <w:p>
            <w:r>
              <w:rPr>
                <w:sz w:val="21"/>
              </w:rPr>
              <w:t>Mesin yang menganalisis foto untuk mendeteksi tanda-tanda bencana (api, asap, banjir, kerusakan infrastruktur)</w:t>
            </w:r>
          </w:p>
        </w:tc>
      </w:tr>
      <w:tr>
        <w:tc>
          <w:tcPr>
            <w:tcW w:type="dxa" w:w="3024"/>
          </w:tcPr>
          <w:p>
            <w:r>
              <w:rPr>
                <w:sz w:val="21"/>
              </w:rPr>
              <w:t>Field Reporter</w:t>
            </w:r>
          </w:p>
        </w:tc>
        <w:tc>
          <w:tcPr>
            <w:tcW w:type="dxa" w:w="6624"/>
          </w:tcPr>
          <w:p>
            <w:r>
              <w:rPr>
                <w:sz w:val="21"/>
              </w:rPr>
              <w:t>Peran pengguna untuk petugas/relawan yang mengirim laporan foto dari lapangan</w:t>
            </w:r>
          </w:p>
        </w:tc>
      </w:tr>
    </w:tbl>
    <w:p/>
    <w:p>
      <w:pPr>
        <w:pStyle w:val="Heading2"/>
      </w:pPr>
      <w:r>
        <w:t>16. Referensi Dokumen Lengkap</w:t>
      </w:r>
    </w:p>
    <w:p>
      <w:r>
        <w:t>Manual book ini adalah ringkasan yang disederhanakan. Untuk detail teknis lebih mendalam, dokumen sumber berikut tersedia di folder docs/ pada repository AETHER:</w:t>
      </w:r>
    </w:p>
    <w:tbl>
      <w:tblPr>
        <w:tblStyle w:val="TableGrid"/>
        <w:tblW w:type="auto" w:w="0"/>
        <w:jc w:val="center"/>
        <w:tblLook w:firstColumn="1" w:firstRow="1" w:lastColumn="0" w:lastRow="0" w:noHBand="0" w:noVBand="1" w:val="04A0"/>
      </w:tblPr>
      <w:tblGrid>
        <w:gridCol w:w="4816"/>
        <w:gridCol w:w="4816"/>
      </w:tblGrid>
      <w:tr>
        <w:tc>
          <w:tcPr>
            <w:tcW w:type="dxa" w:w="3312"/>
            <w:shd w:val="clear" w:color="auto" w:fill="0F2A43"/>
          </w:tcPr>
          <w:p>
            <w:pPr>
              <w:jc w:val="left"/>
            </w:pPr>
            <w:r>
              <w:rPr>
                <w:b/>
                <w:color w:val="FFFFFF"/>
                <w:sz w:val="21"/>
              </w:rPr>
              <w:t>Dokumen</w:t>
            </w:r>
          </w:p>
        </w:tc>
        <w:tc>
          <w:tcPr>
            <w:tcW w:type="dxa" w:w="6336"/>
            <w:shd w:val="clear" w:color="auto" w:fill="0F2A43"/>
          </w:tcPr>
          <w:p>
            <w:pPr>
              <w:jc w:val="left"/>
            </w:pPr>
            <w:r>
              <w:rPr>
                <w:b/>
                <w:color w:val="FFFFFF"/>
                <w:sz w:val="21"/>
              </w:rPr>
              <w:t>Isi</w:t>
            </w:r>
          </w:p>
        </w:tc>
      </w:tr>
      <w:tr>
        <w:tc>
          <w:tcPr>
            <w:tcW w:type="dxa" w:w="3312"/>
          </w:tcPr>
          <w:p>
            <w:r>
              <w:rPr>
                <w:sz w:val="21"/>
              </w:rPr>
              <w:t>docs/SRS.md</w:t>
            </w:r>
          </w:p>
        </w:tc>
        <w:tc>
          <w:tcPr>
            <w:tcW w:type="dxa" w:w="6336"/>
          </w:tcPr>
          <w:p>
            <w:r>
              <w:rPr>
                <w:sz w:val="21"/>
              </w:rPr>
              <w:t>Software Requirements Specification — kebutuhan fungsional &amp; non-fungsional lengkap</w:t>
            </w:r>
          </w:p>
        </w:tc>
      </w:tr>
      <w:tr>
        <w:tc>
          <w:tcPr>
            <w:tcW w:type="dxa" w:w="3312"/>
          </w:tcPr>
          <w:p>
            <w:r>
              <w:rPr>
                <w:sz w:val="21"/>
              </w:rPr>
              <w:t>docs/ARCHITECTURE.md</w:t>
            </w:r>
          </w:p>
        </w:tc>
        <w:tc>
          <w:tcPr>
            <w:tcW w:type="dxa" w:w="6336"/>
          </w:tcPr>
          <w:p>
            <w:r>
              <w:rPr>
                <w:sz w:val="21"/>
              </w:rPr>
              <w:t>Arsitektur sistem, diagram alur, dan daftar modul lengkap</w:t>
            </w:r>
          </w:p>
        </w:tc>
      </w:tr>
      <w:tr>
        <w:tc>
          <w:tcPr>
            <w:tcW w:type="dxa" w:w="3312"/>
          </w:tcPr>
          <w:p>
            <w:r>
              <w:rPr>
                <w:sz w:val="21"/>
              </w:rPr>
              <w:t>docs/DATABASE_SCHEMA.md</w:t>
            </w:r>
          </w:p>
        </w:tc>
        <w:tc>
          <w:tcPr>
            <w:tcW w:type="dxa" w:w="6336"/>
          </w:tcPr>
          <w:p>
            <w:r>
              <w:rPr>
                <w:sz w:val="21"/>
              </w:rPr>
              <w:t>Skema database lengkap</w:t>
            </w:r>
          </w:p>
        </w:tc>
      </w:tr>
      <w:tr>
        <w:tc>
          <w:tcPr>
            <w:tcW w:type="dxa" w:w="3312"/>
          </w:tcPr>
          <w:p>
            <w:r>
              <w:rPr>
                <w:sz w:val="21"/>
              </w:rPr>
              <w:t>docs/API_SPEC.md</w:t>
            </w:r>
          </w:p>
        </w:tc>
        <w:tc>
          <w:tcPr>
            <w:tcW w:type="dxa" w:w="6336"/>
          </w:tcPr>
          <w:p>
            <w:r>
              <w:rPr>
                <w:sz w:val="21"/>
              </w:rPr>
              <w:t>Spesifikasi endpoint API lengkap</w:t>
            </w:r>
          </w:p>
        </w:tc>
      </w:tr>
      <w:tr>
        <w:tc>
          <w:tcPr>
            <w:tcW w:type="dxa" w:w="3312"/>
          </w:tcPr>
          <w:p>
            <w:r>
              <w:rPr>
                <w:sz w:val="21"/>
              </w:rPr>
              <w:t>docs/MIGRATION_FROM_ORION.md</w:t>
            </w:r>
          </w:p>
        </w:tc>
        <w:tc>
          <w:tcPr>
            <w:tcW w:type="dxa" w:w="6336"/>
          </w:tcPr>
          <w:p>
            <w:r>
              <w:rPr>
                <w:sz w:val="21"/>
              </w:rPr>
              <w:t>Riwayat migrasi arsitektur dari prototipe ORION</w:t>
            </w:r>
          </w:p>
        </w:tc>
      </w:tr>
      <w:tr>
        <w:tc>
          <w:tcPr>
            <w:tcW w:type="dxa" w:w="3312"/>
          </w:tcPr>
          <w:p>
            <w:r>
              <w:rPr>
                <w:sz w:val="21"/>
              </w:rPr>
              <w:t>README.md</w:t>
            </w:r>
          </w:p>
        </w:tc>
        <w:tc>
          <w:tcPr>
            <w:tcW w:type="dxa" w:w="6336"/>
          </w:tcPr>
          <w:p>
            <w:r>
              <w:rPr>
                <w:sz w:val="21"/>
              </w:rPr>
              <w:t>Ringkasan proyek &amp; instruksi quick start</w:t>
            </w:r>
          </w:p>
        </w:tc>
      </w:tr>
    </w:tbl>
    <w:p/>
    <w:p/>
    <w:p>
      <w:pPr>
        <w:jc w:val="center"/>
      </w:pPr>
      <w:r>
        <w:rPr>
          <w:i/>
          <w:color w:val="3A4450"/>
        </w:rPr>
        <w:t>— Akhir dari Manual Book AETHER v1.0 —</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3A4450"/>
        <w:sz w:val="18"/>
      </w:rPr>
      <w:t xml:space="preserve">AETHER — Manual Book  |  Halaman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3A44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00"/>
      <w:outlineLvl w:val="0"/>
    </w:pPr>
    <w:rPr>
      <w:rFonts w:asciiTheme="majorHAnsi" w:eastAsiaTheme="majorEastAsia" w:hAnsiTheme="majorHAnsi" w:cstheme="majorBidi" w:ascii="Calibri" w:hAnsi="Calibri"/>
      <w:b/>
      <w:bCs/>
      <w:color w:val="0F2A43"/>
      <w:sz w:val="48"/>
      <w:szCs w:val="28"/>
    </w:rPr>
  </w:style>
  <w:style w:type="paragraph" w:styleId="Heading2">
    <w:name w:val="heading 2"/>
    <w:basedOn w:val="Normal"/>
    <w:next w:val="Normal"/>
    <w:link w:val="Heading2Char"/>
    <w:uiPriority w:val="9"/>
    <w:unhideWhenUsed/>
    <w:qFormat/>
    <w:rsid w:val="00FC693F"/>
    <w:pPr>
      <w:keepNext/>
      <w:keepLines/>
      <w:pageBreakBefore w:val="0"/>
      <w:spacing w:before="400" w:after="160"/>
      <w:outlineLvl w:val="1"/>
    </w:pPr>
    <w:rPr>
      <w:rFonts w:asciiTheme="majorHAnsi" w:eastAsiaTheme="majorEastAsia" w:hAnsiTheme="majorHAnsi" w:cstheme="majorBidi" w:ascii="Calibri" w:hAnsi="Calibri"/>
      <w:b/>
      <w:bCs/>
      <w:color w:val="0F2A43"/>
      <w:sz w:val="34"/>
      <w:szCs w:val="26"/>
    </w:rPr>
  </w:style>
  <w:style w:type="paragraph" w:styleId="Heading3">
    <w:name w:val="heading 3"/>
    <w:basedOn w:val="Normal"/>
    <w:next w:val="Normal"/>
    <w:link w:val="Heading3Char"/>
    <w:uiPriority w:val="9"/>
    <w:unhideWhenUsed/>
    <w:qFormat/>
    <w:rsid w:val="00FC693F"/>
    <w:pPr>
      <w:keepNext/>
      <w:keepLines/>
      <w:pageBreakBefore w:val="0"/>
      <w:spacing w:before="280" w:after="120"/>
      <w:outlineLvl w:val="2"/>
    </w:pPr>
    <w:rPr>
      <w:rFonts w:asciiTheme="majorHAnsi" w:eastAsiaTheme="majorEastAsia" w:hAnsiTheme="majorHAnsi" w:cstheme="majorBidi" w:ascii="Calibri" w:hAnsi="Calibri"/>
      <w:b/>
      <w:bCs/>
      <w:color w:val="0E76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rPr>
      <w:i/>
      <w:color w:val="6B728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