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ind w:firstLine="0"/>
        <w:jc w:val="both"/>
      </w:pPr>
      <w:r>
        <w:rPr>
          <w:rFonts w:ascii="Times New Roman" w:cs="Times New Roman" w:eastAsia="Times New Roman" w:hAnsi="Times New Roman"/>
          <w:sz w:val="28"/>
          <w:szCs w:val="28"/>
        </w:rPr>
        <w:t xml:space="preserve">Научная статья</w:t>
      </w:r>
    </w:p>
    <w:p>
      <w:pPr>
        <w:spacing w:after="200" w:before="0" w:line="276"/>
        <w:ind w:firstLine="0"/>
        <w:jc w:val="both"/>
      </w:pPr>
      <w:r>
        <w:rPr>
          <w:rFonts w:ascii="Times New Roman" w:cs="Times New Roman" w:eastAsia="Times New Roman" w:hAnsi="Times New Roman"/>
          <w:sz w:val="28"/>
          <w:szCs w:val="28"/>
        </w:rPr>
        <w:t xml:space="preserve">УДК 004.056.55</w:t>
      </w:r>
    </w:p>
    <w:p>
      <w:pPr>
        <w:spacing w:after="200" w:line="276"/>
        <w:jc w:val="center"/>
      </w:pPr>
      <w:r>
        <w:rPr>
          <w:rFonts w:ascii="Times New Roman" w:cs="Times New Roman" w:eastAsia="Times New Roman" w:hAnsi="Times New Roman"/>
          <w:b/>
          <w:bCs/>
          <w:sz w:val="28"/>
          <w:szCs w:val="28"/>
        </w:rPr>
        <w:t xml:space="preserve">Гибридная постквантовая криптографическая подсистема долговременного защищённого хранения цифровых активов на платформе Java 25</w:t>
      </w:r>
    </w:p>
    <w:p>
      <w:pPr>
        <w:spacing w:after="0" w:before="0" w:line="276"/>
        <w:ind w:firstLine="0"/>
        <w:jc w:val="center"/>
      </w:pPr>
      <w:r>
        <w:rPr>
          <w:rFonts w:ascii="Times New Roman" w:cs="Times New Roman" w:eastAsia="Times New Roman" w:hAnsi="Times New Roman"/>
          <w:b/>
          <w:bCs/>
          <w:sz w:val="28"/>
          <w:szCs w:val="28"/>
        </w:rPr>
        <w:t xml:space="preserve">Максим Владимирович Заславцев</w:t>
      </w:r>
    </w:p>
    <w:p>
      <w:pPr>
        <w:spacing w:after="0" w:before="0" w:line="276"/>
        <w:ind w:firstLine="0"/>
        <w:jc w:val="center"/>
      </w:pPr>
      <w:r>
        <w:rPr>
          <w:rFonts w:ascii="Times New Roman" w:cs="Times New Roman" w:eastAsia="Times New Roman" w:hAnsi="Times New Roman"/>
          <w:sz w:val="28"/>
          <w:szCs w:val="28"/>
        </w:rPr>
        <w:t xml:space="preserve">Московский авиационный институт (национальный исследовательский университет), Москва, Россия</w:t>
      </w:r>
    </w:p>
    <w:p>
      <w:pPr>
        <w:spacing w:after="200" w:before="0" w:line="276"/>
        <w:ind w:firstLine="0"/>
        <w:jc w:val="center"/>
      </w:pPr>
      <w:r>
        <w:rPr>
          <w:rFonts w:ascii="Times New Roman" w:cs="Times New Roman" w:eastAsia="Times New Roman" w:hAnsi="Times New Roman"/>
          <w:sz w:val="28"/>
          <w:szCs w:val="28"/>
        </w:rPr>
        <w:t xml:space="preserve">mzaslavtsev@gmail.com</w:t>
      </w:r>
    </w:p>
    <w:p>
      <w:pPr>
        <w:spacing w:after="0" w:before="0" w:line="360"/>
        <w:ind w:firstLine="709"/>
        <w:jc w:val="both"/>
      </w:pPr>
      <w:r>
        <w:rPr>
          <w:rFonts w:ascii="Times New Roman" w:cs="Times New Roman" w:eastAsia="Times New Roman" w:hAnsi="Times New Roman"/>
          <w:b/>
          <w:bCs/>
          <w:sz w:val="28"/>
          <w:szCs w:val="28"/>
        </w:rPr>
        <w:t xml:space="preserve">Аннотация.</w:t>
      </w:r>
      <w:r>
        <w:rPr>
          <w:rFonts w:ascii="Times New Roman" w:cs="Times New Roman" w:eastAsia="Times New Roman" w:hAnsi="Times New Roman"/>
          <w:sz w:val="28"/>
          <w:szCs w:val="28"/>
        </w:rPr>
        <w:t xml:space="preserve"> Рассматривается задача защиты цифровых активов, которые должны сохранять конфиденциальность в течение 10–50 лет, от атаки «Harvest Now, Decrypt Later»: перехваченные сегодня шифротексты могут быть вскрыты алгоритмом Шора после появления криптографически значимого квантового компьютера. Предложена аппаратно-независимая подсистема хранения, в которой симметричный ключ данных выводится функцией HKDF из двух независимых общих секретов — классического механизма X25519 и постквантового механизма инкапсуляции ключа ML-KEM-768 (FIPS 203), а целостность и авторство обеспечиваются композитной подписью Ed25519 и ML-DSA-65 (FIPS 204). Для компенсации кратного роста постквантовых артефактов разработан конвейер «сжатие → шифрование» с адаптивным отказом от сжатия и предложен спектрально-энтропийный алгоритм сжатия FOURIER, основанный на быстром преобразовании Фурье и кодировании невязок в 8-битной модулярной арифметике. Подсистема реализована на штатных криптографических интерфейсах Java 25 в виде модуля Spring Boot Starter с поддержкой криптоагильности. Экспериментально показано, что алгоритм FOURIER сокращает объём телеметрических данных на 71 % против 21 % у ZSTD, предварительное сжатие ускоряет полный криптографический цикл на 29–34 %, а проверка подписи ML-DSA-65 выполняется в 8 раз быстрее, чем Ed25519.</w:t>
      </w:r>
    </w:p>
    <w:p>
      <w:pPr>
        <w:spacing w:after="0" w:before="0" w:line="360"/>
        <w:ind w:firstLine="709"/>
        <w:jc w:val="both"/>
      </w:pPr>
      <w:r>
        <w:rPr>
          <w:rFonts w:ascii="Times New Roman" w:cs="Times New Roman" w:eastAsia="Times New Roman" w:hAnsi="Times New Roman"/>
          <w:b/>
          <w:bCs/>
          <w:sz w:val="28"/>
          <w:szCs w:val="28"/>
        </w:rPr>
        <w:t xml:space="preserve">Ключевые слова:</w:t>
      </w:r>
      <w:r>
        <w:rPr>
          <w:rFonts w:ascii="Times New Roman" w:cs="Times New Roman" w:eastAsia="Times New Roman" w:hAnsi="Times New Roman"/>
          <w:sz w:val="28"/>
          <w:szCs w:val="28"/>
        </w:rPr>
        <w:t xml:space="preserve"> постквантовая криптография, гибридная криптосистема, ML-KEM, ML-DSA, HKDF, Harvest Now Decrypt Later, сжатие перед шифрованием, быстрое преобразование Фурье, криптоагильность, Java 25</w:t>
      </w:r>
    </w:p>
    <w:p>
      <w:pPr>
        <w:spacing w:after="0" w:before="0" w:line="360"/>
        <w:ind w:firstLine="709"/>
        <w:jc w:val="both"/>
      </w:pPr>
      <w:r>
        <w:rPr>
          <w:rFonts w:ascii="Times New Roman" w:cs="Times New Roman" w:eastAsia="Times New Roman" w:hAnsi="Times New Roman"/>
          <w:b/>
          <w:bCs/>
          <w:sz w:val="28"/>
          <w:szCs w:val="28"/>
        </w:rPr>
        <w:t xml:space="preserve">Благодарности:</w:t>
      </w:r>
      <w:r>
        <w:rPr>
          <w:rFonts w:ascii="Times New Roman" w:cs="Times New Roman" w:eastAsia="Times New Roman" w:hAnsi="Times New Roman"/>
          <w:sz w:val="28"/>
          <w:szCs w:val="28"/>
        </w:rPr>
        <w:t xml:space="preserve"> автор выражает благодарность научному руководителю кандидату технических наук, доценту кафедры 806 МАИ Александру Михайловичу Романенкову за постановку задачи и ценные замечания.</w:t>
      </w:r>
    </w:p>
    <w:p>
      <w:pPr>
        <w:spacing w:after="240" w:before="0" w:line="360"/>
        <w:ind w:firstLine="709"/>
        <w:jc w:val="both"/>
      </w:pPr>
      <w:r>
        <w:rPr>
          <w:rFonts w:ascii="Times New Roman" w:cs="Times New Roman" w:eastAsia="Times New Roman" w:hAnsi="Times New Roman"/>
          <w:b/>
          <w:bCs/>
          <w:sz w:val="28"/>
          <w:szCs w:val="28"/>
        </w:rPr>
        <w:t xml:space="preserve">Для цитирования:</w:t>
      </w:r>
      <w:r>
        <w:rPr>
          <w:rFonts w:ascii="Times New Roman" w:cs="Times New Roman" w:eastAsia="Times New Roman" w:hAnsi="Times New Roman"/>
          <w:sz w:val="28"/>
          <w:szCs w:val="28"/>
        </w:rPr>
        <w:t xml:space="preserve"> Заславцев М. В. Гибридная постквантовая криптографическая подсистема долговременного защищённого хранения цифровых активов на платформе Java 25 // [Название журнала]. 2026. Т. [__], № [__]. С. [__]–[__].</w:t>
      </w:r>
    </w:p>
    <w:p>
      <w:pPr>
        <w:spacing w:after="0" w:before="0" w:line="276"/>
        <w:ind w:firstLine="0"/>
        <w:jc w:val="both"/>
      </w:pPr>
      <w:r>
        <w:rPr>
          <w:rFonts w:ascii="Times New Roman" w:cs="Times New Roman" w:eastAsia="Times New Roman" w:hAnsi="Times New Roman"/>
          <w:sz w:val="28"/>
          <w:szCs w:val="28"/>
        </w:rPr>
        <w:t xml:space="preserve">Original article</w:t>
      </w:r>
    </w:p>
    <w:p>
      <w:pPr>
        <w:spacing w:after="200" w:before="120" w:line="276"/>
        <w:jc w:val="center"/>
      </w:pPr>
      <w:r>
        <w:rPr>
          <w:rFonts w:ascii="Times New Roman" w:cs="Times New Roman" w:eastAsia="Times New Roman" w:hAnsi="Times New Roman"/>
          <w:b/>
          <w:bCs/>
          <w:sz w:val="28"/>
          <w:szCs w:val="28"/>
        </w:rPr>
        <w:t xml:space="preserve">Hybrid post-quantum cryptographic subsystem for long-term secure storage of digital assets on the Java 25 platform</w:t>
      </w:r>
    </w:p>
    <w:p>
      <w:pPr>
        <w:spacing w:after="0" w:before="0" w:line="276"/>
        <w:ind w:firstLine="0"/>
        <w:jc w:val="center"/>
      </w:pPr>
      <w:r>
        <w:rPr>
          <w:rFonts w:ascii="Times New Roman" w:cs="Times New Roman" w:eastAsia="Times New Roman" w:hAnsi="Times New Roman"/>
          <w:b/>
          <w:bCs/>
          <w:sz w:val="28"/>
          <w:szCs w:val="28"/>
        </w:rPr>
        <w:t xml:space="preserve">Maksim V. Zaslavtsev</w:t>
      </w:r>
    </w:p>
    <w:p>
      <w:pPr>
        <w:spacing w:after="0" w:before="0" w:line="276"/>
        <w:ind w:firstLine="0"/>
        <w:jc w:val="center"/>
      </w:pPr>
      <w:r>
        <w:rPr>
          <w:rFonts w:ascii="Times New Roman" w:cs="Times New Roman" w:eastAsia="Times New Roman" w:hAnsi="Times New Roman"/>
          <w:sz w:val="28"/>
          <w:szCs w:val="28"/>
        </w:rPr>
        <w:t xml:space="preserve">Moscow Aviation Institute (National Research University), Moscow, Russia</w:t>
      </w:r>
    </w:p>
    <w:p>
      <w:pPr>
        <w:spacing w:after="200" w:before="0" w:line="276"/>
        <w:ind w:firstLine="0"/>
        <w:jc w:val="center"/>
      </w:pPr>
      <w:r>
        <w:rPr>
          <w:rFonts w:ascii="Times New Roman" w:cs="Times New Roman" w:eastAsia="Times New Roman" w:hAnsi="Times New Roman"/>
          <w:sz w:val="28"/>
          <w:szCs w:val="28"/>
        </w:rPr>
        <w:t xml:space="preserve">mzaslavtsev@gmail.com</w:t>
      </w:r>
    </w:p>
    <w:p>
      <w:pPr>
        <w:spacing w:after="0" w:before="0" w:line="360"/>
        <w:ind w:firstLine="709"/>
        <w:jc w:val="both"/>
      </w:pPr>
      <w:r>
        <w:rPr>
          <w:rFonts w:ascii="Times New Roman" w:cs="Times New Roman" w:eastAsia="Times New Roman" w:hAnsi="Times New Roman"/>
          <w:b/>
          <w:bCs/>
          <w:sz w:val="28"/>
          <w:szCs w:val="28"/>
        </w:rPr>
        <w:t xml:space="preserve">Abstract.</w:t>
      </w:r>
      <w:r>
        <w:rPr>
          <w:rFonts w:ascii="Times New Roman" w:cs="Times New Roman" w:eastAsia="Times New Roman" w:hAnsi="Times New Roman"/>
          <w:sz w:val="28"/>
          <w:szCs w:val="28"/>
        </w:rPr>
        <w:t xml:space="preserve"> The paper addresses the protection of digital assets that must remain confidential for 10–50 years against the “Harvest Now, Decrypt Later” attack, in which ciphertexts intercepted today are decrypted with Shor’s algorithm once a cryptographically relevant quantum computer appears. A hardware-independent storage subsystem is proposed in which the data encryption key is derived by HKDF from two independent shared secrets produced by the classical X25519 mechanism and the post-quantum ML-KEM-768 key encapsulation mechanism (FIPS 203), while integrity and authenticity are provided by a composite Ed25519 and ML-DSA-65 signature (FIPS 204). To compensate for the multiple growth of post-quantum artefacts, a compress-then-encrypt pipeline with adaptive fallback is designed and a spectral-entropy compression algorithm FOURIER based on the fast Fourier transform and 8-bit modular residual coding is proposed. The subsystem is implemented on the standard Java 25 cryptographic APIs as a crypto-agile Spring Boot Starter. Experiments show that FOURIER reduces telemetry data by 71 % versus 21 % for ZSTD, pre-compression speeds up the full cryptographic cycle by 29–34 %, and ML-DSA-65 signature verification is 8 times faster than Ed25519.</w:t>
      </w:r>
    </w:p>
    <w:p>
      <w:pPr>
        <w:spacing w:after="0" w:before="0" w:line="360"/>
        <w:ind w:firstLine="709"/>
        <w:jc w:val="both"/>
      </w:pPr>
      <w:r>
        <w:rPr>
          <w:rFonts w:ascii="Times New Roman" w:cs="Times New Roman" w:eastAsia="Times New Roman" w:hAnsi="Times New Roman"/>
          <w:b/>
          <w:bCs/>
          <w:sz w:val="28"/>
          <w:szCs w:val="28"/>
        </w:rPr>
        <w:t xml:space="preserve">Keywords:</w:t>
      </w:r>
      <w:r>
        <w:rPr>
          <w:rFonts w:ascii="Times New Roman" w:cs="Times New Roman" w:eastAsia="Times New Roman" w:hAnsi="Times New Roman"/>
          <w:sz w:val="28"/>
          <w:szCs w:val="28"/>
        </w:rPr>
        <w:t xml:space="preserve"> post-quantum cryptography, hybrid cryptosystem, ML-KEM, ML-DSA, HKDF, Harvest Now Decrypt Later, compress-then-encrypt, fast Fourier transform, crypto-agility, Java 25</w:t>
      </w:r>
    </w:p>
    <w:p>
      <w:pPr>
        <w:spacing w:after="0" w:before="0" w:line="360"/>
        <w:ind w:firstLine="709"/>
        <w:jc w:val="both"/>
      </w:pPr>
      <w:r>
        <w:rPr>
          <w:rFonts w:ascii="Times New Roman" w:cs="Times New Roman" w:eastAsia="Times New Roman" w:hAnsi="Times New Roman"/>
          <w:b/>
          <w:bCs/>
          <w:sz w:val="28"/>
          <w:szCs w:val="28"/>
        </w:rPr>
        <w:t xml:space="preserve">Acknowledgments:</w:t>
      </w:r>
      <w:r>
        <w:rPr>
          <w:rFonts w:ascii="Times New Roman" w:cs="Times New Roman" w:eastAsia="Times New Roman" w:hAnsi="Times New Roman"/>
          <w:sz w:val="28"/>
          <w:szCs w:val="28"/>
        </w:rPr>
        <w:t xml:space="preserve"> the author thanks the scientific supervisor, Candidate of Technical Sciences, Associate Professor of Department 806 of MAI Aleksandr M. Romanenkov for setting the problem and valuable comments.</w:t>
      </w:r>
    </w:p>
    <w:p>
      <w:pPr>
        <w:spacing w:after="120" w:before="0" w:line="360"/>
        <w:ind w:firstLine="709"/>
        <w:jc w:val="both"/>
      </w:pPr>
      <w:r>
        <w:rPr>
          <w:rFonts w:ascii="Times New Roman" w:cs="Times New Roman" w:eastAsia="Times New Roman" w:hAnsi="Times New Roman"/>
          <w:b/>
          <w:bCs/>
          <w:sz w:val="28"/>
          <w:szCs w:val="28"/>
        </w:rPr>
        <w:t xml:space="preserve">For citation:</w:t>
      </w:r>
      <w:r>
        <w:rPr>
          <w:rFonts w:ascii="Times New Roman" w:cs="Times New Roman" w:eastAsia="Times New Roman" w:hAnsi="Times New Roman"/>
          <w:sz w:val="28"/>
          <w:szCs w:val="28"/>
        </w:rPr>
        <w:t xml:space="preserve"> Zaslavtsev M. V. Hybrid post-quantum cryptographic subsystem for long-term secure storage of digital assets on the Java 25 platform. [Journal title]. 2026;[__]([__]):[__]–[__]. (In Russ.).</w:t>
      </w:r>
    </w:p>
    <w:p>
      <w:pPr>
        <w:keepNext/>
        <w:spacing w:after="120" w:before="240" w:line="360"/>
        <w:jc w:val="center"/>
      </w:pPr>
      <w:r>
        <w:rPr>
          <w:rFonts w:ascii="Times New Roman" w:cs="Times New Roman" w:eastAsia="Times New Roman" w:hAnsi="Times New Roman"/>
          <w:b/>
          <w:bCs/>
          <w:sz w:val="28"/>
          <w:szCs w:val="28"/>
        </w:rPr>
        <w:t xml:space="preserve">ВВЕДЕНИЕ</w:t>
      </w:r>
    </w:p>
    <w:p>
      <w:pPr>
        <w:spacing w:after="0" w:before="0" w:line="360"/>
        <w:ind w:firstLine="709"/>
        <w:jc w:val="both"/>
      </w:pPr>
      <w:r>
        <w:rPr>
          <w:rFonts w:ascii="Times New Roman" w:cs="Times New Roman" w:eastAsia="Times New Roman" w:hAnsi="Times New Roman"/>
          <w:sz w:val="28"/>
          <w:szCs w:val="28"/>
        </w:rPr>
        <w:t xml:space="preserve">Безопасность инфраструктуры открытых ключей, на которой основаны защищённые каналы связи, электронный документооборот и системы хранения, опирается на вычислительную сложность задач факторизации целых чисел и дискретного логарифмирования. Алгоритм Шора [1] решает обе задачи за полиномиальное время на квантовом вычислителе, поэтому появление криптографически значимого квантового компьютера (CRQC) переводит алгоритмы RSA, DH, ECDH и ECDSA в класс практически взламываемых. Симметричные алгоритмы с ключом 256 бит, в том числе AES-256, сохраняют стойкость и в квантовую эпоху.</w:t>
      </w:r>
    </w:p>
    <w:p>
      <w:pPr>
        <w:spacing w:after="0" w:before="0" w:line="360"/>
        <w:ind w:firstLine="709"/>
        <w:jc w:val="both"/>
      </w:pPr>
      <w:r>
        <w:rPr>
          <w:rFonts w:ascii="Times New Roman" w:cs="Times New Roman" w:eastAsia="Times New Roman" w:hAnsi="Times New Roman"/>
          <w:sz w:val="28"/>
          <w:szCs w:val="28"/>
        </w:rPr>
        <w:t xml:space="preserve">Для систем хранения данных в состоянии покоя (Data-at-Rest) критична не дата появления CRQC, а модель угроз «Harvest Now, Decrypt Later» (HNDL): злоумышленник уже сегодня накапливает перехваченные контейнеры — архивы, резервные копии, конструкторскую документацию — чтобы расшифровать их после появления квантового вычислителя. Экспертные оценки вероятности появления CRQC в горизонте 10–15 лет [2] сопоставимы с требуемыми сроками конфиденциальности, а в авиационно-космической отрасли жизненный цикл изделия и его документации составляет 20–50 лет. Следовательно, данные, зашифрованные классическими асимметричными схемами сегодня, следует считать уже скомпрометированными в перспективе.</w:t>
      </w:r>
    </w:p>
    <w:p>
      <w:pPr>
        <w:spacing w:after="0" w:before="0" w:line="360"/>
        <w:ind w:firstLine="709"/>
        <w:jc w:val="both"/>
      </w:pPr>
      <w:r>
        <w:rPr>
          <w:rFonts w:ascii="Times New Roman" w:cs="Times New Roman" w:eastAsia="Times New Roman" w:hAnsi="Times New Roman"/>
          <w:sz w:val="28"/>
          <w:szCs w:val="28"/>
        </w:rPr>
        <w:t xml:space="preserve">В августе 2024 г. NIST утвердил стандарты постквантовой криптографии ML-KEM (FIPS 203) [3] и ML-DSA (FIPS 204) [4], а начиная с версии 24 платформа Java содержит их штатные реализации (JEP 496, JEP 497) [5, 6], что позволяет применять их в корпоративных приложениях без сторонних нативных библиотек.</w:t>
      </w:r>
    </w:p>
    <w:p>
      <w:pPr>
        <w:spacing w:after="0" w:before="0" w:line="360"/>
        <w:ind w:firstLine="709"/>
        <w:jc w:val="both"/>
      </w:pPr>
      <w:r>
        <w:rPr>
          <w:rFonts w:ascii="Times New Roman" w:cs="Times New Roman" w:eastAsia="Times New Roman" w:hAnsi="Times New Roman"/>
          <w:sz w:val="28"/>
          <w:szCs w:val="28"/>
        </w:rPr>
        <w:t xml:space="preserve">Целью работы является создание аппаратно-независимой подсистемы долговременного защищённого хранения цифровых активов, устойчивой к квантовым атакам и пригодной к внедрению в существующие микросервисные системы. Для достижения цели решены следующие задачи:</w:t>
      </w:r>
    </w:p>
    <w:p>
      <w:pPr>
        <w:pStyle w:val="ListParagraph"/>
        <w:numPr>
          <w:ilvl w:val="0"/>
          <w:numId w:val="2"/>
        </w:numPr>
        <w:spacing w:line="360"/>
        <w:jc w:val="both"/>
      </w:pPr>
      <w:r>
        <w:rPr>
          <w:rFonts w:ascii="Times New Roman" w:cs="Times New Roman" w:eastAsia="Times New Roman" w:hAnsi="Times New Roman"/>
          <w:sz w:val="28"/>
          <w:szCs w:val="28"/>
        </w:rPr>
        <w:t xml:space="preserve">синтез гибридной криптографической схемы с безопасным смешиванием классического и постквантового секретов;</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реализация гибридных механизмов инкапсуляции ключа и электронной подписи на основе стандартов FIPS 203 и FIPS 204;</w:t>
      </w:r>
    </w:p>
    <w:p>
      <w:pPr>
        <w:pStyle w:val="ListParagraph"/>
        <w:numPr>
          <w:ilvl w:val="0"/>
          <w:numId w:val="2"/>
        </w:numPr>
        <w:spacing w:line="360"/>
        <w:jc w:val="both"/>
      </w:pPr>
      <w:r>
        <w:rPr>
          <w:rFonts w:ascii="Times New Roman" w:cs="Times New Roman" w:eastAsia="Times New Roman" w:hAnsi="Times New Roman"/>
          <w:sz w:val="28"/>
          <w:szCs w:val="28"/>
        </w:rPr>
        <w:t xml:space="preserve">проектирование конвейера «сжатие → шифрование», компенсирующего рост размера постквантовых артефактов, и разработка алгоритма сжатия сигнальных данных FOURIER;</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реализация программного модуля Spring Boot Starter с поддержкой криптоагильности;</w:t>
      </w:r>
    </w:p>
    <w:p>
      <w:pPr>
        <w:pStyle w:val="ListParagraph"/>
        <w:numPr>
          <w:ilvl w:val="0"/>
          <w:numId w:val="2"/>
        </w:numPr>
        <w:spacing w:line="360"/>
        <w:jc w:val="both"/>
      </w:pPr>
      <w:r>
        <w:rPr>
          <w:rFonts w:ascii="Times New Roman" w:cs="Times New Roman" w:eastAsia="Times New Roman" w:hAnsi="Times New Roman"/>
          <w:sz w:val="28"/>
          <w:szCs w:val="28"/>
        </w:rPr>
        <w:t xml:space="preserve">экспериментальная оценка накладных расходов и производительности подсистемы.</w:t>
      </w:r>
    </w:p>
    <w:p>
      <w:pPr>
        <w:keepNext/>
        <w:keepLines/>
        <w:spacing w:after="120" w:before="240" w:line="360"/>
        <w:ind w:firstLine="709"/>
      </w:pPr>
      <w:r>
        <w:rPr>
          <w:rFonts w:ascii="Times New Roman" w:cs="Times New Roman" w:eastAsia="Times New Roman" w:hAnsi="Times New Roman"/>
          <w:b/>
          <w:bCs/>
          <w:sz w:val="28"/>
          <w:szCs w:val="28"/>
        </w:rPr>
        <w:t xml:space="preserve">1 Угроза HNDL и обоснование гибридного подхода</w:t>
      </w:r>
    </w:p>
    <w:p>
      <w:pPr>
        <w:keepNext/>
        <w:keepLines/>
        <w:spacing w:after="60" w:before="120" w:line="360"/>
        <w:ind w:firstLine="709"/>
      </w:pPr>
      <w:r>
        <w:rPr>
          <w:rFonts w:ascii="Times New Roman" w:cs="Times New Roman" w:eastAsia="Times New Roman" w:hAnsi="Times New Roman"/>
          <w:b/>
          <w:bCs/>
          <w:sz w:val="28"/>
          <w:szCs w:val="28"/>
        </w:rPr>
        <w:t xml:space="preserve">1.1 Постквантовые стандарты NIST</w:t>
      </w:r>
    </w:p>
    <w:p>
      <w:pPr>
        <w:spacing w:after="0" w:before="0" w:line="360"/>
        <w:ind w:firstLine="709"/>
        <w:jc w:val="both"/>
      </w:pPr>
      <w:r>
        <w:rPr>
          <w:rFonts w:ascii="Times New Roman" w:cs="Times New Roman" w:eastAsia="Times New Roman" w:hAnsi="Times New Roman"/>
          <w:sz w:val="28"/>
          <w:szCs w:val="28"/>
        </w:rPr>
        <w:t xml:space="preserve">Механизм ML-KEM предназначен для замены протоколов согласования ключей на основе Диффи — Хеллмана и обеспечивает двум сторонам выработку общего симметричного секрета по незащищённому каналу [3]. Его стойкость основана на задаче обучения с ошибками в модульных решётках (Module-LWE) [7, 8]. Важной инженерной особенностью является механизм неявного отказа (implicit rejection): при модифицированном шифротексте алгоритм не формирует исключение, а возвращает псевдослучайный ключ, что исключает атаки по времени и через оракул расшифрования. Параметры ML-KEM приведены в таблице 1.</w:t>
      </w:r>
    </w:p>
    <w:p>
      <w:pPr>
        <w:keepNext/>
        <w:spacing w:after="60" w:before="120" w:line="360"/>
      </w:pPr>
      <w:r>
        <w:rPr>
          <w:rFonts w:ascii="Times New Roman" w:cs="Times New Roman" w:eastAsia="Times New Roman" w:hAnsi="Times New Roman"/>
          <w:sz w:val="28"/>
          <w:szCs w:val="28"/>
        </w:rPr>
        <w:t xml:space="preserve">Таблица 1 — Наборы параметров ML-KEM (FIPS 203)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4"/>
        <w:gridCol w:w="1650"/>
        <w:gridCol w:w="1650"/>
        <w:gridCol w:w="1950"/>
        <w:gridCol w:w="1950"/>
      </w:tblGrid>
      <w:tr>
        <w:trPr>
          <w:cantSplit/>
          <w:tblHeader/>
        </w:trPr>
        <w:tc>
          <w:tcPr>
            <w:tcW w:type="dxa" w:w="21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Набор параметров</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Уровень NIST</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Эквивалент</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Открытый ключ, байт</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Шифротекст, байт</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ML-KEM-512</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1</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AES-128</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800</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768</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ML-KEM-768</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3</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AES-192</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1184</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1088</w:t>
            </w:r>
          </w:p>
        </w:tc>
      </w:tr>
      <w:tr>
        <w:trPr>
          <w:cantSplit/>
          <w:tblHeader w:val="false"/>
        </w:trPr>
        <w:tc>
          <w:tcPr>
            <w:tcW w:type="dxa" w:w="21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left"/>
            </w:pPr>
            <w:r>
              <w:rPr>
                <w:rFonts w:ascii="Times New Roman" w:cs="Times New Roman" w:eastAsia="Times New Roman" w:hAnsi="Times New Roman"/>
                <w:b w:val="false"/>
                <w:bCs w:val="false"/>
                <w:sz w:val="24"/>
                <w:szCs w:val="24"/>
              </w:rPr>
              <w:t xml:space="preserve">ML-KEM-1024</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5</w:t>
            </w:r>
          </w:p>
        </w:tc>
        <w:tc>
          <w:tcPr>
            <w:tcW w:type="dxa" w:w="16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AES-256</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1568</w:t>
            </w:r>
          </w:p>
        </w:tc>
        <w:tc>
          <w:tcPr>
            <w:tcW w:type="dxa" w:w="19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1568</w:t>
            </w:r>
          </w:p>
        </w:tc>
      </w:tr>
    </w:tbl>
    <w:p>
      <w:pPr>
        <w:spacing w:after="120" w:line="240"/>
      </w:pPr>
    </w:p>
    <w:p>
      <w:pPr>
        <w:spacing w:after="0" w:before="0" w:line="360"/>
        <w:ind w:firstLine="709"/>
        <w:jc w:val="both"/>
      </w:pPr>
      <w:r>
        <w:rPr>
          <w:rFonts w:ascii="Times New Roman" w:cs="Times New Roman" w:eastAsia="Times New Roman" w:hAnsi="Times New Roman"/>
          <w:sz w:val="28"/>
          <w:szCs w:val="28"/>
        </w:rPr>
        <w:t xml:space="preserve">Алгоритм ML-DSA построен по схеме Fiat — Shamir with Aborts и, в отличие от ECDSA, допускает детерминированный режим формирования подписи, при котором качество системного генератора случайных чисел не влияет на безопасность закрытого ключа [4]. Для рекомендуемого набора ML-DSA-65 (уровень 3) открытый ключ занимает 1952 байта, а подпись — 3309 байт, что на один-два порядка превышает размеры классических аналогов и определяет основную инженерную проблему внедрения.</w:t>
      </w:r>
    </w:p>
    <w:p>
      <w:pPr>
        <w:keepNext/>
        <w:keepLines/>
        <w:spacing w:after="60" w:before="120" w:line="360"/>
        <w:ind w:firstLine="709"/>
      </w:pPr>
      <w:r>
        <w:rPr>
          <w:rFonts w:ascii="Times New Roman" w:cs="Times New Roman" w:eastAsia="Times New Roman" w:hAnsi="Times New Roman"/>
          <w:b/>
          <w:bCs/>
          <w:sz w:val="28"/>
          <w:szCs w:val="28"/>
        </w:rPr>
        <w:t xml:space="preserve">1.2 Модель угроз</w:t>
      </w:r>
    </w:p>
    <w:p>
      <w:pPr>
        <w:spacing w:after="0" w:before="0" w:line="360"/>
        <w:ind w:firstLine="709"/>
        <w:jc w:val="both"/>
      </w:pPr>
      <w:r>
        <w:rPr>
          <w:rFonts w:ascii="Times New Roman" w:cs="Times New Roman" w:eastAsia="Times New Roman" w:hAnsi="Times New Roman"/>
          <w:sz w:val="28"/>
          <w:szCs w:val="28"/>
        </w:rPr>
        <w:t xml:space="preserve">Несмотря на стандартизацию, криптоанализ решёточных схем значительно моложе, чем у RSA и эллиптических кривых. Показательна судьба алгоритма SIKE: дойдя до четвёртого раунда конкурса NIST, он был полностью взломан на однопроцессорном компьютере за время порядка часа [9]. Поэтому национальные регуляторы — ANSSI (Франция) и BSI (Германия) — рекомендуют на переходном этапе применять постквантовые алгоритмы только в гибридном сочетании с классическими [10, 11]. Сравнение архитектур по трём классам противников приведено в таблице 2.</w:t>
      </w:r>
    </w:p>
    <w:p>
      <w:pPr>
        <w:keepNext/>
        <w:spacing w:after="60" w:before="120" w:line="360"/>
      </w:pPr>
      <w:r>
        <w:rPr>
          <w:rFonts w:ascii="Times New Roman" w:cs="Times New Roman" w:eastAsia="Times New Roman" w:hAnsi="Times New Roman"/>
          <w:sz w:val="28"/>
          <w:szCs w:val="28"/>
        </w:rPr>
        <w:t xml:space="preserve">Таблица 2 — Устойчивость архитектур к различным противникам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54"/>
        <w:gridCol w:w="2200"/>
        <w:gridCol w:w="2200"/>
        <w:gridCol w:w="2200"/>
      </w:tblGrid>
      <w:tr>
        <w:trPr>
          <w:cantSplit/>
          <w:tblHeader/>
        </w:trPr>
        <w:tc>
          <w:tcPr>
            <w:tcW w:type="dxa" w:w="27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Архитектура</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Классический противник</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Противник с CRQC</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Взлом математики решёток</w:t>
            </w:r>
          </w:p>
        </w:tc>
      </w:tr>
      <w:tr>
        <w:trPr>
          <w:cantSplit/>
          <w:tblHeader w:val="false"/>
        </w:trPr>
        <w:tc>
          <w:tcPr>
            <w:tcW w:type="dxa" w:w="27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Классическая (RSA, ECC)</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стойкая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уязвима</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не применимо</w:t>
            </w:r>
          </w:p>
        </w:tc>
      </w:tr>
      <w:tr>
        <w:trPr>
          <w:cantSplit/>
          <w:tblHeader w:val="false"/>
        </w:trPr>
        <w:tc>
          <w:tcPr>
            <w:tcW w:type="dxa" w:w="27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Только PQC (ML-KEM)</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стойкая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стойкая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уязвима</w:t>
            </w:r>
          </w:p>
        </w:tc>
      </w:tr>
      <w:tr>
        <w:trPr>
          <w:cantSplit/>
          <w:tblHeader w:val="false"/>
        </w:trPr>
        <w:tc>
          <w:tcPr>
            <w:tcW w:type="dxa" w:w="27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left"/>
            </w:pPr>
            <w:r>
              <w:rPr>
                <w:rFonts w:ascii="Times New Roman" w:cs="Times New Roman" w:eastAsia="Times New Roman" w:hAnsi="Times New Roman"/>
                <w:b w:val="false"/>
                <w:bCs w:val="false"/>
                <w:sz w:val="24"/>
                <w:szCs w:val="24"/>
              </w:rPr>
              <w:t xml:space="preserve">Гибридная (предложенная)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стойкая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стойкая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стойкая</w:t>
            </w:r>
          </w:p>
        </w:tc>
      </w:tr>
    </w:tbl>
    <w:p>
      <w:pPr>
        <w:spacing w:after="120" w:line="240"/>
      </w:pPr>
    </w:p>
    <w:p>
      <w:pPr>
        <w:spacing w:after="0" w:before="0" w:line="360"/>
        <w:ind w:firstLine="709"/>
        <w:jc w:val="both"/>
      </w:pPr>
      <w:r>
        <w:rPr>
          <w:rFonts w:ascii="Times New Roman" w:cs="Times New Roman" w:eastAsia="Times New Roman" w:hAnsi="Times New Roman"/>
          <w:sz w:val="28"/>
          <w:szCs w:val="28"/>
        </w:rPr>
        <w:t xml:space="preserve">Гибридная схема сохраняет стойкость, пока не скомпрометированы одновременно оба составляющих примитива. Формально стойкость гибридной схемы оценивается снизу стойкостью сильнейшего компонента:</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sSub>
          <m:sSubPr/>
          <m:e>
            <m:r>
              <m:t>S</m:t>
            </m:r>
          </m:e>
          <m:sub>
            <m:r>
              <m:t>hyb</m:t>
            </m:r>
          </m:sub>
        </m:sSub>
        <m:r>
          <m:t> ≥ max(</m:t>
        </m:r>
        <m:sSub>
          <m:sSubPr/>
          <m:e>
            <m:r>
              <m:t>S</m:t>
            </m:r>
          </m:e>
          <m:sub>
            <m:r>
              <m:t>cl</m:t>
            </m:r>
          </m:sub>
        </m:sSub>
        <m:r>
          <m:t>, </m:t>
        </m:r>
        <m:sSub>
          <m:sSubPr/>
          <m:e>
            <m:r>
              <m:t>S</m:t>
            </m:r>
          </m:e>
          <m:sub>
            <m:r>
              <m:t>pq</m:t>
            </m:r>
          </m:sub>
        </m:sSub>
        <m:r>
          <m:t>)</m:t>
        </m:r>
      </m:oMath>
      <w:r>
        <w:rPr>
          <w:rFonts w:ascii="Times New Roman" w:cs="Times New Roman" w:eastAsia="Times New Roman" w:hAnsi="Times New Roman"/>
          <w:sz w:val="28"/>
          <w:szCs w:val="28"/>
        </w:rPr>
        <w:tab/>
        <w:t xml:space="preserve">(1)</w:t>
      </w:r>
    </w:p>
    <w:p>
      <w:pPr>
        <w:spacing w:after="0" w:before="0" w:line="360"/>
        <w:ind w:firstLine="0"/>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S</w:t>
      </w:r>
      <w:r>
        <w:rPr>
          <w:rFonts w:ascii="Times New Roman" w:cs="Times New Roman" w:eastAsia="Times New Roman" w:hAnsi="Times New Roman"/>
          <w:sz w:val="28"/>
          <w:szCs w:val="28"/>
          <w:vertAlign w:val="subscript"/>
        </w:rPr>
        <w:t xml:space="preserve">cl</w:t>
      </w:r>
      <w:r>
        <w:rPr>
          <w:rFonts w:ascii="Times New Roman" w:cs="Times New Roman" w:eastAsia="Times New Roman" w:hAnsi="Times New Roman"/>
          <w:sz w:val="28"/>
          <w:szCs w:val="28"/>
        </w:rPr>
        <w:t xml:space="preserve"> и </w:t>
      </w:r>
      <w:r>
        <w:rPr>
          <w:rFonts w:ascii="Times New Roman" w:cs="Times New Roman" w:eastAsia="Times New Roman" w:hAnsi="Times New Roman"/>
          <w:i/>
          <w:iCs/>
          <w:sz w:val="28"/>
          <w:szCs w:val="28"/>
        </w:rPr>
        <w:t xml:space="preserve">S</w:t>
      </w:r>
      <w:r>
        <w:rPr>
          <w:rFonts w:ascii="Times New Roman" w:cs="Times New Roman" w:eastAsia="Times New Roman" w:hAnsi="Times New Roman"/>
          <w:sz w:val="28"/>
          <w:szCs w:val="28"/>
          <w:vertAlign w:val="subscript"/>
        </w:rPr>
        <w:t xml:space="preserve">pq</w:t>
      </w:r>
      <w:r>
        <w:rPr>
          <w:rFonts w:ascii="Times New Roman" w:cs="Times New Roman" w:eastAsia="Times New Roman" w:hAnsi="Times New Roman"/>
          <w:sz w:val="28"/>
          <w:szCs w:val="28"/>
        </w:rPr>
        <w:t xml:space="preserve"> — стойкость классического и постквантового компонентов соответственно. Оценка (1) справедлива лишь при корректном комбинировании секретов, рассмотренном в разделе 2.</w:t>
      </w:r>
    </w:p>
    <w:p>
      <w:pPr>
        <w:keepNext/>
        <w:keepLines/>
        <w:spacing w:after="120" w:before="240" w:line="360"/>
        <w:ind w:firstLine="709"/>
      </w:pPr>
      <w:r>
        <w:rPr>
          <w:rFonts w:ascii="Times New Roman" w:cs="Times New Roman" w:eastAsia="Times New Roman" w:hAnsi="Times New Roman"/>
          <w:b/>
          <w:bCs/>
          <w:sz w:val="28"/>
          <w:szCs w:val="28"/>
        </w:rPr>
        <w:t xml:space="preserve">2 Архитектура подсистемы хранения</w:t>
      </w:r>
    </w:p>
    <w:p>
      <w:pPr>
        <w:keepNext/>
        <w:keepLines/>
        <w:spacing w:after="60" w:before="120" w:line="360"/>
        <w:ind w:firstLine="709"/>
      </w:pPr>
      <w:r>
        <w:rPr>
          <w:rFonts w:ascii="Times New Roman" w:cs="Times New Roman" w:eastAsia="Times New Roman" w:hAnsi="Times New Roman"/>
          <w:b/>
          <w:bCs/>
          <w:sz w:val="28"/>
          <w:szCs w:val="28"/>
        </w:rPr>
        <w:t xml:space="preserve">2.1 Гибридная инкапсуляция ключа</w:t>
      </w:r>
    </w:p>
    <w:p>
      <w:pPr>
        <w:spacing w:after="0" w:before="0" w:line="360"/>
        <w:ind w:firstLine="709"/>
        <w:jc w:val="both"/>
      </w:pPr>
      <w:r>
        <w:rPr>
          <w:rFonts w:ascii="Times New Roman" w:cs="Times New Roman" w:eastAsia="Times New Roman" w:hAnsi="Times New Roman"/>
          <w:sz w:val="28"/>
          <w:szCs w:val="28"/>
        </w:rPr>
        <w:t xml:space="preserve">Общая схема подсистемы показана на рисунке 1. Для шифрования актива используется конвертная схема: тело данных шифруется симметричным ключом данных (DEK) алгоритмом AES-256-GCM, а сам ключ выводится из результатов двух независимых механизмов инкапсуляции — X25519 и ML-KEM-768 — с открытыми ключами получателя.</w:t>
      </w:r>
    </w:p>
    <w:p>
      <w:pPr>
        <w:keepNext/>
        <w:spacing w:after="60" w:before="120"/>
        <w:jc w:val="center"/>
      </w:pPr>
      <w:r>
        <w:drawing>
          <wp:inline distT="0" distB="0" distL="0" distR="0">
            <wp:extent cx="58578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2933700"/>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1 — Архитектура гибридного конвейера защищённого хранения</w:t>
      </w:r>
    </w:p>
    <w:p>
      <w:pPr>
        <w:spacing w:after="0" w:before="0" w:line="360"/>
        <w:ind w:firstLine="709"/>
        <w:jc w:val="both"/>
      </w:pPr>
      <w:r>
        <w:rPr>
          <w:rFonts w:ascii="Times New Roman" w:cs="Times New Roman" w:eastAsia="Times New Roman" w:hAnsi="Times New Roman"/>
          <w:sz w:val="28"/>
          <w:szCs w:val="28"/>
        </w:rPr>
        <w:t xml:space="preserve">Наивное объединение секретов, например вычисление хеш-функции от их конкатенации, уязвимо к атакам на неоднозначность разбора и не обеспечивает доказуемой стойкости [12]. В разработанном классе </w:t>
      </w:r>
      <w:r>
        <w:rPr>
          <w:rFonts w:ascii="Times New Roman" w:cs="Times New Roman" w:eastAsia="Times New Roman" w:hAnsi="Times New Roman"/>
          <w:i/>
          <w:iCs/>
          <w:sz w:val="28"/>
          <w:szCs w:val="28"/>
        </w:rPr>
        <w:t xml:space="preserve">HybridCombiner</w:t>
      </w:r>
      <w:r>
        <w:rPr>
          <w:rFonts w:ascii="Times New Roman" w:cs="Times New Roman" w:eastAsia="Times New Roman" w:hAnsi="Times New Roman"/>
          <w:sz w:val="28"/>
          <w:szCs w:val="28"/>
        </w:rPr>
        <w:t xml:space="preserve"> секреты объединяются с префиксами длины:</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r>
          <m:t>IKM = </m:t>
        </m:r>
        <m:sSub>
          <m:sSubPr/>
          <m:e>
            <m:r>
              <m:t>I</m:t>
            </m:r>
          </m:e>
          <m:sub>
            <m:r>
              <m:t>32</m:t>
            </m:r>
          </m:sub>
        </m:sSub>
        <m:r>
          <m:t>(|</m:t>
        </m:r>
        <m:sSub>
          <m:sSubPr/>
          <m:e>
            <m:r>
              <m:t>K</m:t>
            </m:r>
          </m:e>
          <m:sub>
            <m:r>
              <m:t>cl</m:t>
            </m:r>
          </m:sub>
        </m:sSub>
        <m:r>
          <m:t>|) ‖ </m:t>
        </m:r>
        <m:sSub>
          <m:sSubPr/>
          <m:e>
            <m:r>
              <m:t>K</m:t>
            </m:r>
          </m:e>
          <m:sub>
            <m:r>
              <m:t>cl</m:t>
            </m:r>
          </m:sub>
        </m:sSub>
        <m:r>
          <m:t> ‖ </m:t>
        </m:r>
        <m:sSub>
          <m:sSubPr/>
          <m:e>
            <m:r>
              <m:t>I</m:t>
            </m:r>
          </m:e>
          <m:sub>
            <m:r>
              <m:t>32</m:t>
            </m:r>
          </m:sub>
        </m:sSub>
        <m:r>
          <m:t>(|</m:t>
        </m:r>
        <m:sSub>
          <m:sSubPr/>
          <m:e>
            <m:r>
              <m:t>K</m:t>
            </m:r>
          </m:e>
          <m:sub>
            <m:r>
              <m:t>pq</m:t>
            </m:r>
          </m:sub>
        </m:sSub>
        <m:r>
          <m:t>|) ‖ </m:t>
        </m:r>
        <m:sSub>
          <m:sSubPr/>
          <m:e>
            <m:r>
              <m:t>K</m:t>
            </m:r>
          </m:e>
          <m:sub>
            <m:r>
              <m:t>pq</m:t>
            </m:r>
          </m:sub>
        </m:sSub>
      </m:oMath>
      <w:r>
        <w:rPr>
          <w:rFonts w:ascii="Times New Roman" w:cs="Times New Roman" w:eastAsia="Times New Roman" w:hAnsi="Times New Roman"/>
          <w:sz w:val="28"/>
          <w:szCs w:val="28"/>
        </w:rPr>
        <w:tab/>
        <w:t xml:space="preserve">(2)</w:t>
      </w:r>
    </w:p>
    <w:p>
      <w:pPr>
        <w:spacing w:after="0" w:before="0" w:line="360"/>
        <w:ind w:firstLine="0"/>
        <w:jc w:val="both"/>
      </w:pPr>
      <w:r>
        <w:rPr>
          <w:rFonts w:ascii="Times New Roman" w:cs="Times New Roman" w:eastAsia="Times New Roman" w:hAnsi="Times New Roman"/>
          <w:sz w:val="28"/>
          <w:szCs w:val="28"/>
        </w:rPr>
        <w:t xml:space="preserve">где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vertAlign w:val="subscript"/>
        </w:rPr>
        <w:t xml:space="preserve">cl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vertAlign w:val="subscript"/>
        </w:rPr>
        <w:t xml:space="preserve">pq</w:t>
      </w:r>
      <w:r>
        <w:rPr>
          <w:rFonts w:ascii="Times New Roman" w:cs="Times New Roman" w:eastAsia="Times New Roman" w:hAnsi="Times New Roman"/>
          <w:sz w:val="28"/>
          <w:szCs w:val="28"/>
        </w:rPr>
        <w:t xml:space="preserve"> — общие секреты X25519 и ML-KEM; </w:t>
      </w:r>
      <w:r>
        <w:rPr>
          <w:rFonts w:ascii="Times New Roman" w:cs="Times New Roman" w:eastAsia="Times New Roman" w:hAnsi="Times New Roman"/>
          <w:i/>
          <w:iCs/>
          <w:sz w:val="28"/>
          <w:szCs w:val="28"/>
        </w:rPr>
        <w:t xml:space="preserve">I</w:t>
      </w:r>
      <w:r>
        <w:rPr>
          <w:rFonts w:ascii="Times New Roman" w:cs="Times New Roman" w:eastAsia="Times New Roman" w:hAnsi="Times New Roman"/>
          <w:sz w:val="28"/>
          <w:szCs w:val="28"/>
          <w:vertAlign w:val="subscript"/>
        </w:rPr>
        <w:t xml:space="preserve">32</w:t>
      </w:r>
      <w:r>
        <w:rPr>
          <w:rFonts w:ascii="Times New Roman" w:cs="Times New Roman" w:eastAsia="Times New Roman" w:hAnsi="Times New Roman"/>
          <w:sz w:val="28"/>
          <w:szCs w:val="28"/>
        </w:rPr>
        <w:t xml:space="preserve">(·) — 4-байтовое представление длины в порядке big-endian; ‖ — конкатенация. Затем применяется функция HKDF на основе HMAC-SHA256 [13]:</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r>
          <m:t>PRK = HMAC‑SHA256(salt, IKM)</m:t>
        </m:r>
      </m:oMath>
      <w:r>
        <w:rPr>
          <w:rFonts w:ascii="Times New Roman" w:cs="Times New Roman" w:eastAsia="Times New Roman" w:hAnsi="Times New Roman"/>
          <w:sz w:val="28"/>
          <w:szCs w:val="28"/>
        </w:rPr>
        <w:tab/>
        <w:t xml:space="preserve">(3)</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r>
          <m:t>K = HKDF‑Expand(PRK, info, 32)</m:t>
        </m:r>
      </m:oMath>
      <w:r>
        <w:rPr>
          <w:rFonts w:ascii="Times New Roman" w:cs="Times New Roman" w:eastAsia="Times New Roman" w:hAnsi="Times New Roman"/>
          <w:sz w:val="28"/>
          <w:szCs w:val="28"/>
        </w:rPr>
        <w:tab/>
        <w:t xml:space="preserve">(4)</w:t>
      </w:r>
    </w:p>
    <w:p>
      <w:pPr>
        <w:spacing w:after="0" w:before="0" w:line="360"/>
        <w:ind w:firstLine="0"/>
        <w:jc w:val="both"/>
      </w:pPr>
      <w:r>
        <w:rPr>
          <w:rFonts w:ascii="Times New Roman" w:cs="Times New Roman" w:eastAsia="Times New Roman" w:hAnsi="Times New Roman"/>
          <w:sz w:val="28"/>
          <w:szCs w:val="28"/>
        </w:rPr>
        <w:t xml:space="preserve">где в качестве </w:t>
      </w:r>
      <w:r>
        <w:rPr>
          <w:rFonts w:ascii="Times New Roman" w:cs="Times New Roman" w:eastAsia="Times New Roman" w:hAnsi="Times New Roman"/>
          <w:i/>
          <w:iCs/>
          <w:sz w:val="28"/>
          <w:szCs w:val="28"/>
        </w:rPr>
        <w:t xml:space="preserve">salt</w:t>
      </w:r>
      <w:r>
        <w:rPr>
          <w:rFonts w:ascii="Times New Roman" w:cs="Times New Roman" w:eastAsia="Times New Roman" w:hAnsi="Times New Roman"/>
          <w:sz w:val="28"/>
          <w:szCs w:val="28"/>
        </w:rPr>
        <w:t xml:space="preserve"> и </w:t>
      </w:r>
      <w:r>
        <w:rPr>
          <w:rFonts w:ascii="Times New Roman" w:cs="Times New Roman" w:eastAsia="Times New Roman" w:hAnsi="Times New Roman"/>
          <w:i/>
          <w:iCs/>
          <w:sz w:val="28"/>
          <w:szCs w:val="28"/>
        </w:rPr>
        <w:t xml:space="preserve">info</w:t>
      </w:r>
      <w:r>
        <w:rPr>
          <w:rFonts w:ascii="Times New Roman" w:cs="Times New Roman" w:eastAsia="Times New Roman" w:hAnsi="Times New Roman"/>
          <w:sz w:val="28"/>
          <w:szCs w:val="28"/>
        </w:rPr>
        <w:t xml:space="preserve"> используется метка домена «PQC-HYBRID-KEM-v1», обеспечивающая разделение контекстов, а </w:t>
      </w:r>
      <w:r>
        <w:rPr>
          <w:rFonts w:ascii="Times New Roman" w:cs="Times New Roman" w:eastAsia="Times New Roman" w:hAnsi="Times New Roman"/>
          <w:i/>
          <w:iCs/>
          <w:sz w:val="28"/>
          <w:szCs w:val="28"/>
        </w:rPr>
        <w:t xml:space="preserve">K</w:t>
      </w:r>
      <w:r>
        <w:rPr>
          <w:rFonts w:ascii="Times New Roman" w:cs="Times New Roman" w:eastAsia="Times New Roman" w:hAnsi="Times New Roman"/>
          <w:sz w:val="28"/>
          <w:szCs w:val="28"/>
        </w:rPr>
        <w:t xml:space="preserve"> — 256-битный ключ данных. Промежуточные значения IKM и PRK затираются нулями сразу после использования.</w:t>
      </w:r>
    </w:p>
    <w:p>
      <w:pPr>
        <w:keepNext/>
        <w:keepLines/>
        <w:spacing w:after="60" w:before="120" w:line="360"/>
        <w:ind w:firstLine="709"/>
      </w:pPr>
      <w:r>
        <w:rPr>
          <w:rFonts w:ascii="Times New Roman" w:cs="Times New Roman" w:eastAsia="Times New Roman" w:hAnsi="Times New Roman"/>
          <w:b/>
          <w:bCs/>
          <w:sz w:val="28"/>
          <w:szCs w:val="28"/>
        </w:rPr>
        <w:t xml:space="preserve">2.2 Гибридная электронная подпись</w:t>
      </w:r>
    </w:p>
    <w:p>
      <w:pPr>
        <w:spacing w:after="0" w:before="0" w:line="360"/>
        <w:ind w:firstLine="709"/>
        <w:jc w:val="both"/>
      </w:pPr>
      <w:r>
        <w:rPr>
          <w:rFonts w:ascii="Times New Roman" w:cs="Times New Roman" w:eastAsia="Times New Roman" w:hAnsi="Times New Roman"/>
          <w:sz w:val="28"/>
          <w:szCs w:val="28"/>
        </w:rPr>
        <w:t xml:space="preserve">Для контроля целостности и авторства контейнера используется композитная подпись, объединяющая классическую и постквантовую подписи одного сообщения </w:t>
      </w:r>
      <w:r>
        <w:rPr>
          <w:rFonts w:ascii="Times New Roman" w:cs="Times New Roman" w:eastAsia="Times New Roman" w:hAnsi="Times New Roman"/>
          <w:i/>
          <w:iCs/>
          <w:sz w:val="28"/>
          <w:szCs w:val="28"/>
        </w:rPr>
        <w:t xml:space="preserve">m</w:t>
      </w:r>
      <w:r>
        <w:rPr>
          <w:rFonts w:ascii="Times New Roman" w:cs="Times New Roman" w:eastAsia="Times New Roman" w:hAnsi="Times New Roman"/>
          <w:sz w:val="28"/>
          <w:szCs w:val="28"/>
        </w:rPr>
        <w:t xml:space="preserve">:</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r>
          <m:t>σ = </m:t>
        </m:r>
        <m:sSub>
          <m:sSubPr/>
          <m:e>
            <m:r>
              <m:t>I</m:t>
            </m:r>
          </m:e>
          <m:sub>
            <m:r>
              <m:t>32</m:t>
            </m:r>
          </m:sub>
        </m:sSub>
        <m:r>
          <m:t>(|</m:t>
        </m:r>
        <m:sSub>
          <m:sSubPr/>
          <m:e>
            <m:r>
              <m:t>σ</m:t>
            </m:r>
          </m:e>
          <m:sub>
            <m:r>
              <m:t>cl</m:t>
            </m:r>
          </m:sub>
        </m:sSub>
        <m:r>
          <m:t>|) ‖ </m:t>
        </m:r>
        <m:sSub>
          <m:sSubPr/>
          <m:e>
            <m:r>
              <m:t>σ</m:t>
            </m:r>
          </m:e>
          <m:sub>
            <m:r>
              <m:t>cl</m:t>
            </m:r>
          </m:sub>
        </m:sSub>
        <m:r>
          <m:t> ‖ </m:t>
        </m:r>
        <m:sSub>
          <m:sSubPr/>
          <m:e>
            <m:r>
              <m:t>I</m:t>
            </m:r>
          </m:e>
          <m:sub>
            <m:r>
              <m:t>32</m:t>
            </m:r>
          </m:sub>
        </m:sSub>
        <m:r>
          <m:t>(|</m:t>
        </m:r>
        <m:sSub>
          <m:sSubPr/>
          <m:e>
            <m:r>
              <m:t>σ</m:t>
            </m:r>
          </m:e>
          <m:sub>
            <m:r>
              <m:t>pq</m:t>
            </m:r>
          </m:sub>
        </m:sSub>
        <m:r>
          <m:t>|) ‖ </m:t>
        </m:r>
        <m:sSub>
          <m:sSubPr/>
          <m:e>
            <m:r>
              <m:t>σ</m:t>
            </m:r>
          </m:e>
          <m:sub>
            <m:r>
              <m:t>pq</m:t>
            </m:r>
          </m:sub>
        </m:sSub>
      </m:oMath>
      <w:r>
        <w:rPr>
          <w:rFonts w:ascii="Times New Roman" w:cs="Times New Roman" w:eastAsia="Times New Roman" w:hAnsi="Times New Roman"/>
          <w:sz w:val="28"/>
          <w:szCs w:val="28"/>
        </w:rPr>
        <w:tab/>
        <w:t xml:space="preserve">(5)</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r>
          <m:t>Verify(m, σ) = </m:t>
        </m:r>
        <m:sSub>
          <m:sSubPr/>
          <m:e>
            <m:r>
              <m:t>Verify</m:t>
            </m:r>
          </m:e>
          <m:sub>
            <m:r>
              <m:t>cl</m:t>
            </m:r>
          </m:sub>
        </m:sSub>
        <m:r>
          <m:t>(m, </m:t>
        </m:r>
        <m:sSub>
          <m:sSubPr/>
          <m:e>
            <m:r>
              <m:t>σ</m:t>
            </m:r>
          </m:e>
          <m:sub>
            <m:r>
              <m:t>cl</m:t>
            </m:r>
          </m:sub>
        </m:sSub>
        <m:r>
          <m:t>) ∧ </m:t>
        </m:r>
        <m:sSub>
          <m:sSubPr/>
          <m:e>
            <m:r>
              <m:t>Verify</m:t>
            </m:r>
          </m:e>
          <m:sub>
            <m:r>
              <m:t>pq</m:t>
            </m:r>
          </m:sub>
        </m:sSub>
        <m:r>
          <m:t>(m, </m:t>
        </m:r>
        <m:sSub>
          <m:sSubPr/>
          <m:e>
            <m:r>
              <m:t>σ</m:t>
            </m:r>
          </m:e>
          <m:sub>
            <m:r>
              <m:t>pq</m:t>
            </m:r>
          </m:sub>
        </m:sSub>
        <m:r>
          <m:t>)</m:t>
        </m:r>
      </m:oMath>
      <w:r>
        <w:rPr>
          <w:rFonts w:ascii="Times New Roman" w:cs="Times New Roman" w:eastAsia="Times New Roman" w:hAnsi="Times New Roman"/>
          <w:sz w:val="28"/>
          <w:szCs w:val="28"/>
        </w:rPr>
        <w:tab/>
        <w:t xml:space="preserve">(6)</w:t>
      </w:r>
    </w:p>
    <w:p>
      <w:pPr>
        <w:spacing w:after="0" w:before="0" w:line="360"/>
        <w:ind w:firstLine="0"/>
        <w:jc w:val="both"/>
      </w:pPr>
      <w:r>
        <w:rPr>
          <w:rFonts w:ascii="Times New Roman" w:cs="Times New Roman" w:eastAsia="Times New Roman" w:hAnsi="Times New Roman"/>
          <w:sz w:val="28"/>
          <w:szCs w:val="28"/>
        </w:rPr>
        <w:t xml:space="preserve">Подпись принимается только при успешной проверке обеих частей. Такая конструкция обеспечивает неотказуемость в будущем: после компрометации классических алгоритмов квантовым компьютером постквантовая часть продолжает подтверждать подлинность документа. По умолчанию используется пара Ed25519 и ML-DSA-65; поддерживаются также ECDSA P-256 и RSA-2048.</w:t>
      </w:r>
    </w:p>
    <w:p>
      <w:pPr>
        <w:keepNext/>
        <w:keepLines/>
        <w:spacing w:after="60" w:before="120" w:line="360"/>
        <w:ind w:firstLine="709"/>
      </w:pPr>
      <w:r>
        <w:rPr>
          <w:rFonts w:ascii="Times New Roman" w:cs="Times New Roman" w:eastAsia="Times New Roman" w:hAnsi="Times New Roman"/>
          <w:b/>
          <w:bCs/>
          <w:sz w:val="28"/>
          <w:szCs w:val="28"/>
        </w:rPr>
        <w:t xml:space="preserve">2.3 Формат контейнера</w:t>
      </w:r>
    </w:p>
    <w:p>
      <w:pPr>
        <w:spacing w:after="0" w:before="0" w:line="360"/>
        <w:ind w:firstLine="709"/>
        <w:jc w:val="both"/>
      </w:pPr>
      <w:r>
        <w:rPr>
          <w:rFonts w:ascii="Times New Roman" w:cs="Times New Roman" w:eastAsia="Times New Roman" w:hAnsi="Times New Roman"/>
          <w:sz w:val="28"/>
          <w:szCs w:val="28"/>
        </w:rPr>
        <w:t xml:space="preserve">Результат шифрования сериализуется в самоописываемый двоичный контейнер </w:t>
      </w:r>
      <w:r>
        <w:rPr>
          <w:rFonts w:ascii="Times New Roman" w:cs="Times New Roman" w:eastAsia="Times New Roman" w:hAnsi="Times New Roman"/>
          <w:i/>
          <w:iCs/>
          <w:sz w:val="28"/>
          <w:szCs w:val="28"/>
        </w:rPr>
        <w:t xml:space="preserve">EncryptedMessage</w:t>
      </w:r>
      <w:r>
        <w:rPr>
          <w:rFonts w:ascii="Times New Roman" w:cs="Times New Roman" w:eastAsia="Times New Roman" w:hAnsi="Times New Roman"/>
          <w:sz w:val="28"/>
          <w:szCs w:val="28"/>
        </w:rPr>
        <w:t xml:space="preserve"> (рисунок 2). Заголовок содержит версию формата, идентификаторы алгоритмов инкапсуляции и сжатия и длину блока инкапсуляций, что позволяет расшифровать контейнер спустя годы, даже если конфигурация системы изменилась. Тело AES-256-GCM аутентифицируется 16-байтовым тегом, поэтому любая модификация контейнера обнаруживается при расшифровании.</w:t>
      </w:r>
    </w:p>
    <w:p>
      <w:pPr>
        <w:keepNext/>
        <w:spacing w:after="60" w:before="120"/>
        <w:jc w:val="center"/>
      </w:pPr>
      <w:r>
        <w:drawing>
          <wp:inline distT="0" distB="0" distL="0" distR="0">
            <wp:extent cx="585787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1304925"/>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2 — Формат контейнера EncryptedMessage</w:t>
      </w:r>
    </w:p>
    <w:p>
      <w:pPr>
        <w:spacing w:after="0" w:before="0" w:line="360"/>
        <w:ind w:firstLine="709"/>
        <w:jc w:val="both"/>
      </w:pPr>
      <w:r>
        <w:rPr>
          <w:rFonts w:ascii="Times New Roman" w:cs="Times New Roman" w:eastAsia="Times New Roman" w:hAnsi="Times New Roman"/>
          <w:sz w:val="28"/>
          <w:szCs w:val="28"/>
        </w:rPr>
        <w:t xml:space="preserve">Ключевой материал хранится в классе </w:t>
      </w:r>
      <w:r>
        <w:rPr>
          <w:rFonts w:ascii="Times New Roman" w:cs="Times New Roman" w:eastAsia="Times New Roman" w:hAnsi="Times New Roman"/>
          <w:i/>
          <w:iCs/>
          <w:sz w:val="28"/>
          <w:szCs w:val="28"/>
        </w:rPr>
        <w:t xml:space="preserve">SecureBytes</w:t>
      </w:r>
      <w:r>
        <w:rPr>
          <w:rFonts w:ascii="Times New Roman" w:cs="Times New Roman" w:eastAsia="Times New Roman" w:hAnsi="Times New Roman"/>
          <w:sz w:val="28"/>
          <w:szCs w:val="28"/>
        </w:rPr>
        <w:t xml:space="preserve"> (интерфейс AutoCloseable): при выходе из блока try-with-resources массивы с ключами затираются, что снижает риск их утечки через дампы памяти JVM.</w:t>
      </w:r>
    </w:p>
    <w:p>
      <w:pPr>
        <w:keepNext/>
        <w:keepLines/>
        <w:spacing w:after="60" w:before="120" w:line="360"/>
        <w:ind w:firstLine="709"/>
      </w:pPr>
      <w:r>
        <w:rPr>
          <w:rFonts w:ascii="Times New Roman" w:cs="Times New Roman" w:eastAsia="Times New Roman" w:hAnsi="Times New Roman"/>
          <w:b/>
          <w:bCs/>
          <w:sz w:val="28"/>
          <w:szCs w:val="28"/>
        </w:rPr>
        <w:t xml:space="preserve">2.4 Криптоагильность и интеграция в Spring Boot</w:t>
      </w:r>
    </w:p>
    <w:p>
      <w:pPr>
        <w:spacing w:after="0" w:before="0" w:line="360"/>
        <w:ind w:firstLine="709"/>
        <w:jc w:val="both"/>
      </w:pPr>
      <w:r>
        <w:rPr>
          <w:rFonts w:ascii="Times New Roman" w:cs="Times New Roman" w:eastAsia="Times New Roman" w:hAnsi="Times New Roman"/>
          <w:sz w:val="28"/>
          <w:szCs w:val="28"/>
        </w:rPr>
        <w:t xml:space="preserve">Под криптоагильностью понимается возможность замены криптографических алгоритмов и параметров без изменения бизнес-логики. Разработанный модуль </w:t>
      </w:r>
      <w:r>
        <w:rPr>
          <w:rFonts w:ascii="Times New Roman" w:cs="Times New Roman" w:eastAsia="Times New Roman" w:hAnsi="Times New Roman"/>
          <w:i/>
          <w:iCs/>
          <w:sz w:val="28"/>
          <w:szCs w:val="28"/>
        </w:rPr>
        <w:t xml:space="preserve">pqc-hybrid-spring-boot-starter</w:t>
      </w:r>
      <w:r>
        <w:rPr>
          <w:rFonts w:ascii="Times New Roman" w:cs="Times New Roman" w:eastAsia="Times New Roman" w:hAnsi="Times New Roman"/>
          <w:sz w:val="28"/>
          <w:szCs w:val="28"/>
        </w:rPr>
        <w:t xml:space="preserve"> средствами автоконфигурации Spring Boot создаёт компоненты </w:t>
      </w:r>
      <w:r>
        <w:rPr>
          <w:rFonts w:ascii="Times New Roman" w:cs="Times New Roman" w:eastAsia="Times New Roman" w:hAnsi="Times New Roman"/>
          <w:i/>
          <w:iCs/>
          <w:sz w:val="28"/>
          <w:szCs w:val="28"/>
        </w:rPr>
        <w:t xml:space="preserve">HybridEncryptor</w:t>
      </w:r>
      <w:r>
        <w:rPr>
          <w:rFonts w:ascii="Times New Roman" w:cs="Times New Roman" w:eastAsia="Times New Roman" w:hAnsi="Times New Roman"/>
          <w:sz w:val="28"/>
          <w:szCs w:val="28"/>
        </w:rPr>
        <w:t xml:space="preserve"> и </w:t>
      </w:r>
      <w:r>
        <w:rPr>
          <w:rFonts w:ascii="Times New Roman" w:cs="Times New Roman" w:eastAsia="Times New Roman" w:hAnsi="Times New Roman"/>
          <w:i/>
          <w:iCs/>
          <w:sz w:val="28"/>
          <w:szCs w:val="28"/>
        </w:rPr>
        <w:t xml:space="preserve">HybridSigner</w:t>
      </w:r>
      <w:r>
        <w:rPr>
          <w:rFonts w:ascii="Times New Roman" w:cs="Times New Roman" w:eastAsia="Times New Roman" w:hAnsi="Times New Roman"/>
          <w:sz w:val="28"/>
          <w:szCs w:val="28"/>
        </w:rPr>
        <w:t xml:space="preserve"> по свойствам конфигурации (листинг 1). Поддерживаются три режима — HYBRID (по умолчанию), PQC_ONLY и CLASSICAL_ONLY, наборы параметров ML-KEM-512/768/1024 и ML-DSA-44/65/87, а также алгоритмы сжатия GZIP, ZSTD, LZ4 и FOURIER.</w:t>
      </w:r>
    </w:p>
    <w:p>
      <w:pPr>
        <w:keepNext/>
        <w:spacing w:after="60" w:before="120" w:line="360"/>
      </w:pPr>
      <w:r>
        <w:rPr>
          <w:rFonts w:ascii="Times New Roman" w:cs="Times New Roman" w:eastAsia="Times New Roman" w:hAnsi="Times New Roman"/>
          <w:sz w:val="28"/>
          <w:szCs w:val="28"/>
        </w:rPr>
        <w:t xml:space="preserve">Листинг 1 — Конфигурация модуля в файле application.yml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000000" w:sz="4"/>
              <w:left w:val="single" w:color="000000" w:sz="4"/>
              <w:bottom w:val="single" w:color="000000" w:sz="4"/>
              <w:right w:val="single" w:color="000000" w:sz="4"/>
            </w:tcBorders>
            <w:tcMar>
              <w:top w:type="dxa" w:w="80"/>
              <w:left w:type="dxa" w:w="140"/>
              <w:bottom w:type="dxa" w:w="80"/>
              <w:right w:type="dxa" w:w="140"/>
            </w:tcMar>
          </w:tcPr>
          <w:p>
            <w:pPr>
              <w:keepNext/>
              <w:spacing w:line="240"/>
            </w:pPr>
            <w:r>
              <w:rPr>
                <w:rFonts w:ascii="Courier New" w:cs="Courier New" w:eastAsia="Courier New" w:hAnsi="Courier New"/>
                <w:sz w:val="20"/>
                <w:szCs w:val="20"/>
              </w:rPr>
              <w:t xml:space="preserve">pqc:</w:t>
            </w:r>
          </w:p>
          <w:p>
            <w:pPr>
              <w:keepNext/>
              <w:spacing w:line="240"/>
            </w:pPr>
            <w:r>
              <w:rPr>
                <w:rFonts w:ascii="Courier New" w:cs="Courier New" w:eastAsia="Courier New" w:hAnsi="Courier New"/>
                <w:sz w:val="20"/>
                <w:szCs w:val="20"/>
              </w:rPr>
              <w:t xml:space="preserve">  encryption:</w:t>
            </w:r>
          </w:p>
          <w:p>
            <w:pPr>
              <w:keepNext/>
              <w:spacing w:line="240"/>
            </w:pPr>
            <w:r>
              <w:rPr>
                <w:rFonts w:ascii="Courier New" w:cs="Courier New" w:eastAsia="Courier New" w:hAnsi="Courier New"/>
                <w:sz w:val="20"/>
                <w:szCs w:val="20"/>
              </w:rPr>
              <w:t xml:space="preserve">    mode: HYBRID</w:t>
            </w:r>
          </w:p>
          <w:p>
            <w:pPr>
              <w:keepNext/>
              <w:spacing w:line="240"/>
            </w:pPr>
            <w:r>
              <w:rPr>
                <w:rFonts w:ascii="Courier New" w:cs="Courier New" w:eastAsia="Courier New" w:hAnsi="Courier New"/>
                <w:sz w:val="20"/>
                <w:szCs w:val="20"/>
              </w:rPr>
              <w:t xml:space="preserve">    pqc-algorithm: ML_KEM_768</w:t>
            </w:r>
          </w:p>
          <w:p>
            <w:pPr>
              <w:keepNext/>
              <w:spacing w:line="240"/>
            </w:pPr>
            <w:r>
              <w:rPr>
                <w:rFonts w:ascii="Courier New" w:cs="Courier New" w:eastAsia="Courier New" w:hAnsi="Courier New"/>
                <w:sz w:val="20"/>
                <w:szCs w:val="20"/>
              </w:rPr>
              <w:t xml:space="preserve">    classical-algorithm: X25519</w:t>
            </w:r>
          </w:p>
          <w:p>
            <w:pPr>
              <w:keepNext/>
              <w:spacing w:line="240"/>
            </w:pPr>
            <w:r>
              <w:rPr>
                <w:rFonts w:ascii="Courier New" w:cs="Courier New" w:eastAsia="Courier New" w:hAnsi="Courier New"/>
                <w:sz w:val="20"/>
                <w:szCs w:val="20"/>
              </w:rPr>
              <w:t xml:space="preserve">    compression:</w:t>
            </w:r>
          </w:p>
          <w:p>
            <w:pPr>
              <w:keepNext/>
              <w:spacing w:line="240"/>
            </w:pPr>
            <w:r>
              <w:rPr>
                <w:rFonts w:ascii="Courier New" w:cs="Courier New" w:eastAsia="Courier New" w:hAnsi="Courier New"/>
                <w:sz w:val="20"/>
                <w:szCs w:val="20"/>
              </w:rPr>
              <w:t xml:space="preserve">      enabled: true</w:t>
            </w:r>
          </w:p>
          <w:p>
            <w:pPr>
              <w:keepNext/>
              <w:spacing w:line="240"/>
            </w:pPr>
            <w:r>
              <w:rPr>
                <w:rFonts w:ascii="Courier New" w:cs="Courier New" w:eastAsia="Courier New" w:hAnsi="Courier New"/>
                <w:sz w:val="20"/>
                <w:szCs w:val="20"/>
              </w:rPr>
              <w:t xml:space="preserve">      algorithm: ZSTD</w:t>
            </w:r>
          </w:p>
          <w:p>
            <w:pPr>
              <w:keepNext/>
              <w:spacing w:line="240"/>
            </w:pPr>
            <w:r>
              <w:rPr>
                <w:rFonts w:ascii="Courier New" w:cs="Courier New" w:eastAsia="Courier New" w:hAnsi="Courier New"/>
                <w:sz w:val="20"/>
                <w:szCs w:val="20"/>
              </w:rPr>
              <w:t xml:space="preserve">  signature:</w:t>
            </w:r>
          </w:p>
          <w:p>
            <w:pPr>
              <w:keepNext/>
              <w:spacing w:line="240"/>
            </w:pPr>
            <w:r>
              <w:rPr>
                <w:rFonts w:ascii="Courier New" w:cs="Courier New" w:eastAsia="Courier New" w:hAnsi="Courier New"/>
                <w:sz w:val="20"/>
                <w:szCs w:val="20"/>
              </w:rPr>
              <w:t xml:space="preserve">    mode: HYBRID</w:t>
            </w:r>
          </w:p>
          <w:p>
            <w:pPr>
              <w:keepNext/>
              <w:spacing w:line="240"/>
            </w:pPr>
            <w:r>
              <w:rPr>
                <w:rFonts w:ascii="Courier New" w:cs="Courier New" w:eastAsia="Courier New" w:hAnsi="Courier New"/>
                <w:sz w:val="20"/>
                <w:szCs w:val="20"/>
              </w:rPr>
              <w:t xml:space="preserve">    pqc-algorithm: ML_DSA_65</w:t>
            </w:r>
          </w:p>
          <w:p>
            <w:pPr>
              <w:keepNext/>
              <w:spacing w:line="240"/>
            </w:pPr>
            <w:r>
              <w:rPr>
                <w:rFonts w:ascii="Courier New" w:cs="Courier New" w:eastAsia="Courier New" w:hAnsi="Courier New"/>
                <w:sz w:val="20"/>
                <w:szCs w:val="20"/>
              </w:rPr>
              <w:t xml:space="preserve">    classical-algorithm: ED25519</w:t>
            </w:r>
          </w:p>
        </w:tc>
      </w:tr>
    </w:tbl>
    <w:p>
      <w:pPr>
        <w:spacing w:after="120" w:line="240"/>
      </w:pPr>
    </w:p>
    <w:p>
      <w:pPr>
        <w:spacing w:after="0" w:before="0" w:line="360"/>
        <w:ind w:firstLine="709"/>
        <w:jc w:val="both"/>
      </w:pPr>
      <w:r>
        <w:rPr>
          <w:rFonts w:ascii="Times New Roman" w:cs="Times New Roman" w:eastAsia="Times New Roman" w:hAnsi="Times New Roman"/>
          <w:sz w:val="28"/>
          <w:szCs w:val="28"/>
        </w:rPr>
        <w:t xml:space="preserve">Модуль использует только штатные интерфейсы Java Cryptography Architecture платформы Java 25, поэтому не требует нативных библиотек на C/C++ и сохраняет переносимость. Переход на будущие стандарты, в том числе отечественные постквантовые алгоритмы, сводится к добавлению провайдера и изменению конфигурации.</w:t>
      </w:r>
    </w:p>
    <w:p>
      <w:pPr>
        <w:keepNext/>
        <w:keepLines/>
        <w:spacing w:after="120" w:before="240" w:line="360"/>
        <w:ind w:firstLine="709"/>
      </w:pPr>
      <w:r>
        <w:rPr>
          <w:rFonts w:ascii="Times New Roman" w:cs="Times New Roman" w:eastAsia="Times New Roman" w:hAnsi="Times New Roman"/>
          <w:b/>
          <w:bCs/>
          <w:sz w:val="28"/>
          <w:szCs w:val="28"/>
        </w:rPr>
        <w:t xml:space="preserve">3 Конвейер «сжатие → шифрование» и алгоритм FOURIER</w:t>
      </w:r>
    </w:p>
    <w:p>
      <w:pPr>
        <w:keepNext/>
        <w:keepLines/>
        <w:spacing w:after="60" w:before="120" w:line="360"/>
        <w:ind w:firstLine="709"/>
      </w:pPr>
      <w:r>
        <w:rPr>
          <w:rFonts w:ascii="Times New Roman" w:cs="Times New Roman" w:eastAsia="Times New Roman" w:hAnsi="Times New Roman"/>
          <w:b/>
          <w:bCs/>
          <w:sz w:val="28"/>
          <w:szCs w:val="28"/>
        </w:rPr>
        <w:t xml:space="preserve">3.1 Обоснование порядка операций</w:t>
      </w:r>
    </w:p>
    <w:p>
      <w:pPr>
        <w:spacing w:after="0" w:before="0" w:line="360"/>
        <w:ind w:firstLine="709"/>
        <w:jc w:val="both"/>
      </w:pPr>
      <w:r>
        <w:rPr>
          <w:rFonts w:ascii="Times New Roman" w:cs="Times New Roman" w:eastAsia="Times New Roman" w:hAnsi="Times New Roman"/>
          <w:sz w:val="28"/>
          <w:szCs w:val="28"/>
        </w:rPr>
        <w:t xml:space="preserve">Платой за квантовую устойчивость является кратный рост служебных данных: гибридная инкапсуляция увеличивает накладные расходы контейнера с 79 до 1175 байт, а гибридная подпись — с 64 до 3381 байт. Для систем хранения, оперирующих миллионами объектов, это приводит к заметному росту требований к хранилищу и каналам репликации.</w:t>
      </w:r>
    </w:p>
    <w:p>
      <w:pPr>
        <w:spacing w:after="0" w:before="0" w:line="360"/>
        <w:ind w:firstLine="709"/>
        <w:jc w:val="both"/>
      </w:pPr>
      <w:r>
        <w:rPr>
          <w:rFonts w:ascii="Times New Roman" w:cs="Times New Roman" w:eastAsia="Times New Roman" w:hAnsi="Times New Roman"/>
          <w:sz w:val="28"/>
          <w:szCs w:val="28"/>
        </w:rPr>
        <w:t xml:space="preserve">Шифротекст AES-GCM статистически неотличим от случайной последовательности и обладает максимальной энтропией, поэтому сжатие после шифрования бесполезно и лишь увеличивает объём за счёт служебных заголовков архиватора. В связи с этим класс </w:t>
      </w:r>
      <w:r>
        <w:rPr>
          <w:rFonts w:ascii="Times New Roman" w:cs="Times New Roman" w:eastAsia="Times New Roman" w:hAnsi="Times New Roman"/>
          <w:i/>
          <w:iCs/>
          <w:sz w:val="28"/>
          <w:szCs w:val="28"/>
        </w:rPr>
        <w:t xml:space="preserve">HybridEncryptor</w:t>
      </w:r>
      <w:r>
        <w:rPr>
          <w:rFonts w:ascii="Times New Roman" w:cs="Times New Roman" w:eastAsia="Times New Roman" w:hAnsi="Times New Roman"/>
          <w:sz w:val="28"/>
          <w:szCs w:val="28"/>
        </w:rPr>
        <w:t xml:space="preserve"> реализует паттерн Compress-then-Encrypt: сжатие применяется к открытому тексту, пока он сохраняет семантическую избыточность, а идентификатор алгоритма сжатия фиксируется в заголовке контейнера. Поскольку подсистема предназначена для хранения, а не для интерактивного обмена, атаки, использующие зависимость длины сжатого текста от секретных данных, неприменимы к рассматриваемой модели угроз.</w:t>
      </w:r>
    </w:p>
    <w:p>
      <w:pPr>
        <w:keepNext/>
        <w:keepLines/>
        <w:spacing w:after="60" w:before="120" w:line="360"/>
        <w:ind w:firstLine="709"/>
      </w:pPr>
      <w:r>
        <w:rPr>
          <w:rFonts w:ascii="Times New Roman" w:cs="Times New Roman" w:eastAsia="Times New Roman" w:hAnsi="Times New Roman"/>
          <w:b/>
          <w:bCs/>
          <w:sz w:val="28"/>
          <w:szCs w:val="28"/>
        </w:rPr>
        <w:t xml:space="preserve">3.2 Адаптивный отказ от сжатия</w:t>
      </w:r>
    </w:p>
    <w:p>
      <w:pPr>
        <w:spacing w:after="0" w:before="0" w:line="360"/>
        <w:ind w:firstLine="709"/>
        <w:jc w:val="both"/>
      </w:pPr>
      <w:r>
        <w:rPr>
          <w:rFonts w:ascii="Times New Roman" w:cs="Times New Roman" w:eastAsia="Times New Roman" w:hAnsi="Times New Roman"/>
          <w:sz w:val="28"/>
          <w:szCs w:val="28"/>
        </w:rPr>
        <w:t xml:space="preserve">Если входные данные уже сжаты или зашифрованы, попытка их сжатия увеличивает объём. Поэтому после сжатия выполняется проверка: если результат не меньше исходных данных, сжатие отменяется, а в заголовок записывается маркер NONE. Эксперимент на 5000 байтах псевдослучайных данных подтвердил, что размер контейнера остаётся постоянным (6175 байт) независимо от выбранного алгоритма.</w:t>
      </w:r>
    </w:p>
    <w:p>
      <w:pPr>
        <w:keepNext/>
        <w:keepLines/>
        <w:spacing w:after="60" w:before="120" w:line="360"/>
        <w:ind w:firstLine="709"/>
      </w:pPr>
      <w:r>
        <w:rPr>
          <w:rFonts w:ascii="Times New Roman" w:cs="Times New Roman" w:eastAsia="Times New Roman" w:hAnsi="Times New Roman"/>
          <w:b/>
          <w:bCs/>
          <w:sz w:val="28"/>
          <w:szCs w:val="28"/>
        </w:rPr>
        <w:t xml:space="preserve">3.3 Спектрально-энтропийный алгоритм FOURIER</w:t>
      </w:r>
    </w:p>
    <w:p>
      <w:pPr>
        <w:spacing w:after="0" w:before="0" w:line="360"/>
        <w:ind w:firstLine="709"/>
        <w:jc w:val="both"/>
      </w:pPr>
      <w:r>
        <w:rPr>
          <w:rFonts w:ascii="Times New Roman" w:cs="Times New Roman" w:eastAsia="Times New Roman" w:hAnsi="Times New Roman"/>
          <w:sz w:val="28"/>
          <w:szCs w:val="28"/>
        </w:rPr>
        <w:t xml:space="preserve">Словарные алгоритмы семейства LZ77, лежащие в основе GZIP, ZSTD и LZ4, эффективны на данных с повторяющимися подстроками, но плохо работают на плавных градиентах и периодических сигналах — телеметрии, растровых снимках, аудиоданных, где точные побайтовые повторения практически отсутствуют. Для таких данных предложен алгоритм FOURIER, сочетающий спектральную аппроксимацию и энтропийное кодирование.</w:t>
      </w:r>
    </w:p>
    <w:p>
      <w:pPr>
        <w:spacing w:after="0" w:before="0" w:line="360"/>
        <w:ind w:firstLine="709"/>
        <w:jc w:val="both"/>
      </w:pPr>
      <w:r>
        <w:rPr>
          <w:rFonts w:ascii="Times New Roman" w:cs="Times New Roman" w:eastAsia="Times New Roman" w:hAnsi="Times New Roman"/>
          <w:sz w:val="28"/>
          <w:szCs w:val="28"/>
        </w:rPr>
        <w:t xml:space="preserve">Входной массив разбивается на блоки длиной </w:t>
      </w:r>
      <w:r>
        <w:rPr>
          <w:rFonts w:ascii="Times New Roman" w:cs="Times New Roman" w:eastAsia="Times New Roman" w:hAnsi="Times New Roman"/>
          <w:i/>
          <w:iCs/>
          <w:sz w:val="28"/>
          <w:szCs w:val="28"/>
        </w:rPr>
        <w:t xml:space="preserve">N</w:t>
      </w:r>
      <w:r>
        <w:rPr>
          <w:rFonts w:ascii="Times New Roman" w:cs="Times New Roman" w:eastAsia="Times New Roman" w:hAnsi="Times New Roman"/>
          <w:sz w:val="28"/>
          <w:szCs w:val="28"/>
        </w:rPr>
        <w:t xml:space="preserve"> = 1024 байта. Каждый блок рассматривается как дискретный сигнал </w:t>
      </w:r>
      <w:r>
        <w:rPr>
          <w:rFonts w:ascii="Times New Roman" w:cs="Times New Roman" w:eastAsia="Times New Roman" w:hAnsi="Times New Roman"/>
          <w:i/>
          <w:iCs/>
          <w:sz w:val="28"/>
          <w:szCs w:val="28"/>
        </w:rPr>
        <w:t xml:space="preserve">x</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 и переводится в частотную область быстрым преобразованием Фурье по алгоритму Кули — Тьюки [14]:</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sSub>
          <m:sSubPr/>
          <m:e>
            <m:r>
              <m:t>X</m:t>
            </m:r>
          </m:e>
          <m:sub>
            <m:r>
              <m:t>k</m:t>
            </m:r>
          </m:sub>
        </m:sSub>
        <m:r>
          <m:t> = </m:t>
        </m:r>
        <m:nary>
          <m:naryPr>
            <m:chr m:val="∑"/>
            <m:limLoc m:val="undOvr"/>
          </m:naryPr>
          <m:sub>
            <m:r>
              <m:t>n=0</m:t>
            </m:r>
          </m:sub>
          <m:sup>
            <m:r>
              <m:t>N−1</m:t>
            </m:r>
          </m:sup>
          <m:e>
            <m:sSub>
              <m:sSubPr/>
              <m:e>
                <m:r>
                  <m:t>x</m:t>
                </m:r>
              </m:e>
              <m:sub>
                <m:r>
                  <m:t>n</m:t>
                </m:r>
              </m:sub>
            </m:sSub>
            <m:r>
              <m:t> </m:t>
            </m:r>
            <m:sSup>
              <m:sSupPr/>
              <m:e>
                <m:r>
                  <m:t>e</m:t>
                </m:r>
              </m:e>
              <m:sup>
                <m:r>
                  <m:t>−2πikn/N</m:t>
                </m:r>
              </m:sup>
            </m:sSup>
          </m:e>
        </m:nary>
        <m:r>
          <m:t>,  k = 0, …, N−1</m:t>
        </m:r>
      </m:oMath>
      <w:r>
        <w:rPr>
          <w:rFonts w:ascii="Times New Roman" w:cs="Times New Roman" w:eastAsia="Times New Roman" w:hAnsi="Times New Roman"/>
          <w:sz w:val="28"/>
          <w:szCs w:val="28"/>
        </w:rPr>
        <w:tab/>
        <w:t xml:space="preserve">(7)</w:t>
      </w:r>
    </w:p>
    <w:p>
      <w:pPr>
        <w:spacing w:after="0" w:before="0" w:line="360"/>
        <w:ind w:firstLine="709"/>
        <w:jc w:val="both"/>
      </w:pPr>
      <w:r>
        <w:rPr>
          <w:rFonts w:ascii="Times New Roman" w:cs="Times New Roman" w:eastAsia="Times New Roman" w:hAnsi="Times New Roman"/>
          <w:sz w:val="28"/>
          <w:szCs w:val="28"/>
        </w:rPr>
        <w:t xml:space="preserve">Из спектра сохраняются только </w:t>
      </w:r>
      <w:r>
        <w:rPr>
          <w:rFonts w:ascii="Times New Roman" w:cs="Times New Roman" w:eastAsia="Times New Roman" w:hAnsi="Times New Roman"/>
          <w:i/>
          <w:iCs/>
          <w:sz w:val="28"/>
          <w:szCs w:val="28"/>
        </w:rPr>
        <w:t xml:space="preserve">L</w:t>
      </w:r>
      <w:r>
        <w:rPr>
          <w:rFonts w:ascii="Times New Roman" w:cs="Times New Roman" w:eastAsia="Times New Roman" w:hAnsi="Times New Roman"/>
          <w:sz w:val="28"/>
          <w:szCs w:val="28"/>
        </w:rPr>
        <w:t xml:space="preserve"> = 8 низкочастотных гармоник, остальные коэффициенты обнуляются. Обратное преобразование отфильтрованного спектра даёт сглаженное предсказание сигнала:</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sSub>
          <m:sSubPr/>
          <m:e>
            <m:r>
              <m:t>x̂</m:t>
            </m:r>
          </m:e>
          <m:sub>
            <m:r>
              <m:t>n</m:t>
            </m:r>
          </m:sub>
        </m:sSub>
        <m:r>
          <m:t> = round(Re </m:t>
        </m:r>
        <m:sSup>
          <m:sSupPr/>
          <m:e>
            <m:r>
              <m:t>F</m:t>
            </m:r>
          </m:e>
          <m:sup>
            <m:r>
              <m:t>−1</m:t>
            </m:r>
          </m:sup>
        </m:sSup>
        <m:r>
          <m:t>[</m:t>
        </m:r>
        <m:sSub>
          <m:sSubPr/>
          <m:e>
            <m:r>
              <m:t>X̃</m:t>
            </m:r>
          </m:e>
          <m:sub>
            <m:r>
              <m:t>k</m:t>
            </m:r>
          </m:sub>
        </m:sSub>
        <m:r>
          <m:t>]), </m:t>
        </m:r>
        <m:sSub>
          <m:sSubPr/>
          <m:e>
            <m:r>
              <m:t>X̃</m:t>
            </m:r>
          </m:e>
          <m:sub>
            <m:r>
              <m:t>k</m:t>
            </m:r>
          </m:sub>
        </m:sSub>
        <m:r>
          <m:t> = </m:t>
        </m:r>
        <m:sSub>
          <m:sSubPr/>
          <m:e>
            <m:r>
              <m:t>X</m:t>
            </m:r>
          </m:e>
          <m:sub>
            <m:r>
              <m:t>k</m:t>
            </m:r>
          </m:sub>
        </m:sSub>
        <m:r>
          <m:t> при k &lt; L, иначе 0</m:t>
        </m:r>
      </m:oMath>
      <w:r>
        <w:rPr>
          <w:rFonts w:ascii="Times New Roman" w:cs="Times New Roman" w:eastAsia="Times New Roman" w:hAnsi="Times New Roman"/>
          <w:sz w:val="28"/>
          <w:szCs w:val="28"/>
        </w:rPr>
        <w:tab/>
        <w:t xml:space="preserve">(8)</w:t>
      </w:r>
    </w:p>
    <w:p>
      <w:pPr>
        <w:spacing w:after="0" w:before="0" w:line="360"/>
        <w:ind w:firstLine="709"/>
        <w:jc w:val="both"/>
      </w:pPr>
      <w:r>
        <w:rPr>
          <w:rFonts w:ascii="Times New Roman" w:cs="Times New Roman" w:eastAsia="Times New Roman" w:hAnsi="Times New Roman"/>
          <w:sz w:val="28"/>
          <w:szCs w:val="28"/>
        </w:rPr>
        <w:t xml:space="preserve">Поскольку предсказание близко к исходным данным, невязки принимают преимущественно малые значения, сосредоточенные около нуля, то есть энтропия блока резко снижается. Невязки вычисляются в 8-битной модулярной арифметике:</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sSub>
          <m:sSubPr/>
          <m:e>
            <m:r>
              <m:t>r</m:t>
            </m:r>
          </m:e>
          <m:sub>
            <m:r>
              <m:t>n</m:t>
            </m:r>
          </m:sub>
        </m:sSub>
        <m:r>
          <m:t> = (</m:t>
        </m:r>
        <m:sSub>
          <m:sSubPr/>
          <m:e>
            <m:r>
              <m:t>x</m:t>
            </m:r>
          </m:e>
          <m:sub>
            <m:r>
              <m:t>n</m:t>
            </m:r>
          </m:sub>
        </m:sSub>
        <m:r>
          <m:t> − </m:t>
        </m:r>
        <m:sSub>
          <m:sSubPr/>
          <m:e>
            <m:r>
              <m:t>x̂</m:t>
            </m:r>
          </m:e>
          <m:sub>
            <m:r>
              <m:t>n</m:t>
            </m:r>
          </m:sub>
        </m:sSub>
        <m:r>
          <m:t>) mod 256</m:t>
        </m:r>
      </m:oMath>
      <w:r>
        <w:rPr>
          <w:rFonts w:ascii="Times New Roman" w:cs="Times New Roman" w:eastAsia="Times New Roman" w:hAnsi="Times New Roman"/>
          <w:sz w:val="28"/>
          <w:szCs w:val="28"/>
        </w:rPr>
        <w:tab/>
        <w:t xml:space="preserve">(9)</w:t>
      </w:r>
    </w:p>
    <w:p>
      <w:pPr>
        <w:spacing w:after="0" w:before="0" w:line="360"/>
        <w:ind w:firstLine="709"/>
        <w:jc w:val="both"/>
      </w:pPr>
      <w:r>
        <w:rPr>
          <w:rFonts w:ascii="Times New Roman" w:cs="Times New Roman" w:eastAsia="Times New Roman" w:hAnsi="Times New Roman"/>
          <w:sz w:val="28"/>
          <w:szCs w:val="28"/>
        </w:rPr>
        <w:t xml:space="preserve">В выходной буфер записываются длина исходных данных, коэффициенты сохранённых гармоник (по два 32-битных числа с плавающей точкой на гармонику) и массив невязок, после чего буфер кодируется алгоритмом ZSTD. При декомпрессии предсказание вычисляется по сохранённым гармоникам тем же детерминированным способом, и исходные байты восстанавливаются строго без потерь:</w:t>
      </w:r>
    </w:p>
    <w:p>
      <w:pPr>
        <w:keepNext w:val="false"/>
        <w:tabs>
          <w:tab w:val="center" w:pos="4677"/>
          <w:tab w:val="right" w:pos="9354"/>
        </w:tabs>
        <w:spacing w:after="60" w:before="60" w:line="360"/>
      </w:pPr>
      <w:r>
        <w:rPr>
          <w:rFonts w:ascii="Times New Roman" w:cs="Times New Roman" w:eastAsia="Times New Roman" w:hAnsi="Times New Roman"/>
          <w:sz w:val="28"/>
          <w:szCs w:val="28"/>
        </w:rPr>
        <w:tab/>
      </w:r>
      <m:oMath>
        <m:sSub>
          <m:sSubPr/>
          <m:e>
            <m:r>
              <m:t>x</m:t>
            </m:r>
          </m:e>
          <m:sub>
            <m:r>
              <m:t>n</m:t>
            </m:r>
          </m:sub>
        </m:sSub>
        <m:r>
          <m:t> = (</m:t>
        </m:r>
        <m:sSub>
          <m:sSubPr/>
          <m:e>
            <m:r>
              <m:t>x̂</m:t>
            </m:r>
          </m:e>
          <m:sub>
            <m:r>
              <m:t>n</m:t>
            </m:r>
          </m:sub>
        </m:sSub>
        <m:r>
          <m:t> + </m:t>
        </m:r>
        <m:sSub>
          <m:sSubPr/>
          <m:e>
            <m:r>
              <m:t>r</m:t>
            </m:r>
          </m:e>
          <m:sub>
            <m:r>
              <m:t>n</m:t>
            </m:r>
          </m:sub>
        </m:sSub>
        <m:r>
          <m:t>) mod 256</m:t>
        </m:r>
      </m:oMath>
      <w:r>
        <w:rPr>
          <w:rFonts w:ascii="Times New Roman" w:cs="Times New Roman" w:eastAsia="Times New Roman" w:hAnsi="Times New Roman"/>
          <w:sz w:val="28"/>
          <w:szCs w:val="28"/>
        </w:rPr>
        <w:tab/>
        <w:t xml:space="preserve">(10)</w:t>
      </w:r>
    </w:p>
    <w:p>
      <w:pPr>
        <w:spacing w:after="0" w:before="0" w:line="360"/>
        <w:ind w:firstLine="709"/>
        <w:jc w:val="both"/>
      </w:pPr>
      <w:r>
        <w:rPr>
          <w:rFonts w:ascii="Times New Roman" w:cs="Times New Roman" w:eastAsia="Times New Roman" w:hAnsi="Times New Roman"/>
          <w:sz w:val="28"/>
          <w:szCs w:val="28"/>
        </w:rPr>
        <w:t xml:space="preserve">В реализации на Java операция по модулю 256 выполняется приведением разности к типу byte: переполнение разрядной сетки естественно «закольцовывается», что исключает ветвления в горячем цикле и экономит такты процессора.</w:t>
      </w:r>
    </w:p>
    <w:p>
      <w:pPr>
        <w:keepNext/>
        <w:keepLines/>
        <w:spacing w:after="120" w:before="240" w:line="360"/>
        <w:ind w:firstLine="709"/>
      </w:pPr>
      <w:r>
        <w:rPr>
          <w:rFonts w:ascii="Times New Roman" w:cs="Times New Roman" w:eastAsia="Times New Roman" w:hAnsi="Times New Roman"/>
          <w:b/>
          <w:bCs/>
          <w:sz w:val="28"/>
          <w:szCs w:val="28"/>
        </w:rPr>
        <w:t xml:space="preserve">4 Экспериментальная оценка</w:t>
      </w:r>
    </w:p>
    <w:p>
      <w:pPr>
        <w:keepNext/>
        <w:keepLines/>
        <w:spacing w:after="60" w:before="120" w:line="360"/>
        <w:ind w:firstLine="709"/>
      </w:pPr>
      <w:r>
        <w:rPr>
          <w:rFonts w:ascii="Times New Roman" w:cs="Times New Roman" w:eastAsia="Times New Roman" w:hAnsi="Times New Roman"/>
          <w:b/>
          <w:bCs/>
          <w:sz w:val="28"/>
          <w:szCs w:val="28"/>
        </w:rPr>
        <w:t xml:space="preserve">4.1 Методика эксперимента</w:t>
      </w:r>
    </w:p>
    <w:p>
      <w:pPr>
        <w:spacing w:after="0" w:before="0" w:line="360"/>
        <w:ind w:firstLine="709"/>
        <w:jc w:val="both"/>
      </w:pPr>
      <w:r>
        <w:rPr>
          <w:rFonts w:ascii="Times New Roman" w:cs="Times New Roman" w:eastAsia="Times New Roman" w:hAnsi="Times New Roman"/>
          <w:sz w:val="28"/>
          <w:szCs w:val="28"/>
        </w:rPr>
        <w:t xml:space="preserve">Для профилирования разработано демонстрационное приложение на Spring Boot с экспортом метрик в Prometheus и Grafana. Каждое измерение выполнялось после трёх итераций прогрева JIT-компилятора и усреднялось по 20 итерациям в одном потоке процессора. Исходный код подсистемы и стенда опубликован в открытом репозитории [15].</w:t>
      </w:r>
    </w:p>
    <w:p>
      <w:pPr>
        <w:keepNext/>
        <w:keepLines/>
        <w:spacing w:after="60" w:before="120" w:line="360"/>
        <w:ind w:firstLine="709"/>
      </w:pPr>
      <w:r>
        <w:rPr>
          <w:rFonts w:ascii="Times New Roman" w:cs="Times New Roman" w:eastAsia="Times New Roman" w:hAnsi="Times New Roman"/>
          <w:b/>
          <w:bCs/>
          <w:sz w:val="28"/>
          <w:szCs w:val="28"/>
        </w:rPr>
        <w:t xml:space="preserve">4.2 Накладные расходы и масштабирование уровня безопасности</w:t>
      </w:r>
    </w:p>
    <w:p>
      <w:pPr>
        <w:spacing w:after="0" w:before="0" w:line="360"/>
        <w:ind w:firstLine="709"/>
        <w:jc w:val="both"/>
      </w:pPr>
      <w:r>
        <w:rPr>
          <w:rFonts w:ascii="Times New Roman" w:cs="Times New Roman" w:eastAsia="Times New Roman" w:hAnsi="Times New Roman"/>
          <w:sz w:val="28"/>
          <w:szCs w:val="28"/>
        </w:rPr>
        <w:t xml:space="preserve">Классический механизм X25519 добавляет к размеру сообщения 79 байт (инкапсулированный ключ, nonce и тег AES-GCM), гибридный механизм X25519 + ML-KEM-768 — 1175 байт, то есть служебная часть возрастает примерно в 15 раз. Влияние выбранного уровня безопасности на габариты гибридного KEM-сообщения показано в таблице 3.</w:t>
      </w:r>
    </w:p>
    <w:p>
      <w:pPr>
        <w:keepNext/>
        <w:spacing w:after="60" w:before="120" w:line="360"/>
      </w:pPr>
      <w:r>
        <w:rPr>
          <w:rFonts w:ascii="Times New Roman" w:cs="Times New Roman" w:eastAsia="Times New Roman" w:hAnsi="Times New Roman"/>
          <w:sz w:val="28"/>
          <w:szCs w:val="28"/>
        </w:rPr>
        <w:t xml:space="preserve">Таблица 3 — Влияние уровня безопасности на габариты гибридного KEM-сообщения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54"/>
        <w:gridCol w:w="2200"/>
        <w:gridCol w:w="2200"/>
        <w:gridCol w:w="2300"/>
      </w:tblGrid>
      <w:tr>
        <w:trPr>
          <w:cantSplit/>
          <w:tblHeader/>
        </w:trPr>
        <w:tc>
          <w:tcPr>
            <w:tcW w:type="dxa" w:w="26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Конфигурация</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Открытый ключ, байт</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Инкапсуляции, байт</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sz w:val="24"/>
                <w:szCs w:val="24"/>
              </w:rPr>
              <w:t xml:space="preserve">Эквивалентная стойкость</w:t>
            </w:r>
          </w:p>
        </w:tc>
      </w:tr>
      <w:tr>
        <w:trPr>
          <w:cantSplit/>
          <w:tblHeader w:val="false"/>
        </w:trPr>
        <w:tc>
          <w:tcPr>
            <w:tcW w:type="dxa" w:w="26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HYBRID (ML-KEM-512)</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32 + 800 = 832</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32 + 768 = 800</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AES-128</w:t>
            </w:r>
          </w:p>
        </w:tc>
      </w:tr>
      <w:tr>
        <w:trPr>
          <w:cantSplit/>
          <w:tblHeader w:val="false"/>
        </w:trPr>
        <w:tc>
          <w:tcPr>
            <w:tcW w:type="dxa" w:w="26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sz w:val="24"/>
                <w:szCs w:val="24"/>
              </w:rPr>
              <w:t xml:space="preserve">HYBRID (ML-KEM-768)</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32 + 1184 = 1216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32 + 1088 = 1120</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sz w:val="24"/>
                <w:szCs w:val="24"/>
              </w:rPr>
              <w:t xml:space="preserve">AES-192 (рекомендуется)</w:t>
            </w:r>
          </w:p>
        </w:tc>
      </w:tr>
      <w:tr>
        <w:trPr>
          <w:cantSplit/>
          <w:tblHeader w:val="false"/>
        </w:trPr>
        <w:tc>
          <w:tcPr>
            <w:tcW w:type="dxa" w:w="265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left"/>
            </w:pPr>
            <w:r>
              <w:rPr>
                <w:rFonts w:ascii="Times New Roman" w:cs="Times New Roman" w:eastAsia="Times New Roman" w:hAnsi="Times New Roman"/>
                <w:b w:val="false"/>
                <w:bCs w:val="false"/>
                <w:sz w:val="24"/>
                <w:szCs w:val="24"/>
              </w:rPr>
              <w:t xml:space="preserve">HYBRID (ML-KEM-1024)</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32 + 1568 = 1600</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32 + 1568 = 1600</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line="240"/>
              <w:jc w:val="center"/>
            </w:pPr>
            <w:r>
              <w:rPr>
                <w:rFonts w:ascii="Times New Roman" w:cs="Times New Roman" w:eastAsia="Times New Roman" w:hAnsi="Times New Roman"/>
                <w:b w:val="false"/>
                <w:bCs w:val="false"/>
                <w:sz w:val="24"/>
                <w:szCs w:val="24"/>
              </w:rPr>
              <w:t xml:space="preserve">AES-256</w:t>
            </w:r>
          </w:p>
        </w:tc>
      </w:tr>
    </w:tbl>
    <w:p>
      <w:pPr>
        <w:spacing w:after="120" w:line="240"/>
      </w:pPr>
    </w:p>
    <w:p>
      <w:pPr>
        <w:spacing w:after="0" w:before="0" w:line="360"/>
        <w:ind w:firstLine="709"/>
        <w:jc w:val="both"/>
      </w:pPr>
      <w:r>
        <w:rPr>
          <w:rFonts w:ascii="Times New Roman" w:cs="Times New Roman" w:eastAsia="Times New Roman" w:hAnsi="Times New Roman"/>
          <w:sz w:val="28"/>
          <w:szCs w:val="28"/>
        </w:rPr>
        <w:t xml:space="preserve">Набор ML-KEM-768 выбран по умолчанию как компромисс: он обеспечивает стойкость, эквивалентную AES-192, и увеличивает блок инкапсуляций лишь на 320 байт по сравнению с ML-KEM-512.</w:t>
      </w:r>
    </w:p>
    <w:p>
      <w:pPr>
        <w:keepNext/>
        <w:keepLines/>
        <w:spacing w:after="60" w:before="120" w:line="360"/>
        <w:ind w:firstLine="709"/>
      </w:pPr>
      <w:r>
        <w:rPr>
          <w:rFonts w:ascii="Times New Roman" w:cs="Times New Roman" w:eastAsia="Times New Roman" w:hAnsi="Times New Roman"/>
          <w:b/>
          <w:bCs/>
          <w:sz w:val="28"/>
          <w:szCs w:val="28"/>
        </w:rPr>
        <w:t xml:space="preserve">4.3 Эффективность сжатия</w:t>
      </w:r>
    </w:p>
    <w:p>
      <w:pPr>
        <w:spacing w:after="0" w:before="0" w:line="360"/>
        <w:ind w:firstLine="709"/>
        <w:jc w:val="both"/>
      </w:pPr>
      <w:r>
        <w:rPr>
          <w:rFonts w:ascii="Times New Roman" w:cs="Times New Roman" w:eastAsia="Times New Roman" w:hAnsi="Times New Roman"/>
          <w:sz w:val="28"/>
          <w:szCs w:val="28"/>
        </w:rPr>
        <w:t xml:space="preserve">На первом этапе алгоритмы сжатия сравнивались на текстовом документе объёмом 22 500 байт с высокой семантической избыточностью (рисунок 3). Наилучший результат показал ZSTD (1239 байт, сокращение на 94,8 %), алгоритмы GZIP и LZ4 оказались близки к нему. Алгоритм FOURIER сократил контейнер на 86,2 %, что ожидаемо уступает словарным методам на естественном языке.</w:t>
      </w:r>
    </w:p>
    <w:p>
      <w:pPr>
        <w:keepNext/>
        <w:spacing w:after="60" w:before="120"/>
        <w:jc w:val="center"/>
      </w:pPr>
      <w:r>
        <w:drawing>
          <wp:inline distT="0" distB="0" distL="0" distR="0">
            <wp:extent cx="46577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57725" cy="1809750"/>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3 — Размер итогового контейнера для текстовых данных объёмом 22 500 байт</w:t>
      </w:r>
    </w:p>
    <w:p>
      <w:pPr>
        <w:spacing w:after="0" w:before="0" w:line="360"/>
        <w:ind w:firstLine="709"/>
        <w:jc w:val="both"/>
      </w:pPr>
      <w:r>
        <w:rPr>
          <w:rFonts w:ascii="Times New Roman" w:cs="Times New Roman" w:eastAsia="Times New Roman" w:hAnsi="Times New Roman"/>
          <w:sz w:val="28"/>
          <w:szCs w:val="28"/>
        </w:rPr>
        <w:t xml:space="preserve">На втором этапе использовался массив сырых телеметрических данных пространственного сканирования объёмом 50 000 байт — несжатый растровый градиент с наложенным аппаратным шумом, характерный для бортовых регистраторов и систем дистанционного зондирования (рисунок 4). Словарные алгоритмы не нашли повторяющихся подстрок: LZ4 сократил объём лишь на 7 %, ZSTD — на 21 %. Алгоритм FOURIER сжал массив до 14 350 байт (на 71 %), что в 3,5 раза снижает объём данных, поступающих на шифрование. Поэтому для корпоративных документов алгоритмом по умолчанию остаётся ZSTD, а FOURIER включается конфигурацией для архивов сигнальных и растровых данных.</w:t>
      </w:r>
    </w:p>
    <w:p>
      <w:pPr>
        <w:keepNext/>
        <w:spacing w:after="60" w:before="120"/>
        <w:jc w:val="center"/>
      </w:pPr>
      <w:r>
        <w:drawing>
          <wp:inline distT="0" distB="0" distL="0" distR="0">
            <wp:extent cx="46577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57725" cy="1809750"/>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4 — Сравнение степени сжатия телеметрических данных объёмом 50 000 байт</w:t>
      </w:r>
    </w:p>
    <w:p>
      <w:pPr>
        <w:keepNext/>
        <w:keepLines/>
        <w:spacing w:after="60" w:before="120" w:line="360"/>
        <w:ind w:firstLine="709"/>
      </w:pPr>
      <w:r>
        <w:rPr>
          <w:rFonts w:ascii="Times New Roman" w:cs="Times New Roman" w:eastAsia="Times New Roman" w:hAnsi="Times New Roman"/>
          <w:b/>
          <w:bCs/>
          <w:sz w:val="28"/>
          <w:szCs w:val="28"/>
        </w:rPr>
        <w:t xml:space="preserve">4.4 Временные характеристики и пропускная способность</w:t>
      </w:r>
    </w:p>
    <w:p>
      <w:pPr>
        <w:spacing w:after="0" w:before="0" w:line="360"/>
        <w:ind w:firstLine="709"/>
        <w:jc w:val="both"/>
      </w:pPr>
      <w:r>
        <w:rPr>
          <w:rFonts w:ascii="Times New Roman" w:cs="Times New Roman" w:eastAsia="Times New Roman" w:hAnsi="Times New Roman"/>
          <w:sz w:val="28"/>
          <w:szCs w:val="28"/>
        </w:rPr>
        <w:t xml:space="preserve">Измерение длительности полного цикла «шифрование + расшифрование» выявило контринтуитивный эффект: включение сжатия не замедляет, а ускоряет работу подсистемы (рисунок 5). Для LZ4 время цикла сократилось с 0,96 до 0,68 мс (на 29 %), для ZSTD и FOURIER — на 30 и 34 % соответственно. Это объясняется тем, что затраты процессорного времени на сжатие ниже затрат на AEAD-преобразование и копирование исходного объёма памяти.</w:t>
      </w:r>
    </w:p>
    <w:p>
      <w:pPr>
        <w:keepNext/>
        <w:spacing w:after="60" w:before="120"/>
        <w:jc w:val="center"/>
      </w:pPr>
      <w:r>
        <w:drawing>
          <wp:inline distT="0" distB="0" distL="0" distR="0">
            <wp:extent cx="46577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57725" cy="2095500"/>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5 — Время полного цикла шифрования и расшифрования без сжатия и со сжатием</w:t>
      </w:r>
    </w:p>
    <w:p>
      <w:pPr>
        <w:spacing w:after="0" w:before="0" w:line="360"/>
        <w:ind w:firstLine="709"/>
        <w:jc w:val="both"/>
      </w:pPr>
      <w:r>
        <w:rPr>
          <w:rFonts w:ascii="Times New Roman" w:cs="Times New Roman" w:eastAsia="Times New Roman" w:hAnsi="Times New Roman"/>
          <w:sz w:val="28"/>
          <w:szCs w:val="28"/>
        </w:rPr>
        <w:t xml:space="preserve">Пропускная способность измерялась на непрерывном потоке документов объёмом 10 КБ (рисунок 6). Переход на гибридную схему ожидаемо снижает её с 15 200 операций в секунду для X25519 до 4100 операций в секунду, однако включение сжатия LZ4 повышает её до 5300 операций в секунду за счёт уменьшения объёма, обрабатываемого шифратором. Производительность свыше 5000 операций в секунду на одном ядре достаточна для промышленного применения.</w:t>
      </w:r>
    </w:p>
    <w:p>
      <w:pPr>
        <w:keepNext/>
        <w:spacing w:after="60" w:before="120"/>
        <w:jc w:val="center"/>
      </w:pPr>
      <w:r>
        <w:drawing>
          <wp:inline distT="0" distB="0" distL="0" distR="0">
            <wp:extent cx="46577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57725" cy="2162175"/>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6 — Пропускная способность подсистемы конвертного шифрования</w:t>
      </w:r>
    </w:p>
    <w:p>
      <w:pPr>
        <w:keepNext/>
        <w:keepLines/>
        <w:spacing w:after="60" w:before="120" w:line="360"/>
        <w:ind w:firstLine="709"/>
      </w:pPr>
      <w:r>
        <w:rPr>
          <w:rFonts w:ascii="Times New Roman" w:cs="Times New Roman" w:eastAsia="Times New Roman" w:hAnsi="Times New Roman"/>
          <w:b/>
          <w:bCs/>
          <w:sz w:val="28"/>
          <w:szCs w:val="28"/>
        </w:rPr>
        <w:t xml:space="preserve">4.5 Электронная подпись</w:t>
      </w:r>
    </w:p>
    <w:p>
      <w:pPr>
        <w:spacing w:after="0" w:before="0" w:line="360"/>
        <w:ind w:firstLine="709"/>
        <w:jc w:val="both"/>
      </w:pPr>
      <w:r>
        <w:rPr>
          <w:rFonts w:ascii="Times New Roman" w:cs="Times New Roman" w:eastAsia="Times New Roman" w:hAnsi="Times New Roman"/>
          <w:sz w:val="28"/>
          <w:szCs w:val="28"/>
        </w:rPr>
        <w:t xml:space="preserve">Классическая подпись Ed25519 занимает 64 байта, подпись ML-DSA-65 — 3309 байт, а гибридная подпись с двумя 4-байтовыми префиксами длины — 3381 байт (64 + 3309 + 8). Генерация гибридной пары ключей занимает в среднем 1,8 мс против 0,4 мс для Ed25519, поэтому ключи подписи следует создавать однократно при старте сервиса или по расписанию ротации, а не при каждой операции.</w:t>
      </w:r>
    </w:p>
    <w:p>
      <w:pPr>
        <w:spacing w:after="0" w:before="0" w:line="360"/>
        <w:ind w:firstLine="709"/>
        <w:jc w:val="both"/>
      </w:pPr>
      <w:r>
        <w:rPr>
          <w:rFonts w:ascii="Times New Roman" w:cs="Times New Roman" w:eastAsia="Times New Roman" w:hAnsi="Times New Roman"/>
          <w:sz w:val="28"/>
          <w:szCs w:val="28"/>
        </w:rPr>
        <w:t xml:space="preserve">Средние задержки формирования и проверки подписи для девяти конфигураций приведены на рисунке 7. Несмотря на размер ключей, вычисления ML-DSA выполняются быстро: формирование подписи ML-DSA-65 занимает 0,18 мс, что в 5,5 раза быстрее RSA-2048, а проверка — 0,055 мс, что в 8 раз быстрее Ed25519. Задержка гибридной подписи приблизительно равна сумме задержек составляющих, что подтверждает отсутствие узких мест в реализации композитного провайдера.</w:t>
      </w:r>
    </w:p>
    <w:p>
      <w:pPr>
        <w:keepNext/>
        <w:spacing w:after="60" w:before="120"/>
        <w:jc w:val="center"/>
      </w:pPr>
      <w:r>
        <w:drawing>
          <wp:inline distT="0" distB="0" distL="0" distR="0">
            <wp:extent cx="46577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57725" cy="2581275"/>
                    </a:xfrm>
                    <a:prstGeom prst="rect">
                      <a:avLst/>
                    </a:prstGeom>
                  </pic:spPr>
                </pic:pic>
              </a:graphicData>
            </a:graphic>
          </wp:inline>
        </w:drawing>
      </w:r>
    </w:p>
    <w:p>
      <w:pPr>
        <w:spacing w:after="120" w:line="360"/>
        <w:jc w:val="center"/>
      </w:pPr>
      <w:r>
        <w:rPr>
          <w:rFonts w:ascii="Times New Roman" w:cs="Times New Roman" w:eastAsia="Times New Roman" w:hAnsi="Times New Roman"/>
          <w:sz w:val="28"/>
          <w:szCs w:val="28"/>
        </w:rPr>
        <w:t xml:space="preserve">Рисунок 7 — Средние задержки формирования (а) и проверки (б) электронной подписи</w:t>
      </w:r>
    </w:p>
    <w:p>
      <w:pPr>
        <w:keepNext/>
        <w:keepLines/>
        <w:spacing w:after="60" w:before="120" w:line="360"/>
        <w:ind w:firstLine="709"/>
      </w:pPr>
      <w:r>
        <w:rPr>
          <w:rFonts w:ascii="Times New Roman" w:cs="Times New Roman" w:eastAsia="Times New Roman" w:hAnsi="Times New Roman"/>
          <w:b/>
          <w:bCs/>
          <w:sz w:val="28"/>
          <w:szCs w:val="28"/>
        </w:rPr>
        <w:t xml:space="preserve">4.6 Обсуждение и ограничения</w:t>
      </w:r>
    </w:p>
    <w:p>
      <w:pPr>
        <w:spacing w:after="0" w:before="0" w:line="360"/>
        <w:ind w:firstLine="709"/>
        <w:jc w:val="both"/>
      </w:pPr>
      <w:r>
        <w:rPr>
          <w:rFonts w:ascii="Times New Roman" w:cs="Times New Roman" w:eastAsia="Times New Roman" w:hAnsi="Times New Roman"/>
          <w:sz w:val="28"/>
          <w:szCs w:val="28"/>
        </w:rPr>
        <w:t xml:space="preserve">Основная цена перехода на гибридную постквантовую криптографию — рост размера артефактов, а не вычислительная сложность, и этот рост эффективно компенсируется предварительным сжатием. Ограничения работы — измерения на одной аппаратной платформе в однопоточном режиме и узкая область эффективности алгоритма FOURIER; перспективным направлением является адаптивный выбор алгоритма сжатия по статистике входных данных.</w:t>
      </w:r>
    </w:p>
    <w:p>
      <w:pPr>
        <w:keepNext/>
        <w:spacing w:after="120" w:before="240" w:line="360"/>
        <w:jc w:val="center"/>
      </w:pPr>
      <w:r>
        <w:rPr>
          <w:rFonts w:ascii="Times New Roman" w:cs="Times New Roman" w:eastAsia="Times New Roman" w:hAnsi="Times New Roman"/>
          <w:b/>
          <w:bCs/>
          <w:sz w:val="28"/>
          <w:szCs w:val="28"/>
        </w:rPr>
        <w:t xml:space="preserve">ЗАКЛЮЧЕНИЕ</w:t>
      </w:r>
    </w:p>
    <w:p>
      <w:pPr>
        <w:spacing w:after="0" w:before="0" w:line="360"/>
        <w:ind w:firstLine="709"/>
        <w:jc w:val="both"/>
      </w:pPr>
      <w:r>
        <w:rPr>
          <w:rFonts w:ascii="Times New Roman" w:cs="Times New Roman" w:eastAsia="Times New Roman" w:hAnsi="Times New Roman"/>
          <w:sz w:val="28"/>
          <w:szCs w:val="28"/>
        </w:rPr>
        <w:t xml:space="preserve">В работе предложена и реализована гибридная постквантовая подсистема долговременного защищённого хранения цифровых активов. Получены следующие основные результаты:</w:t>
      </w:r>
    </w:p>
    <w:p>
      <w:pPr>
        <w:pStyle w:val="ListParagraph"/>
        <w:numPr>
          <w:ilvl w:val="0"/>
          <w:numId w:val="3"/>
        </w:numPr>
        <w:spacing w:line="360"/>
        <w:jc w:val="both"/>
      </w:pPr>
      <w:r>
        <w:rPr>
          <w:rFonts w:ascii="Times New Roman" w:cs="Times New Roman" w:eastAsia="Times New Roman" w:hAnsi="Times New Roman"/>
          <w:sz w:val="28"/>
          <w:szCs w:val="28"/>
        </w:rPr>
        <w:t xml:space="preserve">разработана схема гибридной инкапсуляции ключа X25519 + ML-KEM-768 с объединением секретов функцией HKDF и префиксами длины, сохраняющая стойкость до одновременной компрометации обоих примитивов;</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реализована композитная электронная подпись Ed25519 + ML-DSA-65, обеспечивающая долговременную неотказуемость;</w:t>
      </w:r>
    </w:p>
    <w:p>
      <w:pPr>
        <w:pStyle w:val="ListParagraph"/>
        <w:numPr>
          <w:ilvl w:val="0"/>
          <w:numId w:val="3"/>
        </w:numPr>
        <w:spacing w:line="360"/>
        <w:jc w:val="both"/>
      </w:pPr>
      <w:r>
        <w:rPr>
          <w:rFonts w:ascii="Times New Roman" w:cs="Times New Roman" w:eastAsia="Times New Roman" w:hAnsi="Times New Roman"/>
          <w:sz w:val="28"/>
          <w:szCs w:val="28"/>
        </w:rPr>
        <w:t xml:space="preserve">предложен конвейер «сжатие → шифрование» с адаптивным отказом от сжатия и спектрально-энтропийный алгоритм FOURIER, сокращающий объём телеметрических данных на 71 % против 21 % у ZSTD;</w:t>
      </w:r>
    </w:p>
    <w:p>
      <w:pPr>
        <w:pStyle w:val="ListParagraph"/>
        <w:numPr>
          <w:ilvl w:val="0"/>
          <w:numId w:val="3"/>
        </w:numPr>
        <w:spacing w:line="360"/>
        <w:jc w:val="both"/>
      </w:pPr>
      <w:r>
        <w:rPr>
          <w:rFonts w:ascii="Times New Roman" w:cs="Times New Roman" w:eastAsia="Times New Roman" w:hAnsi="Times New Roman"/>
          <w:sz w:val="28"/>
          <w:szCs w:val="28"/>
        </w:rPr>
        <w:t xml:space="preserve">экспериментально показано, что предварительное сжатие ускоряет полный криптографический цикл на 29–34 % и повышает пропускную способность гибридного режима с 4100 до 5300 операций в секунду;</w:t>
      </w:r>
    </w:p>
    <w:p>
      <w:pPr>
        <w:pStyle w:val="ListParagraph"/>
        <w:numPr>
          <w:ilvl w:val="0"/>
          <w:numId w:val="3"/>
        </w:numPr>
        <w:spacing w:line="360"/>
        <w:jc w:val="both"/>
      </w:pPr>
      <w:r>
        <w:rPr>
          <w:rFonts w:ascii="Times New Roman" w:cs="Times New Roman" w:eastAsia="Times New Roman" w:hAnsi="Times New Roman"/>
          <w:sz w:val="28"/>
          <w:szCs w:val="28"/>
        </w:rPr>
        <w:t xml:space="preserve">подсистема оформлена в виде криптоагильного модуля Spring Boot Starter на штатных интерфейсах Java 25, готового к внедрению в корпоративные системы.</w:t>
      </w:r>
    </w:p>
    <w:p>
      <w:pPr>
        <w:spacing w:after="0" w:before="0" w:line="360"/>
        <w:ind w:firstLine="709"/>
        <w:jc w:val="both"/>
      </w:pPr>
      <w:r>
        <w:rPr>
          <w:rFonts w:ascii="Times New Roman" w:cs="Times New Roman" w:eastAsia="Times New Roman" w:hAnsi="Times New Roman"/>
          <w:sz w:val="28"/>
          <w:szCs w:val="28"/>
        </w:rPr>
        <w:t xml:space="preserve">Практическая значимость работы состоит в возможности уже сейчас защитить архивы с длительным сроком конфиденциальности от угрозы HNDL — в первую очередь в авиационно-космической и оборонной отраслях, где горизонт эксплуатации изделий превышает прогнозируемые сроки появления квантовых компьютеров.</w:t>
      </w:r>
    </w:p>
    <w:p>
      <w:pPr>
        <w:keepNext/>
        <w:spacing w:after="120" w:before="240" w:line="360"/>
        <w:jc w:val="center"/>
      </w:pPr>
      <w:r>
        <w:rPr>
          <w:rFonts w:ascii="Times New Roman" w:cs="Times New Roman" w:eastAsia="Times New Roman" w:hAnsi="Times New Roman"/>
          <w:b/>
          <w:bCs/>
          <w:sz w:val="28"/>
          <w:szCs w:val="28"/>
        </w:rPr>
        <w:t xml:space="preserve">СПИСОК ИСТОЧНИКОВ</w:t>
      </w:r>
    </w:p>
    <w:p>
      <w:pPr>
        <w:pStyle w:val="ListParagraph"/>
        <w:numPr>
          <w:ilvl w:val="0"/>
          <w:numId w:val="4"/>
        </w:numPr>
        <w:spacing w:line="360"/>
        <w:jc w:val="both"/>
      </w:pPr>
      <w:r>
        <w:rPr>
          <w:rFonts w:ascii="Times New Roman" w:cs="Times New Roman" w:eastAsia="Times New Roman" w:hAnsi="Times New Roman"/>
          <w:sz w:val="28"/>
          <w:szCs w:val="28"/>
        </w:rPr>
        <w:t xml:space="preserve">Shor P. W. Polynomial-Time Algorithms for Prime Factorization and Discrete Logarithms on a Quantum Computer // SIAM Journal on Computing. 1997. Vol. 26, no. 5. P. 1484–1509.</w:t>
      </w:r>
    </w:p>
    <w:p>
      <w:pPr>
        <w:pStyle w:val="ListParagraph"/>
        <w:numPr>
          <w:ilvl w:val="0"/>
          <w:numId w:val="4"/>
        </w:numPr>
        <w:spacing w:line="360"/>
        <w:jc w:val="both"/>
      </w:pPr>
      <w:r>
        <w:rPr>
          <w:rFonts w:ascii="Times New Roman" w:cs="Times New Roman" w:eastAsia="Times New Roman" w:hAnsi="Times New Roman"/>
          <w:sz w:val="28"/>
          <w:szCs w:val="28"/>
        </w:rPr>
        <w:t xml:space="preserve">Mosca M., Piani M. Quantum Threat Timeline Report 2024. Toronto : Global Risk Institute, 2024. 98 p.</w:t>
      </w:r>
    </w:p>
    <w:p>
      <w:pPr>
        <w:pStyle w:val="ListParagraph"/>
        <w:numPr>
          <w:ilvl w:val="0"/>
          <w:numId w:val="4"/>
        </w:numPr>
        <w:spacing w:line="360"/>
        <w:jc w:val="both"/>
      </w:pPr>
      <w:r>
        <w:rPr>
          <w:rFonts w:ascii="Times New Roman" w:cs="Times New Roman" w:eastAsia="Times New Roman" w:hAnsi="Times New Roman"/>
          <w:sz w:val="28"/>
          <w:szCs w:val="28"/>
        </w:rPr>
        <w:t xml:space="preserve">FIPS 203. Module-Lattice-Based Key-Encapsulation Mechanism Standard. Gaithersburg : NIST, 2024. 47 p. DOI: 10.6028/NIST.FIPS.203.</w:t>
      </w:r>
    </w:p>
    <w:p>
      <w:pPr>
        <w:pStyle w:val="ListParagraph"/>
        <w:numPr>
          <w:ilvl w:val="0"/>
          <w:numId w:val="4"/>
        </w:numPr>
        <w:spacing w:line="360"/>
        <w:jc w:val="both"/>
      </w:pPr>
      <w:r>
        <w:rPr>
          <w:rFonts w:ascii="Times New Roman" w:cs="Times New Roman" w:eastAsia="Times New Roman" w:hAnsi="Times New Roman"/>
          <w:sz w:val="28"/>
          <w:szCs w:val="28"/>
        </w:rPr>
        <w:t xml:space="preserve">FIPS 204. Module-Lattice-Based Digital Signature Standard. Gaithersburg : NIST, 2024. 55 p. DOI: 10.6028/NIST.FIPS.204.</w:t>
      </w:r>
    </w:p>
    <w:p>
      <w:pPr>
        <w:pStyle w:val="ListParagraph"/>
        <w:numPr>
          <w:ilvl w:val="0"/>
          <w:numId w:val="4"/>
        </w:numPr>
        <w:spacing w:line="360"/>
        <w:jc w:val="both"/>
      </w:pPr>
      <w:r>
        <w:rPr>
          <w:rFonts w:ascii="Times New Roman" w:cs="Times New Roman" w:eastAsia="Times New Roman" w:hAnsi="Times New Roman"/>
          <w:sz w:val="28"/>
          <w:szCs w:val="28"/>
        </w:rPr>
        <w:t xml:space="preserve">JEP 496: Quantum-Resistant Module-Lattice-Based Key Encapsulation Mechanism. URL: https://openjdk.org/jeps/496 (дата обращения: 15.10.2026).</w:t>
      </w:r>
    </w:p>
    <w:p>
      <w:pPr>
        <w:pStyle w:val="ListParagraph"/>
        <w:numPr>
          <w:ilvl w:val="0"/>
          <w:numId w:val="4"/>
        </w:numPr>
        <w:spacing w:line="360"/>
        <w:jc w:val="both"/>
      </w:pPr>
      <w:r>
        <w:rPr>
          <w:rFonts w:ascii="Times New Roman" w:cs="Times New Roman" w:eastAsia="Times New Roman" w:hAnsi="Times New Roman"/>
          <w:sz w:val="28"/>
          <w:szCs w:val="28"/>
        </w:rPr>
        <w:t xml:space="preserve">JEP 497: Quantum-Resistant Module-Lattice-Based Digital Signature Algorithm. URL: https://openjdk.org/jeps/497 (дата обращения: 15.10.2026).</w:t>
      </w:r>
    </w:p>
    <w:p>
      <w:pPr>
        <w:pStyle w:val="ListParagraph"/>
        <w:numPr>
          <w:ilvl w:val="0"/>
          <w:numId w:val="4"/>
        </w:numPr>
        <w:spacing w:line="360"/>
        <w:jc w:val="both"/>
      </w:pPr>
      <w:r>
        <w:rPr>
          <w:rFonts w:ascii="Times New Roman" w:cs="Times New Roman" w:eastAsia="Times New Roman" w:hAnsi="Times New Roman"/>
          <w:sz w:val="28"/>
          <w:szCs w:val="28"/>
        </w:rPr>
        <w:t xml:space="preserve">Bernstein D. J., Buchmann J., Dahmen E. Post-Quantum Cryptography. Berlin : Springer, 2009. 245 p.</w:t>
      </w:r>
    </w:p>
    <w:p>
      <w:pPr>
        <w:pStyle w:val="ListParagraph"/>
        <w:numPr>
          <w:ilvl w:val="0"/>
          <w:numId w:val="4"/>
        </w:numPr>
        <w:spacing w:line="360"/>
        <w:jc w:val="both"/>
      </w:pPr>
      <w:r>
        <w:rPr>
          <w:rFonts w:ascii="Times New Roman" w:cs="Times New Roman" w:eastAsia="Times New Roman" w:hAnsi="Times New Roman"/>
          <w:sz w:val="28"/>
          <w:szCs w:val="28"/>
        </w:rPr>
        <w:t xml:space="preserve">Hoffstein J., Pipher J., Silverman J. H. An Introduction to Mathematical Cryptography. 2nd ed. New York : Springer, 2014. 538 p.</w:t>
      </w:r>
    </w:p>
    <w:p>
      <w:pPr>
        <w:pStyle w:val="ListParagraph"/>
        <w:numPr>
          <w:ilvl w:val="0"/>
          <w:numId w:val="4"/>
        </w:numPr>
        <w:spacing w:line="360"/>
        <w:jc w:val="both"/>
      </w:pPr>
      <w:r>
        <w:rPr>
          <w:rFonts w:ascii="Times New Roman" w:cs="Times New Roman" w:eastAsia="Times New Roman" w:hAnsi="Times New Roman"/>
          <w:sz w:val="28"/>
          <w:szCs w:val="28"/>
        </w:rPr>
        <w:t xml:space="preserve">Castryck W., Decru T. An Efficient Key Recovery Attack on SIDH // Advances in Cryptology – EUROCRYPT 2023. Cham : Springer, 2023. P. 423–447.</w:t>
      </w:r>
    </w:p>
    <w:p>
      <w:pPr>
        <w:pStyle w:val="ListParagraph"/>
        <w:numPr>
          <w:ilvl w:val="0"/>
          <w:numId w:val="4"/>
        </w:numPr>
        <w:spacing w:line="360"/>
        <w:jc w:val="both"/>
      </w:pPr>
      <w:r>
        <w:rPr>
          <w:rFonts w:ascii="Times New Roman" w:cs="Times New Roman" w:eastAsia="Times New Roman" w:hAnsi="Times New Roman"/>
          <w:sz w:val="28"/>
          <w:szCs w:val="28"/>
        </w:rPr>
        <w:t xml:space="preserve">ANSSI views on the Post-Quantum Cryptography transition (2023 follow up). Paris : ANSSI, 2023. URL: https://cyber.gouv.fr/en/publications/follow-position-paper-post-quantum-cryptography (дата обращения: 15.10.2026).</w:t>
      </w:r>
    </w:p>
    <w:p>
      <w:pPr>
        <w:pStyle w:val="ListParagraph"/>
        <w:numPr>
          <w:ilvl w:val="0"/>
          <w:numId w:val="4"/>
        </w:numPr>
        <w:spacing w:line="360"/>
        <w:jc w:val="both"/>
      </w:pPr>
      <w:r>
        <w:rPr>
          <w:rFonts w:ascii="Times New Roman" w:cs="Times New Roman" w:eastAsia="Times New Roman" w:hAnsi="Times New Roman"/>
          <w:sz w:val="28"/>
          <w:szCs w:val="28"/>
        </w:rPr>
        <w:t xml:space="preserve">Quantum-safe cryptography – fundamentals, current developments and recommendations. Bonn : BSI, 2022. 112 p.</w:t>
      </w:r>
    </w:p>
    <w:p>
      <w:pPr>
        <w:pStyle w:val="ListParagraph"/>
        <w:numPr>
          <w:ilvl w:val="0"/>
          <w:numId w:val="4"/>
        </w:numPr>
        <w:spacing w:line="360"/>
        <w:jc w:val="both"/>
      </w:pPr>
      <w:r>
        <w:rPr>
          <w:rFonts w:ascii="Times New Roman" w:cs="Times New Roman" w:eastAsia="Times New Roman" w:hAnsi="Times New Roman"/>
          <w:sz w:val="28"/>
          <w:szCs w:val="28"/>
        </w:rPr>
        <w:t xml:space="preserve">Bindel N., Brendel J., Fischlin M., Goncalves B., Stebila D. Hybrid Key Encapsulation Mechanisms and Authenticated Key Exchange // Post-Quantum Cryptography. PQCrypto 2019. Cham : Springer, 2019. P. 206–226.</w:t>
      </w:r>
    </w:p>
    <w:p>
      <w:pPr>
        <w:pStyle w:val="ListParagraph"/>
        <w:numPr>
          <w:ilvl w:val="0"/>
          <w:numId w:val="4"/>
        </w:numPr>
        <w:spacing w:line="360"/>
        <w:jc w:val="both"/>
      </w:pPr>
      <w:r>
        <w:rPr>
          <w:rFonts w:ascii="Times New Roman" w:cs="Times New Roman" w:eastAsia="Times New Roman" w:hAnsi="Times New Roman"/>
          <w:sz w:val="28"/>
          <w:szCs w:val="28"/>
        </w:rPr>
        <w:t xml:space="preserve">Krawczyk H., Eronen P. HMAC-based Extract-and-Expand Key Derivation Function (HKDF) : RFC 5869. IETF, 2010. URL: https://www.rfc-editor.org/rfc/rfc5869 (дата обращения: 15.10.2026).</w:t>
      </w:r>
    </w:p>
    <w:p>
      <w:pPr>
        <w:pStyle w:val="ListParagraph"/>
        <w:numPr>
          <w:ilvl w:val="0"/>
          <w:numId w:val="4"/>
        </w:numPr>
        <w:spacing w:line="360"/>
        <w:jc w:val="both"/>
      </w:pPr>
      <w:r>
        <w:rPr>
          <w:rFonts w:ascii="Times New Roman" w:cs="Times New Roman" w:eastAsia="Times New Roman" w:hAnsi="Times New Roman"/>
          <w:sz w:val="28"/>
          <w:szCs w:val="28"/>
        </w:rPr>
        <w:t xml:space="preserve">Cooley J. W., Tukey J. W. An Algorithm for the Machine Calculation of Complex Fourier Series // Mathematics of Computation. 1965. Vol. 19, no. 90. P. 297–301.</w:t>
      </w:r>
    </w:p>
    <w:p>
      <w:pPr>
        <w:pStyle w:val="ListParagraph"/>
        <w:numPr>
          <w:ilvl w:val="0"/>
          <w:numId w:val="4"/>
        </w:numPr>
        <w:spacing w:line="360"/>
        <w:jc w:val="both"/>
      </w:pPr>
      <w:r>
        <w:rPr>
          <w:rFonts w:ascii="Times New Roman" w:cs="Times New Roman" w:eastAsia="Times New Roman" w:hAnsi="Times New Roman"/>
          <w:sz w:val="28"/>
          <w:szCs w:val="28"/>
        </w:rPr>
        <w:t xml:space="preserve">Заславцев М. В. pqc-diploma : гибридная постквантовая криптография для Java 25 и Spring Boot : исходный код. URL: https://github.com/MaximusPokeZ/pqc-diploma (дата обращения: 15.10.2026).</w:t>
      </w:r>
    </w:p>
    <w:sectPr>
      <w:footerReference w:type="default" r:id="rId7"/>
      <w:pgSz w:w="11906" w:h="16838" w:orient="portrait"/>
      <w:pgMar w:top="1134" w:right="850"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106" w:hanging="397"/>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1106" w:hanging="397"/>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1106" w:hanging="397"/>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60dd3421538aca808ccc8d26dde55e366a0ba1.png"/><Relationship Id="rId9" Type="http://schemas.openxmlformats.org/officeDocument/2006/relationships/image" Target="media/72194abdd0a659ba0759529e0af567300fa76d8e.png"/><Relationship Id="rId10" Type="http://schemas.openxmlformats.org/officeDocument/2006/relationships/image" Target="media/a51140e5cb47c8774cc04d3070c7a8220aea0453.png"/><Relationship Id="rId11" Type="http://schemas.openxmlformats.org/officeDocument/2006/relationships/image" Target="media/d5738513f692de8d15e0baeca760ee876f55aed6.png"/><Relationship Id="rId12" Type="http://schemas.openxmlformats.org/officeDocument/2006/relationships/image" Target="media/f3db8c1b0571989d597748d10bae2068ab1c2503.png"/><Relationship Id="rId13" Type="http://schemas.openxmlformats.org/officeDocument/2006/relationships/image" Target="media/fe5c977c826ef5f7c1af4e649d6802fe0d61120f.png"/><Relationship Id="rId14" Type="http://schemas.openxmlformats.org/officeDocument/2006/relationships/image" Target="media/7aa71cec7560844310144ff36540167801bd78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Гибридная постквантовая криптографическая подсистема</dc:title>
  <dc:creator>М. В. Заславцев</dc:creator>
  <dc:description>Научная статья</dc:description>
  <cp:lastModifiedBy>Un-named</cp:lastModifiedBy>
  <cp:revision>1</cp:revision>
  <dcterms:created xsi:type="dcterms:W3CDTF">2026-10-15T11:36:39.127Z</dcterms:created>
  <dcterms:modified xsi:type="dcterms:W3CDTF">2026-10-15T11:36:39.128Z</dcterms:modified>
</cp:coreProperties>
</file>

<file path=docProps/custom.xml><?xml version="1.0" encoding="utf-8"?>
<Properties xmlns="http://schemas.openxmlformats.org/officeDocument/2006/custom-properties" xmlns:vt="http://schemas.openxmlformats.org/officeDocument/2006/docPropsVTypes"/>
</file>