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Literature Review</w:t>
      </w:r>
    </w:p>
    <w:p>
      <w:pPr>
        <w:spacing w:after="80"/>
        <w:jc w:val="center"/>
      </w:pPr>
      <w:r>
        <w:rPr>
          <w:b/>
          <w:bCs/>
          <w:sz w:val="28"/>
          <w:szCs w:val="28"/>
        </w:rPr>
        <w:t xml:space="preserve">Financial Advisor Bot</w:t>
      </w:r>
    </w:p>
    <w:p>
      <w:pPr>
        <w:spacing w:after="480"/>
        <w:jc w:val="center"/>
      </w:pPr>
      <w:r>
        <w:rPr>
          <w:i/>
          <w:iCs/>
          <w:sz w:val="24"/>
          <w:szCs w:val="24"/>
        </w:rPr>
        <w:t xml:space="preserve">CM3020 Artificial Intelligence</w:t>
      </w:r>
    </w:p>
    <w:p>
      <w:pPr>
        <w:pStyle w:val="Heading1"/>
        <w:spacing w:after="180" w:before="360"/>
      </w:pPr>
      <w:r>
        <w:rPr>
          <w:b/>
          <w:bCs/>
        </w:rPr>
        <w:t xml:space="preserve">1. Introduction</w:t>
      </w:r>
    </w:p>
    <w:p>
      <w:pPr>
        <w:spacing w:after="160" w:line="360"/>
        <w:jc w:val="both"/>
      </w:pPr>
      <w:r>
        <w:t xml:space="preserve">The proposed Financial Advisor Bot aims to bridge an important gap in retail investment by combining machine learning prediction with transparent, plain-English explanations delivered through an accessible web interface. To position the project within existing research and to justify both its technical choices and its social motivation, this literature review examines five interconnected bodies of work: (1) empirical studies on retail investor behaviour and the limitations of contemporary consumer financial platforms; (2) the comparative landscape of existing solutions; (3) machine learning techniques for stock price prediction, particularly Long Short-Term Memory (LSTM) networks and Random Forest classifiers; (4) research on technical indicators as engineered features; and (5) explainable artificial intelligence (XAI), with a focus on SHAP (SHapley Additive exPlanations). A final section reviews methodological literature on backtesting, which constrains how results from the project will be evaluated and reported. For each body of work, the review critically evaluates the cited research, explains how it motivates the project, and identifies which design decisions it informs. The review concludes by synthesising these strands to articulate the specific gap the Financial Advisor Bot intends to fill.</w:t>
      </w:r>
    </w:p>
    <w:p>
      <w:pPr>
        <w:pStyle w:val="Heading1"/>
        <w:spacing w:after="180" w:before="360"/>
      </w:pPr>
      <w:r>
        <w:rPr>
          <w:b/>
          <w:bCs/>
        </w:rPr>
        <w:t xml:space="preserve">2. Retail Investors and the Need for Accessible, Explainable Advice</w:t>
      </w:r>
    </w:p>
    <w:p>
      <w:pPr>
        <w:spacing w:after="160" w:line="360"/>
        <w:jc w:val="both"/>
      </w:pPr>
      <w:r>
        <w:t xml:space="preserve">The motivation for an accessible, explainable financial advisor is grounded in empirical evidence that contemporary retail-trading platforms can encourage poor decision-making among the very users the project targets. Barber, Huang, Odean, and Schwarz (2022), in their widely cited Journal of Finance paper "Attention-Induced Trading and Returns: Evidence from Robinhood Users", show that Robinhood users engage in disproportionate attention-induced herding, often buying the day's most-traded stocks. The authors document that the top stocks bought each day by Robinhood users earn average twenty-day abnormal returns of approximately negative 4.7 percent, evidence that these herding episodes reliably predict negative returns. The study is consequential because Robinhood is one of the leading platforms used by the very demographic — young, first-time investors aged 18 to 30 — that this project targets, and because the authors attribute the effect not only to investor inexperience but also to specific design choices in the application, such as the Top Movers tab that funnels attention to extreme-return stocks.</w:t>
      </w:r>
    </w:p>
    <w:p>
      <w:pPr>
        <w:spacing w:after="160" w:line="360"/>
        <w:jc w:val="both"/>
      </w:pPr>
      <w:r>
        <w:t xml:space="preserve">Regulatory evidence reinforces this concern. The Massachusetts Securities Division (2020) filed an administrative complaint against Robinhood alleging that its gamified interface — confetti animations, achievement badges, push notifications about top movers, and a queue-jumping "tapping" game — breached the Commonwealth's fiduciary rule by encouraging frequent, risk-laden trading among inexperienced users. The matter was ultimately settled for approximately 7.5 million dollars and Robinhood removed the contested features. The combination of academic evidence and regulatory action suggests that interface design itself is a non-trivial determinant of investor welfare; opaque automated recommendations and engagement-maximising design are not neutral.</w:t>
      </w:r>
    </w:p>
    <w:p>
      <w:pPr>
        <w:spacing w:after="160" w:line="360"/>
        <w:jc w:val="both"/>
      </w:pPr>
      <w:r>
        <w:t xml:space="preserve">These findings motivate the project's design philosophy in two ways. First, the bot deliberately does not gamify the experience; the user receives a single recommendation with a rationale, not a stream of alerts, leaderboard rankings, or celebratory animations. Second, by foregrounding plain-English explanations, the system invites users to evaluate the advice rather than act impulsively on it. In this sense the project responds directly to the gap that Barber et al. identify between fast, attention-grabbing platforms and the slower, more deliberative process that produces better investor outcomes.</w:t>
      </w:r>
    </w:p>
    <w:p>
      <w:pPr>
        <w:spacing w:after="160" w:line="360"/>
        <w:jc w:val="both"/>
      </w:pPr>
      <w:r>
        <w:t xml:space="preserve">Recent robo-advisor research extends this picture. Akhtar et al. (2025), in a systematic review of 71 peer-reviewed studies published in the International Journal of Consumer Studies, find that adoption of robo-advisors is mediated by financial literacy, user perception, and emotion, and moderated by trust and demographic characteristics. A complementary study by Niszczota and Abbas (2023), published in Finance Research Letters, demonstrates that even general-purpose large language models possess non-trivial financial literacy, suggesting that AI-mediated advice — when properly grounded — is a credible alternative source of guidance for users who cannot afford human advisors. Taken together, the behavioural and adoption literature converge on a single recommendation: transparent, explainable systems oriented towards user education are more likely to serve the young retail investor than either opaque automation or unaffordable human advisory. This is precisely the orientation of the Financial Advisor Bot.</w:t>
      </w:r>
    </w:p>
    <w:p>
      <w:pPr>
        <w:pStyle w:val="Heading1"/>
        <w:spacing w:after="180" w:before="360"/>
      </w:pPr>
      <w:r>
        <w:rPr>
          <w:b/>
          <w:bCs/>
        </w:rPr>
        <w:t xml:space="preserve">3. Existing Solutions: A Comparative Assessment</w:t>
      </w:r>
    </w:p>
    <w:p>
      <w:pPr>
        <w:spacing w:after="160" w:line="360"/>
        <w:jc w:val="both"/>
      </w:pPr>
      <w:r>
        <w:t xml:space="preserve">A critical assessment of platforms currently accessible to the target user reveals consistent gaps. Robinhood, as documented above, offers automation but no rationale; the evidence in Barber et al. (2022) suggests that its interface actively impairs decision quality for inexperienced investors. The Bloomberg Terminal occupies the opposite end of the spectrum: it provides exceptional data and analytical depth but is priced at approximately 25,000 US dollars per user per year and demands specialised training, placing it firmly beyond any individual retail investor's reach. Open-source algorithmic trading frameworks on GitHub such as Freqtrade and QuantConnect's Lean provide great flexibility but assume programming literacy, offer no explanation layer for non-technical users, and are oriented towards automated execution rather than education — the antithesis of what a first-time investor needs.</w:t>
      </w:r>
    </w:p>
    <w:p>
      <w:pPr>
        <w:spacing w:after="160" w:line="360"/>
        <w:jc w:val="both"/>
      </w:pPr>
      <w:r>
        <w:t xml:space="preserve">Commercial robo-advisors such as Betterment and Wealthfront sit between these extremes. They offer accessible, low-cost portfolio management and are reviewed positively in the literature for reducing emotional bias (Akhtar et al., 2025). However, they typically deliver portfolio-level recommendations based on Modern Portfolio Theory and a risk questionnaire, not single-stock signals with feature-level reasoning. A user who wants to know whether a specific company they have read about is currently a good purchase cannot obtain that answer from a Betterment-style service. Traditional human advisors are similarly constrained: they are expensive, not available around the clock, and their incentives may be influenced by commissions rather than purely by data analysis.</w:t>
      </w:r>
    </w:p>
    <w:p>
      <w:pPr>
        <w:spacing w:after="160" w:line="360"/>
        <w:jc w:val="both"/>
      </w:pPr>
      <w:r>
        <w:t xml:space="preserve">The collective gap is therefore not in raw predictive capability — many of the academic methods cited below have demonstrated this in research settings — but in delivering predictions together with reasoning, at no cost, in language a non-technical young investor can actually use. This is the niche the Financial Advisor Bot occupies, and the differentiator that motivates the technical choices reviewed in the remaining sections.</w:t>
      </w:r>
    </w:p>
    <w:p>
      <w:pPr>
        <w:pStyle w:val="Heading1"/>
        <w:spacing w:after="180" w:before="360"/>
      </w:pPr>
      <w:r>
        <w:rPr>
          <w:b/>
          <w:bCs/>
        </w:rPr>
        <w:t xml:space="preserve">4. Machine Learning Methods for Stock Price Prediction</w:t>
      </w:r>
    </w:p>
    <w:p>
      <w:pPr>
        <w:spacing w:after="160" w:line="360"/>
        <w:jc w:val="both"/>
      </w:pPr>
      <w:r>
        <w:t xml:space="preserve">The core technical claim of the project — that machine learning can produce useful directional predictions on equity prices — must be substantiated rather than assumed. The seminal contribution here is Fischer and Krauss (2018), "Deep learning with long short-term memory networks for financial market predictions", published in the European Journal of Operational Research, volume 270, issue 2. The authors deploy LSTM networks on S&amp;P 500 constituent stocks from December 1992 to October 2015 for one-day-ahead directional classification. They report daily returns of 0.46 percent and a Sharpe ratio of 5.8 prior to transaction costs, with LSTM outperforming Random Forest, deep neural networks, and logistic regression in terms of directional accuracy. The study is directly relevant to this project for three reasons: it benchmarks LSTM against the very alternatives the project considers; it uses daily OHLCV data of the type the yfinance library provides; and it frames the problem as binary classification — precisely the BUY/SELL framing the project adopts.</w:t>
      </w:r>
    </w:p>
    <w:p>
      <w:pPr>
        <w:spacing w:after="160" w:line="360"/>
        <w:jc w:val="both"/>
      </w:pPr>
      <w:r>
        <w:t xml:space="preserve">Fischer and Krauss's results should not be received uncritically. Several follow-up studies, including Ghosh, Neufeld, and Sahoo (2022) published in Finance Research Letters, replicate variants of the approach and find that out-of-sample returns decay materially as the holdout window shifts beyond 2015. This decay illustrates both the non-stationarity of financial markets — the data-generating process is not constant — and the danger of generalising from a single study. For this project, the implication is methodological: the LSTM module is positioned as a research-quality predictor of directional movement, not as a guaranteed return generator, and the explanation layer is designed to encourage users to treat outputs as one input among many rather than as definitive advice. The literature thus simultaneously justifies the inclusion of LSTM and constrains the claims that can responsibly be made about it.</w:t>
      </w:r>
    </w:p>
    <w:p>
      <w:pPr>
        <w:spacing w:after="160" w:line="360"/>
        <w:jc w:val="both"/>
      </w:pPr>
      <w:r>
        <w:t xml:space="preserve">The project's baseline model, Random Forest, derives from Breiman (2001), "Random Forests", published in Machine Learning. Breiman's paper introduces the bootstrap-aggregation procedure with random feature subsetting that yields the algorithm's resistance to overfitting in moderately high-dimensional settings. Within finance specifically, Krauss, Do, and Huck (2017), "Deep neural networks, gradient-boosted trees, random forests: Statistical arbitrage on the S&amp;P 500", apply Random Forest, gradient-boosted trees, and deep neural networks to S&amp;P 500 stocks and find that Random Forest is competitive with deep models when feature engineering is strong. This finding justifies the project's two-model design: Random Forest is retained as a strong baseline that requires fewer hyperparameters, trains far faster, and is more directly interpretable (feature importances are readily available without auxiliary explanation methods), while LSTM is added as a more advanced model intended to capture sequential dependencies that Random Forest cannot.</w:t>
      </w:r>
    </w:p>
    <w:p>
      <w:pPr>
        <w:spacing w:after="160" w:line="360"/>
        <w:jc w:val="both"/>
      </w:pPr>
      <w:r>
        <w:t xml:space="preserve">Ghosh, Neufeld, and Sahoo (2022) provide the most direct comparative benchmark for the project. Their study finds that Random Forest and LSTM produce broadly comparable intraday returns on S&amp;P 500 stocks — 0.54 percent and 0.64 percent per day respectively in their multi-feature setting — with neither model dominating across all market regimes. This is encouraging: it confirms that the simpler Random Forest is not strictly inferior in this domain, and it suggests that empirical comparison on the project's own backtesting framework is appropriate rather than relying on the literature alone to choose between models. The project's backtesting component (discussed in section 7) is the mechanism by which these two model families will be evaluated head-to-head on the same equity universe and the same feature set, with both compared against a buy-and-hold baseline.</w:t>
      </w:r>
    </w:p>
    <w:p>
      <w:pPr>
        <w:pStyle w:val="Heading1"/>
        <w:spacing w:after="180" w:before="360"/>
      </w:pPr>
      <w:r>
        <w:rPr>
          <w:b/>
          <w:bCs/>
        </w:rPr>
        <w:t xml:space="preserve">5. Technical Indicators as Engineered Features</w:t>
      </w:r>
    </w:p>
    <w:p>
      <w:pPr>
        <w:spacing w:after="160" w:line="360"/>
        <w:jc w:val="both"/>
      </w:pPr>
      <w:r>
        <w:t xml:space="preserve">The decision to use technical indicators as engineered features rather than feeding raw OHLCV prices directly to the model is supported by both classical and contemporary literature. The foundational reference on these indicators is Murphy (1999), Technical Analysis of the Financial Markets, which formalises moving averages, momentum oscillators, and volatility bands. Wilder (1978), New Concepts in Technical Trading Systems, originated the Relative Strength Index with its 14-period gain-loss ratio that remains standard today, and Bollinger (2001), Bollinger on Bollinger Bands, formalised the two-standard-deviation volatility envelope that bears his name.</w:t>
      </w:r>
    </w:p>
    <w:p>
      <w:pPr>
        <w:spacing w:after="160" w:line="360"/>
        <w:jc w:val="both"/>
      </w:pPr>
      <w:r>
        <w:t xml:space="preserve">More recently, machine learning research has empirically validated the contribution of these features in modern predictive pipelines. Vargas, dos Santos, and Bezerra (2024), in "Assessing the Impact of Technical Indicators on Machine Learning Models for Stock Price Prediction", show that adding RSI, MACD, EMA, and Bollinger Band features measurably improves predictive performance on minute-level SPY data over raw-price baselines. Similarly, Nti, Adekoya, and Weyori (2020), in a systematic review of fundamental and technical analysis published in Artificial Intelligence Review, find that technical indicators consistently provide useful predictive signal in machine learning models when applied alongside appropriate validation procedures.</w:t>
      </w:r>
    </w:p>
    <w:p>
      <w:pPr>
        <w:spacing w:after="160" w:line="360"/>
        <w:jc w:val="both"/>
      </w:pPr>
      <w:r>
        <w:t xml:space="preserve">These studies justify the project's feature engineering pipeline. The chosen indicators — 20-day and 50-day moving averages, 14-period RSI, MACD with the standard (12, 26, 9) parameters, 20-period Bollinger Bands, and short-horizon return features — are precisely the set most consistently found useful in the cited studies. The convergence is not coincidental: it indicates that the project builds on accepted feature-engineering practice rather than reinventing it, which strengthens any comparison with academic baselines and limits the risk that a positive backtest result is attributable to obscure or ad-hoc features (a key danger flagged in the backtesting literature reviewed in section 7).</w:t>
      </w:r>
    </w:p>
    <w:p>
      <w:pPr>
        <w:pStyle w:val="Heading1"/>
        <w:spacing w:after="180" w:before="360"/>
      </w:pPr>
      <w:r>
        <w:rPr>
          <w:b/>
          <w:bCs/>
        </w:rPr>
        <w:t xml:space="preserve">6. Explainable AI: SHAP and Trust in Algorithmic Advice</w:t>
      </w:r>
    </w:p>
    <w:p>
      <w:pPr>
        <w:spacing w:after="160" w:line="360"/>
        <w:jc w:val="both"/>
      </w:pPr>
      <w:r>
        <w:t xml:space="preserve">A defining feature of the Financial Advisor Bot is the conversion of model outputs into plain-English explanations. The technical underpinning for this is SHAP (SHapley Additive exPlanations), introduced by Lundberg and Lee (2017), "A Unified Approach to Interpreting Model Predictions", presented at NeurIPS 2017. SHAP grounds feature attribution in cooperative game theory: each feature's contribution to a single prediction is computed as its average marginal contribution across all possible feature coalitions. This yields explanations that are simultaneously locally accurate (they sum to the model's prediction for that instance) and consistent (a feature whose contribution increases in any model is never assigned a lower SHAP value). Earlier ad-hoc methods such as raw feature importance lack these guarantees.</w:t>
      </w:r>
    </w:p>
    <w:p>
      <w:pPr>
        <w:spacing w:after="160" w:line="360"/>
        <w:jc w:val="both"/>
      </w:pPr>
      <w:r>
        <w:t xml:space="preserve">SHAP's relevance to this project is twofold. First, it provides per-prediction attributions: when the model recommends BUY on a given stock, SHAP identifies which features most drove that recommendation — for example, "RSI is in the oversold range" or "price has crossed below the lower Bollinger Band". This per-prediction granularity is exactly what is required to generate user-facing explanations that justify a specific recommendation rather than describe the model in general. Second, SHAP has been validated in financial settings. The systematic review by Černevičienė and Kabašinskas (2025), "Model-agnostic explainable artificial intelligence methods in finance", published in Artificial Intelligence Review, documents widespread adoption of SHAP for credit risk, fraud detection, and portfolio decisions, and Kumar, Vishal, and Ravi (2022), "Explainable Reinforcement Learning on Financial Stock Trading using SHAP", apply SHAP directly to a stock-trading agent and find that it produces actionable, comprehensible feature attributions.</w:t>
      </w:r>
    </w:p>
    <w:p>
      <w:pPr>
        <w:spacing w:after="160" w:line="360"/>
        <w:jc w:val="both"/>
      </w:pPr>
      <w:r>
        <w:t xml:space="preserve">SHAP is not without limitations relevant to this project. Gramegna and Giudici (2021), in their study of SHAP in the banking sector, observe that SHAP explanations are not portfolio-invariant: they depend on the reference distribution against which marginal contributions are computed, and so can be unstable when the underlying user base or stock universe shifts. The implication for the project is that the explanation system must be paired with a fixed reference baseline (the training-set feature distribution) and that explanations should be presented as illustrative rather than authoritative.</w:t>
      </w:r>
    </w:p>
    <w:p>
      <w:pPr>
        <w:spacing w:after="160" w:line="360"/>
        <w:jc w:val="both"/>
      </w:pPr>
      <w:r>
        <w:t xml:space="preserve">A further design idea emerges from this literature. Raw SHAP values are themselves not interpretable by a non-technical user — a number such as "0.043 for RSI" is meaningless to a first-time investor. The project therefore adds a second layer above SHAP: the top attributed features are mapped into pre-written natural-language templates (for example, "The stock's RSI is currently 28, which historically signals oversold conditions; this contributed positively to the BUY recommendation"). This dual layer — quantitative attribution beneath, qualitative paraphrasing above — directly responds to the call in Černevičienė and Kabašinskas (2025) for financial XAI tools that bridge technical and lay audiences.</w:t>
      </w:r>
    </w:p>
    <w:p>
      <w:pPr>
        <w:pStyle w:val="Heading1"/>
        <w:spacing w:after="180" w:before="360"/>
      </w:pPr>
      <w:r>
        <w:rPr>
          <w:b/>
          <w:bCs/>
        </w:rPr>
        <w:t xml:space="preserve">7. Backtesting Methodology and Statistical Risk</w:t>
      </w:r>
    </w:p>
    <w:p>
      <w:pPr>
        <w:spacing w:after="160" w:line="360"/>
        <w:jc w:val="both"/>
      </w:pPr>
      <w:r>
        <w:t xml:space="preserve">The project includes a backtesting component, and the literature on backtest reliability is therefore directly binding on how the project's results will be evaluated. Bailey, Borwein, López de Prado, and Zhu (2017), "The Probability of Backtest Overfitting", published in the Journal of Computational Finance, develop the Combinatorially Symmetric Cross-Validation framework and warn that strategies optimised on historical data routinely fail out of sample because researchers, in searching across many parameter combinations, eventually find one that overfits the in-sample noise. Bailey and López de Prado (2014), "The Deflated Sharpe Ratio", introduce a correction that adjusts the nominal Sharpe ratio for the number of trials performed during strategy search and for non-normality in returns. López de Prado (2018), Advances in Financial Machine Learning, extends these arguments and provides the purged k-fold cross-validation procedure that prevents leakage between training and test windows in time-series settings.</w:t>
      </w:r>
    </w:p>
    <w:p>
      <w:pPr>
        <w:spacing w:after="160" w:line="360"/>
        <w:jc w:val="both"/>
      </w:pPr>
      <w:r>
        <w:t xml:space="preserve">These warnings shape the project's evaluation methodology in three concrete ways. First, the backtesting framework uses time-series cross-validation with purging rather than random k-fold, eliminating the possibility that the training set contains data points whose labels depend on test-window prices. Second, the backtest report explicitly compares against a buy-and-hold baseline and reports maximum drawdown alongside total return, rather than reporting only the most flattering metric. Third, the set of metrics to be reported (total return, Sharpe ratio, maximum drawdown) is fixed before any results are computed, reducing the temptation to select metrics post hoc to favour the model. These methodological commitments transform the cited literature from background reading into binding constraints on how the project's results are presented.</w:t>
      </w:r>
    </w:p>
    <w:p>
      <w:pPr>
        <w:pStyle w:val="Heading1"/>
        <w:spacing w:after="180" w:before="360"/>
      </w:pPr>
      <w:r>
        <w:rPr>
          <w:b/>
          <w:bCs/>
        </w:rPr>
        <w:t xml:space="preserve">8. Conclusion: Synthesis and the Identified Gap</w:t>
      </w:r>
    </w:p>
    <w:p>
      <w:pPr>
        <w:spacing w:after="160" w:line="360"/>
        <w:jc w:val="both"/>
      </w:pPr>
      <w:r>
        <w:t xml:space="preserve">The literature reviewed above converges on a coherent picture. The behavioural finance evidence (Barber et al., 2022; Massachusetts Securities Division, 2020) demonstrates that retail investors, particularly the young investors this project targets, are systematically disadvantaged by current consumer trading platforms. The comparative review of existing solutions shows that they either lack transparency (Robinhood, GitHub bots), are inaccessible (Bloomberg Terminal), or are not designed for single-stock decisions with feature-level reasoning (Betterment, Wealthfront). The machine learning literature (Fischer &amp; Krauss, 2018; Breiman, 2001; Krauss et al., 2017; Ghosh et al., 2022) establishes that LSTM and Random Forest models can produce useful directional predictions when carefully engineered, while also setting realistic expectations about generalisation. The technical-indicator literature (Murphy, 1999; Vargas et al., 2024; Nti et al., 2020) confirms that the feature set this project uses is grounded in accepted practice. The XAI literature (Lundberg &amp; Lee, 2017; Černevičienė &amp; Kabašinskas, 2025; Kumar et al., 2022) shows that SHAP provides a principled basis for per-prediction explanation, while also exposing the gap between raw SHAP outputs and language a non-technical user can act on. Finally, the backtesting literature (Bailey et al., 2017; López de Prado, 2018) constrains the project's evaluation methodology to avoid statistical pitfalls common in the field.</w:t>
      </w:r>
    </w:p>
    <w:p>
      <w:pPr>
        <w:spacing w:after="160" w:line="360"/>
        <w:jc w:val="both"/>
      </w:pPr>
      <w:r>
        <w:t xml:space="preserve">Crucially, no existing system in the reviewed literature combines all five elements — machine learning prediction, accepted technical-indicator feature engineering, principled SHAP-based explanation, a plain-English translation layer, and rigorous time-series backtesting — in a free, web-accessible tool aimed at first-time retail investors. Robinhood automates without explaining; Bloomberg explains but is inaccessible; the academic papers cited above produce predictions but no consumer-facing interface; and existing robo-advisors do not deliver single-stock signals with feature-level reasoning. The Financial Advisor Bot is positioned to fill that gap, and the literature reviewed here both motivates the project and informs each of its major design decisions.</w:t>
      </w:r>
    </w:p>
    <w:p>
      <w:pPr>
        <w:pStyle w:val="Heading1"/>
        <w:spacing w:after="180" w:before="360"/>
      </w:pPr>
      <w:r>
        <w:rPr>
          <w:b/>
          <w:bCs/>
        </w:rPr>
        <w:t xml:space="preserve">References</w:t>
      </w:r>
    </w:p>
    <w:p>
      <w:pPr>
        <w:spacing w:after="140" w:line="320"/>
        <w:ind w:left="720" w:hanging="720"/>
        <w:jc w:val="both"/>
      </w:pPr>
      <w:r>
        <w:t xml:space="preserve">Akhtar, S., Gupta, A. and Bhalla, P. (2025) 'Evolution of Robo-Advisors: A Literature Review and Future Research Agenda', International Journal of Consumer Studies, 49(5), e70131.</w:t>
      </w:r>
    </w:p>
    <w:p>
      <w:pPr>
        <w:spacing w:after="140" w:line="320"/>
        <w:ind w:left="720" w:hanging="720"/>
        <w:jc w:val="both"/>
      </w:pPr>
      <w:r>
        <w:t xml:space="preserve">Bailey, D.H., Borwein, J., López de Prado, M. and Zhu, Q.J. (2017) 'The Probability of Backtest Overfitting', Journal of Computational Finance, 20(4), pp. 39–69.</w:t>
      </w:r>
    </w:p>
    <w:p>
      <w:pPr>
        <w:spacing w:after="140" w:line="320"/>
        <w:ind w:left="720" w:hanging="720"/>
        <w:jc w:val="both"/>
      </w:pPr>
      <w:r>
        <w:t xml:space="preserve">Bailey, D.H. and López de Prado, M. (2014) 'The Deflated Sharpe Ratio: Correcting for Selection Bias, Backtest Overfitting, and Non-Normality', Journal of Portfolio Management, 40(5), pp. 94–107.</w:t>
      </w:r>
    </w:p>
    <w:p>
      <w:pPr>
        <w:spacing w:after="140" w:line="320"/>
        <w:ind w:left="720" w:hanging="720"/>
        <w:jc w:val="both"/>
      </w:pPr>
      <w:r>
        <w:t xml:space="preserve">Barber, B.M., Huang, X., Odean, T. and Schwarz, C. (2022) 'Attention-Induced Trading and Returns: Evidence from Robinhood Users', The Journal of Finance, 77(6), pp. 3141–3190.</w:t>
      </w:r>
    </w:p>
    <w:p>
      <w:pPr>
        <w:spacing w:after="140" w:line="320"/>
        <w:ind w:left="720" w:hanging="720"/>
        <w:jc w:val="both"/>
      </w:pPr>
      <w:r>
        <w:t xml:space="preserve">Bollinger, J. (2001) Bollinger on Bollinger Bands. New York: McGraw-Hill.</w:t>
      </w:r>
    </w:p>
    <w:p>
      <w:pPr>
        <w:spacing w:after="140" w:line="320"/>
        <w:ind w:left="720" w:hanging="720"/>
        <w:jc w:val="both"/>
      </w:pPr>
      <w:r>
        <w:t xml:space="preserve">Breiman, L. (2001) 'Random Forests', Machine Learning, 45(1), pp. 5–32.</w:t>
      </w:r>
    </w:p>
    <w:p>
      <w:pPr>
        <w:spacing w:after="140" w:line="320"/>
        <w:ind w:left="720" w:hanging="720"/>
        <w:jc w:val="both"/>
      </w:pPr>
      <w:r>
        <w:t xml:space="preserve">Černevičienė, J. and Kabašinskas, A. (2025) 'Model-agnostic explainable artificial intelligence methods in finance: a systematic review, recent developments, limitations, challenges and future directions', Artificial Intelligence Review, 58, article 215.</w:t>
      </w:r>
    </w:p>
    <w:p>
      <w:pPr>
        <w:spacing w:after="140" w:line="320"/>
        <w:ind w:left="720" w:hanging="720"/>
        <w:jc w:val="both"/>
      </w:pPr>
      <w:r>
        <w:t xml:space="preserve">Fischer, T. and Krauss, C. (2018) 'Deep learning with long short-term memory networks for financial market predictions', European Journal of Operational Research, 270(2), pp. 654–669.</w:t>
      </w:r>
    </w:p>
    <w:p>
      <w:pPr>
        <w:spacing w:after="140" w:line="320"/>
        <w:ind w:left="720" w:hanging="720"/>
        <w:jc w:val="both"/>
      </w:pPr>
      <w:r>
        <w:t xml:space="preserve">Ghosh, P., Neufeld, A. and Sahoo, J.K. (2022) 'Forecasting directional movements of stock prices for intraday trading using LSTM and random forests', Finance Research Letters, 46(Part A), 102280.</w:t>
      </w:r>
    </w:p>
    <w:p>
      <w:pPr>
        <w:spacing w:after="140" w:line="320"/>
        <w:ind w:left="720" w:hanging="720"/>
        <w:jc w:val="both"/>
      </w:pPr>
      <w:r>
        <w:t xml:space="preserve">Gramegna, A. and Giudici, P. (2021) 'SHAP and LIME: An Evaluation of Discriminative Power in Credit Risk', Frontiers in Artificial Intelligence, 4, 752558.</w:t>
      </w:r>
    </w:p>
    <w:p>
      <w:pPr>
        <w:spacing w:after="140" w:line="320"/>
        <w:ind w:left="720" w:hanging="720"/>
        <w:jc w:val="both"/>
      </w:pPr>
      <w:r>
        <w:t xml:space="preserve">Krauss, C., Do, X.A. and Huck, N. (2017) 'Deep neural networks, gradient-boosted trees, random forests: Statistical arbitrage on the S&amp;P 500', European Journal of Operational Research, 259(2), pp. 689–702.</w:t>
      </w:r>
    </w:p>
    <w:p>
      <w:pPr>
        <w:spacing w:after="140" w:line="320"/>
        <w:ind w:left="720" w:hanging="720"/>
        <w:jc w:val="both"/>
      </w:pPr>
      <w:r>
        <w:t xml:space="preserve">Kumar, S., Vishal, M. and Ravi, V. (2022) Explainable Reinforcement Learning on Financial Stock Trading using SHAP. Preprint, arXiv:2208.08790.</w:t>
      </w:r>
    </w:p>
    <w:p>
      <w:pPr>
        <w:spacing w:after="140" w:line="320"/>
        <w:ind w:left="720" w:hanging="720"/>
        <w:jc w:val="both"/>
      </w:pPr>
      <w:r>
        <w:t xml:space="preserve">López de Prado, M. (2018) Advances in Financial Machine Learning. Hoboken, NJ: Wiley.</w:t>
      </w:r>
    </w:p>
    <w:p>
      <w:pPr>
        <w:spacing w:after="140" w:line="320"/>
        <w:ind w:left="720" w:hanging="720"/>
        <w:jc w:val="both"/>
      </w:pPr>
      <w:r>
        <w:t xml:space="preserve">Lundberg, S.M. and Lee, S.-I. (2017) 'A Unified Approach to Interpreting Model Predictions', in Advances in Neural Information Processing Systems 30 (NeurIPS 2017). Long Beach, CA, pp. 4765–4774.</w:t>
      </w:r>
    </w:p>
    <w:p>
      <w:pPr>
        <w:spacing w:after="140" w:line="320"/>
        <w:ind w:left="720" w:hanging="720"/>
        <w:jc w:val="both"/>
      </w:pPr>
      <w:r>
        <w:t xml:space="preserve">Massachusetts Securities Division (2020) Administrative Complaint in the matter of Robinhood Financial LLC, Docket No. E-2020-0047. Boston: Office of the Secretary of the Commonwealth.</w:t>
      </w:r>
    </w:p>
    <w:p>
      <w:pPr>
        <w:spacing w:after="140" w:line="320"/>
        <w:ind w:left="720" w:hanging="720"/>
        <w:jc w:val="both"/>
      </w:pPr>
      <w:r>
        <w:t xml:space="preserve">Murphy, J.J. (1999) Technical Analysis of the Financial Markets: A Comprehensive Guide to Trading Methods and Applications. New York: New York Institute of Finance.</w:t>
      </w:r>
    </w:p>
    <w:p>
      <w:pPr>
        <w:spacing w:after="140" w:line="320"/>
        <w:ind w:left="720" w:hanging="720"/>
        <w:jc w:val="both"/>
      </w:pPr>
      <w:r>
        <w:t xml:space="preserve">Niszczota, P. and Abbas, S. (2023) 'GPT has become financially literate: Insights from financial literacy tests of GPT and a preliminary test of how people use it as a source of advice', Finance Research Letters, 58, 104333.</w:t>
      </w:r>
    </w:p>
    <w:p>
      <w:pPr>
        <w:spacing w:after="140" w:line="320"/>
        <w:ind w:left="720" w:hanging="720"/>
        <w:jc w:val="both"/>
      </w:pPr>
      <w:r>
        <w:t xml:space="preserve">Nti, I.K., Adekoya, A.F. and Weyori, B.A. (2020) 'A systematic review of fundamental and technical analysis of stock market predictions', Artificial Intelligence Review, 53, pp. 3007–3057.</w:t>
      </w:r>
    </w:p>
    <w:p>
      <w:pPr>
        <w:spacing w:after="140" w:line="320"/>
        <w:ind w:left="720" w:hanging="720"/>
        <w:jc w:val="both"/>
      </w:pPr>
      <w:r>
        <w:t xml:space="preserve">Vargas, M.R., dos Santos, C.E.M. and Bezerra, B.L.D. (2024) 'Assessing the Impact of Technical Indicators on Machine Learning Models for Stock Price Prediction', Preprint, arXiv:2412.15448.</w:t>
      </w:r>
    </w:p>
    <w:p>
      <w:pPr>
        <w:spacing w:after="140" w:line="320"/>
        <w:ind w:left="720" w:hanging="720"/>
        <w:jc w:val="both"/>
      </w:pPr>
      <w:r>
        <w:t xml:space="preserve">Wilder, J.W. (1978) New Concepts in Technical Trading Systems. Greensboro, NC: Trend Research.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2026-06-19T15:36:18.394Z</dcterms:created>
  <dcterms:modified xsi:type="dcterms:W3CDTF">2026-06-19T15:36:18.394Z</dcterms:modified>
</cp:coreProperties>
</file>

<file path=docProps/custom.xml><?xml version="1.0" encoding="utf-8"?>
<Properties xmlns="http://schemas.openxmlformats.org/officeDocument/2006/custom-properties" xmlns:vt="http://schemas.openxmlformats.org/officeDocument/2006/docPropsVTypes"/>
</file>