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Calibri" w:cs="Calibri" w:eastAsia="Calibri" w:hAnsi="Calibri"/>
          <w:b/>
          <w:bCs/>
          <w:color w:val="1A365D"/>
          <w:sz w:val="72"/>
          <w:szCs w:val="72"/>
        </w:rPr>
        <w:t xml:space="preserve">Rapport DocForge AI</w:t>
      </w:r>
    </w:p>
    <w:p>
      <w:pPr>
        <w:spacing w:after="2400"/>
        <w:jc w:val="center"/>
      </w:pPr>
      <w:r>
        <w:rPr>
          <w:i/>
          <w:iCs/>
          <w:color w:val="2B6CB0"/>
          <w:sz w:val="22"/>
          <w:szCs w:val="22"/>
        </w:rPr>
        <w:t xml:space="preserve">Généré par DocForge AI — 22/10/2026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Rapport annuel DocForge AI 2026</w:t>
      </w:r>
    </w:p>
    <w:p>
      <w:pPr>
        <w:spacing w:after="170" w:before="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Ce document est généré automatiquement par le pipeline M1 → M2 → M3 → M4 → M5. Il illustre la capacité du système à produire des documents professionnels éditables en quelques secondes.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6CB0"/>
          <w:sz w:val="36"/>
          <w:szCs w:val="36"/>
        </w:rPr>
        <w:t xml:space="preserve">Résultats financiers</w:t>
      </w:r>
    </w:p>
    <w:p>
      <w:pPr>
        <w:spacing w:after="170" w:before="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Les résultats de l'exercice 2026 sont présentés dans le tableau ci-dessous.</w:t>
      </w:r>
    </w:p>
    <w:p>
      <w:pPr>
        <w:spacing w:after="0" w:before="200"/>
      </w:pPr>
      <w:r>
        <w:rPr>
          <w:sz w:val="2"/>
          <w:szCs w:val="2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65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Valeur (FCFA)</w:t>
            </w:r>
          </w:p>
        </w:tc>
      </w:tr>
      <w:tr>
        <w:trPr>
          <w:tblHeader w:val="off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Chiffre d'affaires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15 000 000</w:t>
            </w:r>
          </w:p>
        </w:tc>
      </w:tr>
      <w:tr>
        <w:trPr>
          <w:tblHeader w:val="off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Bénéfice net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3 200 000</w:t>
            </w:r>
          </w:p>
        </w:tc>
      </w:tr>
      <w:tr>
        <w:trPr>
          <w:tblHeader w:val="off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Employés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12</w:t>
            </w:r>
          </w:p>
        </w:tc>
      </w:tr>
      <w:tr>
        <w:trPr>
          <w:tblHeader w:val="off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Croissance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2"/>
                <w:szCs w:val="22"/>
              </w:rPr>
              <w:t xml:space="preserve">+45%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6CB0"/>
          <w:sz w:val="36"/>
          <w:szCs w:val="36"/>
        </w:rPr>
        <w:t xml:space="preserve">Faits marquants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Croissance solide de 45% sur l'année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Expansion régionale au Bénin et au Togo</w:t>
      </w:r>
    </w:p>
    <w:p>
      <w:pPr>
        <w:pStyle w:val="ListParagraph"/>
        <w:numPr>
          <w:ilvl w:val="0"/>
          <w:numId w:val="1"/>
        </w:numPr>
        <w:spacing w:after="100" w:before="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Lancement de la plateforme SaaS</w:t>
      </w:r>
    </w:p>
    <w:p>
      <w:pPr>
        <w:spacing w:after="120" w:before="120"/>
        <w:ind w:left="720"/>
      </w:pPr>
      <w:r>
        <w:rPr>
          <w:rFonts w:ascii="Calibri" w:cs="Calibri" w:eastAsia="Calibri" w:hAnsi="Calibri"/>
          <w:i/>
          <w:iCs/>
          <w:color w:val="2B6CB0"/>
          <w:sz w:val="22"/>
          <w:szCs w:val="22"/>
        </w:rPr>
        <w:t xml:space="preserve">"DocForge AI transforme le chaos documentaire en clarté professionnelle."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B6CB0"/>
          <w:sz w:val="36"/>
          <w:szCs w:val="36"/>
        </w:rPr>
        <w:t xml:space="preserve">Perspectives 2027</w:t>
      </w:r>
    </w:p>
    <w:p>
      <w:pPr>
        <w:spacing w:after="170" w:before="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L'objectif est d'atteindre 100 clients actifs et de doubler le chiffre d'affaires.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DocForge AI</dc:title>
  <dc:creator>DocForge AI</dc:creator>
  <dc:description>Document généré par DocForge AI</dc:description>
  <cp:lastModifiedBy>Un-named</cp:lastModifiedBy>
  <cp:revision>1</cp:revision>
  <dcterms:created xsi:type="dcterms:W3CDTF">2026-10-22T16:30:56.075Z</dcterms:created>
  <dcterms:modified xsi:type="dcterms:W3CDTF">2026-10-22T16:30:56.075Z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