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CFC1" w14:textId="7935BDA2" w:rsidR="00F50DB8" w:rsidRPr="0046044D" w:rsidRDefault="00F50DB8">
      <w:pPr>
        <w:rPr>
          <w:b/>
          <w:bCs/>
          <w:sz w:val="30"/>
          <w:szCs w:val="30"/>
        </w:rPr>
      </w:pPr>
      <w:r w:rsidRPr="0046044D">
        <w:rPr>
          <w:b/>
          <w:bCs/>
          <w:sz w:val="30"/>
          <w:szCs w:val="30"/>
        </w:rPr>
        <w:t>First Graph</w:t>
      </w:r>
    </w:p>
    <w:p w14:paraId="768F01AA" w14:textId="1792EDD5" w:rsidR="00891D05" w:rsidRDefault="00F50DB8">
      <w:r w:rsidRPr="00F50DB8">
        <w:rPr>
          <w:noProof/>
        </w:rPr>
        <w:drawing>
          <wp:inline distT="0" distB="0" distL="0" distR="0" wp14:anchorId="456719EC" wp14:editId="4E0E59AC">
            <wp:extent cx="5943600" cy="3241675"/>
            <wp:effectExtent l="0" t="0" r="0" b="0"/>
            <wp:docPr id="67075725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57253" name="Picture 1" descr="A graph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7E97" w14:textId="7A3B6344" w:rsidR="0046044D" w:rsidRDefault="00FE11A9">
      <w:r w:rsidRPr="00FE11A9">
        <w:rPr>
          <w:b/>
          <w:bCs/>
        </w:rPr>
        <w:t>ERA Trends</w:t>
      </w:r>
      <w:r w:rsidRPr="00FE11A9">
        <w:br/>
        <w:t xml:space="preserve">Overall, the ERA values for both leagues have followed similar long-term trends, with noticeable fluctuations during certain eras of baseball (e.g., the “dead-ball” vs. “live-ball” eras). Historically, the AL and NL values often moved in parallel, but the </w:t>
      </w:r>
      <w:r w:rsidRPr="000A3CE8">
        <w:t>AL–NL difference line shows clear shifts after 1973</w:t>
      </w:r>
      <w:r w:rsidRPr="00FE11A9">
        <w:t>, when the AL adopted the DH</w:t>
      </w:r>
      <w:r w:rsidR="000115D9">
        <w:t xml:space="preserve"> rule</w:t>
      </w:r>
      <w:r w:rsidRPr="00FE11A9">
        <w:t xml:space="preserve">. In general, the AL tended to allow slightly more runs on average compared to the NL once the DH was introduced, reflecting the offensive boost from having an extra hitter instead of </w:t>
      </w:r>
      <w:r w:rsidR="0025474F">
        <w:t>t</w:t>
      </w:r>
      <w:r w:rsidRPr="00FE11A9">
        <w:t>he pitcher batting. By 202</w:t>
      </w:r>
      <w:r w:rsidR="00DD0F8B">
        <w:t>0</w:t>
      </w:r>
      <w:r w:rsidRPr="00FE11A9">
        <w:t>, when the DH</w:t>
      </w:r>
      <w:r w:rsidR="00DD0F8B">
        <w:t xml:space="preserve"> rule was adopted by NL</w:t>
      </w:r>
      <w:r w:rsidRPr="00FE11A9">
        <w:t>, the ERA gap between the leagues effectively disappeared.</w:t>
      </w:r>
    </w:p>
    <w:p w14:paraId="0ED31F4B" w14:textId="77777777" w:rsidR="0046044D" w:rsidRDefault="0046044D"/>
    <w:p w14:paraId="24E45D94" w14:textId="77777777" w:rsidR="0046044D" w:rsidRDefault="0046044D"/>
    <w:p w14:paraId="7DD6D509" w14:textId="77777777" w:rsidR="0025474F" w:rsidRDefault="0025474F"/>
    <w:p w14:paraId="02F6EB15" w14:textId="34C9E48A" w:rsidR="0023422D" w:rsidRDefault="0046044D">
      <w:r>
        <w:lastRenderedPageBreak/>
        <w:t>Head of the final table for this graph:</w:t>
      </w:r>
      <w:r w:rsidR="0023422D" w:rsidRPr="0023422D">
        <w:rPr>
          <w:noProof/>
        </w:rPr>
        <w:drawing>
          <wp:inline distT="0" distB="0" distL="0" distR="0" wp14:anchorId="74044235" wp14:editId="4C3329F4">
            <wp:extent cx="3621314" cy="4074752"/>
            <wp:effectExtent l="0" t="0" r="0" b="2540"/>
            <wp:docPr id="344799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990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937" cy="40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DCA9" w14:textId="61DD5446" w:rsidR="00F50DB8" w:rsidRDefault="003824FD">
      <w:r>
        <w:br/>
      </w:r>
      <w:r w:rsidRPr="0046044D">
        <w:rPr>
          <w:b/>
          <w:bCs/>
          <w:sz w:val="28"/>
          <w:szCs w:val="28"/>
        </w:rPr>
        <w:t>Second Graph</w:t>
      </w:r>
      <w:r w:rsidRPr="0046044D">
        <w:rPr>
          <w:sz w:val="28"/>
          <w:szCs w:val="28"/>
        </w:rPr>
        <w:t xml:space="preserve"> </w:t>
      </w:r>
      <w:r>
        <w:br/>
      </w:r>
      <w:r w:rsidRPr="003824FD">
        <w:rPr>
          <w:noProof/>
        </w:rPr>
        <w:drawing>
          <wp:inline distT="0" distB="0" distL="0" distR="0" wp14:anchorId="3CC8A08A" wp14:editId="2EC26450">
            <wp:extent cx="5943600" cy="3241675"/>
            <wp:effectExtent l="0" t="0" r="0" b="0"/>
            <wp:docPr id="894758406" name="Picture 1" descr="A graph of slugging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58406" name="Picture 1" descr="A graph of slugging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58E3" w14:textId="77777777" w:rsidR="000A3CE8" w:rsidRPr="000A3CE8" w:rsidRDefault="000A3CE8" w:rsidP="000A3CE8">
      <w:pPr>
        <w:rPr>
          <w:b/>
          <w:bCs/>
        </w:rPr>
      </w:pPr>
      <w:r w:rsidRPr="000A3CE8">
        <w:rPr>
          <w:b/>
          <w:bCs/>
        </w:rPr>
        <w:lastRenderedPageBreak/>
        <w:t>Slugging Percentage Trends</w:t>
      </w:r>
    </w:p>
    <w:p w14:paraId="639C1AD5" w14:textId="69A836ED" w:rsidR="003824FD" w:rsidRDefault="000A3CE8" w:rsidP="000A3CE8">
      <w:r w:rsidRPr="000A3CE8">
        <w:t>The SLG visualization shows a similar story from the offensive side. Before 1973, AL and NL slugging percentages were closely aligned. After the AL introduced the DH</w:t>
      </w:r>
      <w:r w:rsidR="00331C84">
        <w:t xml:space="preserve"> rule</w:t>
      </w:r>
      <w:r w:rsidRPr="000A3CE8">
        <w:t>, the AL slugging percentage was consistently higher than the NL, reflecting stronger overall offensive production. The AL–NL difference line highlights this persistent gap from the 197</w:t>
      </w:r>
      <w:r w:rsidR="00331C84">
        <w:t>3</w:t>
      </w:r>
      <w:r w:rsidRPr="000A3CE8">
        <w:t xml:space="preserve"> onward. When the NL used the DH</w:t>
      </w:r>
      <w:r w:rsidR="00331C84">
        <w:t xml:space="preserve"> rule</w:t>
      </w:r>
      <w:r w:rsidRPr="000A3CE8">
        <w:t xml:space="preserve"> in 2020, the gap between the leagues closed, showing how the rule change equalized offensive environments.</w:t>
      </w:r>
    </w:p>
    <w:p w14:paraId="484E47FB" w14:textId="35453284" w:rsidR="00680844" w:rsidRDefault="00680844" w:rsidP="000A3CE8">
      <w:r>
        <w:t>Head of the final table for this graph:</w:t>
      </w:r>
      <w:r>
        <w:br/>
      </w:r>
      <w:r w:rsidRPr="00680844">
        <w:drawing>
          <wp:inline distT="0" distB="0" distL="0" distR="0" wp14:anchorId="3AAFD3A9" wp14:editId="536D4F4E">
            <wp:extent cx="4491318" cy="5229315"/>
            <wp:effectExtent l="0" t="0" r="5080" b="0"/>
            <wp:docPr id="155494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47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797" cy="52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44" w:rsidSect="0025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8B"/>
    <w:rsid w:val="000115D9"/>
    <w:rsid w:val="000A3CE8"/>
    <w:rsid w:val="0013720A"/>
    <w:rsid w:val="0023422D"/>
    <w:rsid w:val="0025474F"/>
    <w:rsid w:val="00331C84"/>
    <w:rsid w:val="003824FD"/>
    <w:rsid w:val="003E158B"/>
    <w:rsid w:val="0046044D"/>
    <w:rsid w:val="00680844"/>
    <w:rsid w:val="007E1ACD"/>
    <w:rsid w:val="00891D05"/>
    <w:rsid w:val="00BC7CE7"/>
    <w:rsid w:val="00DD0F8B"/>
    <w:rsid w:val="00E716CF"/>
    <w:rsid w:val="00F50DB8"/>
    <w:rsid w:val="00F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F41A"/>
  <w15:chartTrackingRefBased/>
  <w15:docId w15:val="{CCFA9764-EF13-4C00-A617-0D7E58E1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194</Words>
  <Characters>1109</Characters>
  <Application>Microsoft Office Word</Application>
  <DocSecurity>0</DocSecurity>
  <Lines>9</Lines>
  <Paragraphs>2</Paragraphs>
  <ScaleCrop>false</ScaleCrop>
  <Company>Winona State University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Pronob</dc:creator>
  <cp:keywords/>
  <dc:description/>
  <cp:lastModifiedBy>Kumar, Pronob</cp:lastModifiedBy>
  <cp:revision>16</cp:revision>
  <dcterms:created xsi:type="dcterms:W3CDTF">2025-09-22T22:56:00Z</dcterms:created>
  <dcterms:modified xsi:type="dcterms:W3CDTF">2025-09-22T23:25:00Z</dcterms:modified>
</cp:coreProperties>
</file>