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Default Extension="jpg" ContentType="image/jpeg"/>
  <Default Extension="png" ContentType="image/png"/>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tbl>
      <w:tblPr>
        <w:tblW w:w="5000" w:type="pct"/>
        <w:jc w:val="left"/>
        <w:tblCellSpacing w:w="0" w:type="dxa"/>
        <w:tblBorders>
          <w:top w:val="nil"/>
          <w:left w:val="nil"/>
          <w:bottom w:val="nil"/>
          <w:right w:val="nil"/>
          <w:insideH w:val="nil"/>
          <w:insideV w:val="nil"/>
        </w:tblBorders>
      </w:tblPr>
      <w:tr>
        <w:trPr>
          <w:trHeight w:hRule="atLeast" w:val="330"/>
        </w:trPr>
        <w:tc>
          <w:tcPr>
            <w:tcW w:w="825" w:type="dxa"/>
            <w:vMerge w:val="restart"/>
            <w:vAlign w:val="top"/>
          </w:tcPr>
          <w:p>
            <w:pPr>
              <w:spacing w:before="0" w:after="0"/>
              <w:ind w:left="0" w:right="0"/>
              <w:rPr>
                <w:rFonts w:ascii="roboto" w:eastAsia="roboto" w:hAnsi="roboto" w:cs="roboto"/>
                <w:color w:val="212121"/>
                <w:specVanish w:val="false"/>
              </w:rPr>
            </w:pPr>
            <w:r>
              <w:drawing>
                <wp:inline>
                  <wp:extent cx="419100" cy="523875"/>
                  <wp:docPr id="1" name="Picture 1"/>
                  <a:graphic xmlns:a="http://schemas.openxmlformats.org/drawingml/2006/main">
                    <a:graphicData uri="http://schemas.openxmlformats.org/drawingml/2006/picture">
                      <pic:pic xmlns:pic="http://schemas.openxmlformats.org/drawingml/2006/picture">
                        <pic:nvPicPr>
                          <pic:cNvPr id="2" name="Picture 2"/>
                          <pic:cNvPicPr/>
                        </pic:nvPicPr>
                        <pic:blipFill>
                          <a:blip cstate="print" r:embed="PictureId1"/>
                          <a:stretch>
                            <a:fillRect/>
                          </a:stretch>
                        </pic:blipFill>
                        <pic:spPr>
                          <a:xfrm>
                            <a:off x="0" y="0"/>
                            <a:ext cx="419100" cy="523875"/>
                          </a:xfrm>
                          <a:prstGeom prst="rect">
                            <a:avLst/>
                          </a:prstGeom>
                        </pic:spPr>
                      </pic:pic>
                    </a:graphicData>
                  </a:graphic>
                </wp:inline>
              </w:drawing>
            </w:r>
          </w:p>
        </w:tc>
        <w:tc>
          <w:tcPr>
            <w:gridSpan w:val="2"/>
            <w:tcBorders>
              <w:bottom w:val="single" w:sz="6" w:color="6B6B6B"/>
            </w:tcBorders>
            <w:vAlign w:val="bottom"/>
          </w:tcPr>
          <w:p>
            <w:pPr>
              <w:spacing w:before="0" w:after="0"/>
              <w:ind w:left="0" w:right="0"/>
              <w:rPr>
                <w:rFonts w:ascii="roboto" w:eastAsia="roboto" w:hAnsi="roboto" w:cs="roboto"/>
                <w:color w:val="212121"/>
                <w:specVanish w:val="false"/>
              </w:rPr>
            </w:pPr>
            <w:r>
              <w:rPr>
                <w:rFonts w:ascii="roboto" w:eastAsia="roboto" w:hAnsi="roboto" w:cs="roboto"/>
                <w:b/>
                <w:bCs/>
                <w:color w:val="212121"/>
                <w:specVanish w:val="false"/>
              </w:rPr>
              <w:t xml:space="preserve">1.1.1 </w:t>
            </w:r>
            <w:r>
              <w:rPr>
                <w:rFonts w:ascii="roboto" w:eastAsia="roboto" w:hAnsi="roboto" w:cs="roboto"/>
                <w:b/>
                <w:bCs/>
                <w:color w:val="212121"/>
                <w:specVanish w:val="false"/>
              </w:rPr>
              <w:t xml:space="preserve">Checkup: </w:t>
            </w:r>
            <w:r>
              <w:rPr>
                <w:rFonts w:ascii="roboto" w:eastAsia="roboto" w:hAnsi="roboto" w:cs="roboto"/>
                <w:b/>
                <w:bCs/>
                <w:color w:val="212121"/>
                <w:specVanish w:val="false"/>
              </w:rPr>
              <w:t>Active Reading Strategies</w:t>
            </w:r>
          </w:p>
        </w:tc>
        <w:tc>
          <w:tcPr>
            <w:tcBorders>
              <w:bottom w:val="single" w:sz="6" w:color="6B6B6B"/>
            </w:tcBorders>
            <w:vAlign w:val="bottom"/>
          </w:tcPr>
          <w:p>
            <w:pPr>
              <w:spacing w:before="0" w:after="0"/>
              <w:ind w:left="0" w:right="0"/>
              <w:jc w:val="right"/>
              <w:rPr>
                <w:rFonts w:ascii="roboto" w:eastAsia="roboto" w:hAnsi="roboto" w:cs="roboto"/>
                <w:color w:val="212121"/>
                <w:specVanish w:val="false"/>
              </w:rPr>
            </w:pPr>
            <w:r>
              <w:rPr>
                <w:rFonts w:ascii="roboto" w:eastAsia="roboto" w:hAnsi="roboto" w:cs="roboto"/>
                <w:color w:val="212121"/>
                <w:specVanish w:val="false"/>
              </w:rPr>
              <w:t>Checkup</w:t>
            </w:r>
          </w:p>
        </w:tc>
      </w:tr>
      <w:tr>
        <w:trPr>
          <w:trHeight w:hRule="atLeast" w:val="330"/>
        </w:trPr>
        <w:tc>
          <w:tcPr>
            <w:vMerge/>
          </w:tcPr>
          <w:p>
            <w:pPr>
              <w:spacing w:before="0" w:after="0"/>
              <w:ind w:left="0" w:right="0"/>
              <w:rPr>
                <w:rFonts w:ascii="roboto" w:eastAsia="roboto" w:hAnsi="roboto" w:cs="roboto"/>
                <w:color w:val="212121"/>
                <w:specVanish w:val="false"/>
              </w:rPr>
            </w:pPr>
          </w:p>
        </w:tc>
        <w:tc>
          <w:tcPr>
            <w:vMerge w:val="restart"/>
            <w:vAlign w:val="top"/>
          </w:tcPr>
          <w:p>
            <w:pPr>
              <w:spacing w:before="0" w:after="0"/>
              <w:ind w:left="0" w:right="0"/>
              <w:rPr>
                <w:rFonts w:ascii="roboto" w:eastAsia="roboto" w:hAnsi="roboto" w:cs="roboto"/>
                <w:color w:val="212121"/>
                <w:specVanish w:val="false"/>
              </w:rPr>
            </w:pPr>
            <w:r>
              <w:rPr>
                <w:rFonts w:ascii="roboto" w:eastAsia="roboto" w:hAnsi="roboto" w:cs="roboto"/>
                <w:color w:val="212121"/>
                <w:specVanish w:val="false"/>
              </w:rPr>
              <w:t>Economics</w:t>
            </w:r>
          </w:p>
        </w:tc>
        <w:tc>
          <w:tcPr>
            <w:vAlign w:val="bottom"/>
          </w:tcPr>
          <w:p>
            <w:pPr>
              <w:spacing w:before="0" w:after="0" w:lineRule="auto" w:line="240"/>
              <w:ind w:left="0" w:right="0"/>
              <w:jc w:val="right"/>
              <w:rPr>
                <w:rFonts w:ascii="roboto" w:eastAsia="roboto" w:hAnsi="roboto" w:cs="roboto"/>
                <w:color w:val="212121"/>
                <w:specVanish w:val="false"/>
              </w:rPr>
            </w:pPr>
            <w:r>
              <w:rPr>
                <w:rFonts w:ascii="roboto" w:eastAsia="roboto" w:hAnsi="roboto" w:cs="roboto"/>
                <w:color w:val="212121"/>
                <w:specVanish w:val="false"/>
              </w:rPr>
              <w:t>Name:</w:t>
            </w:r>
          </w:p>
        </w:tc>
        <w:tc>
          <w:tcPr>
            <w:tcW w:w="2235" w:type="dxa"/>
            <w:tcBorders>
              <w:bottom w:val="single" w:sz="6" w:color="6B6B6B"/>
            </w:tcBorders>
            <w:vAlign w:val="bottom"/>
          </w:tcPr>
          <w:p>
            <w:pPr>
              <w:spacing w:before="0" w:after="0" w:lineRule="auto" w:line="240"/>
              <w:ind w:left="0" w:right="0"/>
              <w:rPr>
                <w:rFonts w:ascii="roboto" w:eastAsia="roboto" w:hAnsi="roboto" w:cs="roboto"/>
                <w:color w:val="212121"/>
                <w:specVanish w:val="false"/>
              </w:rPr>
            </w:pPr>
          </w:p>
        </w:tc>
      </w:tr>
      <w:tr>
        <w:trPr>
          <w:trHeight w:hRule="atLeast" w:val="330"/>
        </w:trPr>
        <w:tc>
          <w:tcPr>
            <w:vMerge/>
          </w:tcPr>
          <w:p>
            <w:pPr>
              <w:spacing w:before="0" w:after="0"/>
              <w:ind w:left="0" w:right="0"/>
              <w:rPr>
                <w:rFonts w:ascii="roboto" w:eastAsia="roboto" w:hAnsi="roboto" w:cs="roboto"/>
                <w:color w:val="212121"/>
                <w:specVanish w:val="false"/>
              </w:rPr>
            </w:pPr>
          </w:p>
        </w:tc>
        <w:tc>
          <w:tcPr>
            <w:vMerge/>
          </w:tcPr>
          <w:p>
            <w:pPr>
              <w:spacing w:before="0" w:after="0"/>
              <w:ind w:left="0" w:right="0"/>
              <w:rPr>
                <w:rFonts w:ascii="roboto" w:eastAsia="roboto" w:hAnsi="roboto" w:cs="roboto"/>
                <w:color w:val="212121"/>
                <w:specVanish w:val="false"/>
              </w:rPr>
            </w:pPr>
          </w:p>
        </w:tc>
        <w:tc>
          <w:tcPr>
            <w:vAlign w:val="bottom"/>
          </w:tcPr>
          <w:p>
            <w:pPr>
              <w:spacing w:before="0" w:after="0" w:lineRule="auto" w:line="240"/>
              <w:ind w:left="0" w:right="0"/>
              <w:jc w:val="right"/>
              <w:rPr>
                <w:rFonts w:ascii="roboto" w:eastAsia="roboto" w:hAnsi="roboto" w:cs="roboto"/>
                <w:color w:val="212121"/>
                <w:specVanish w:val="false"/>
              </w:rPr>
            </w:pPr>
            <w:r>
              <w:rPr>
                <w:rFonts w:ascii="roboto" w:eastAsia="roboto" w:hAnsi="roboto" w:cs="roboto"/>
                <w:color w:val="212121"/>
                <w:specVanish w:val="false"/>
              </w:rPr>
              <w:t>Date:</w:t>
            </w:r>
          </w:p>
        </w:tc>
        <w:tc>
          <w:tcPr>
            <w:tcW w:w="2235" w:type="dxa"/>
            <w:tcBorders>
              <w:bottom w:val="single" w:sz="6" w:color="6B6B6B"/>
            </w:tcBorders>
            <w:vAlign w:val="bottom"/>
          </w:tcPr>
          <w:p>
            <w:pPr>
              <w:spacing w:before="0" w:after="0" w:lineRule="auto" w:line="240"/>
              <w:ind w:left="0" w:right="0"/>
              <w:rPr>
                <w:rFonts w:ascii="roboto" w:eastAsia="roboto" w:hAnsi="roboto" w:cs="roboto"/>
                <w:color w:val="212121"/>
                <w:specVanish w:val="false"/>
              </w:rPr>
            </w:pPr>
          </w:p>
        </w:tc>
      </w:tr>
    </w:tbl>
    <w:p>
      <w:pPr>
        <w:spacing w:before="240" w:after="240" w:lineRule="atLeast" w:line="420"/>
        <w:rPr>
          <w:rFonts w:ascii="roboto" w:eastAsia="roboto" w:hAnsi="roboto" w:cs="roboto"/>
          <w:color w:val="212121"/>
          <w:specVanish w:val="false"/>
        </w:rPr>
      </w:pPr>
      <w:r>
        <w:rPr>
          <w:rFonts w:ascii="roboto" w:eastAsia="roboto" w:hAnsi="roboto" w:cs="roboto"/>
          <w:color w:val="212121"/>
          <w:specVanish w:val="false"/>
        </w:rPr>
        <w:t>Use this sheet to keep track of the important concepts covered in this activity. If you need help answering any of the questions or identifying key concepts, check with your instructor. Save this sheet for review when preparing for quizzes and tests.</w:t>
      </w:r>
    </w:p>
    <w:p>
      <w:pPr>
        <w:spacing w:before="0" w:after="0"/>
        <w:rPr>
          <w:rFonts w:ascii="roboto" w:eastAsia="roboto" w:hAnsi="roboto" w:cs="roboto"/>
          <w:color w:val="212121"/>
          <w:specVanish w:val="false"/>
        </w:rPr>
      </w:pPr>
      <w:r>
        <w:drawing>
          <wp:inline>
            <wp:extent cx="5715000" cy="752475"/>
            <wp:docPr id="3" name="Picture 3" descr="Text reads, Review Ideas."/>
            <a:graphic xmlns:a="http://schemas.openxmlformats.org/drawingml/2006/main">
              <a:graphicData uri="http://schemas.openxmlformats.org/drawingml/2006/picture">
                <pic:pic xmlns:pic="http://schemas.openxmlformats.org/drawingml/2006/picture">
                  <pic:nvPicPr>
                    <pic:cNvPr id="4" name="Picture 4"/>
                    <pic:cNvPicPr/>
                  </pic:nvPicPr>
                  <pic:blipFill>
                    <a:blip cstate="print" r:embed="PictureId2"/>
                    <a:stretch>
                      <a:fillRect/>
                    </a:stretch>
                  </pic:blipFill>
                  <pic:spPr>
                    <a:xfrm>
                      <a:off x="0" y="0"/>
                      <a:ext cx="5715000" cy="752475"/>
                    </a:xfrm>
                    <a:prstGeom prst="rect">
                      <a:avLst/>
                    </a:prstGeom>
                  </pic:spPr>
                </pic:pic>
              </a:graphicData>
            </a:graphic>
          </wp:inline>
        </w:drawing>
      </w:r>
    </w:p>
    <w:p>
      <w:pPr>
        <w:spacing w:before="240" w:after="240" w:lineRule="atLeast" w:line="420"/>
        <w:rPr>
          <w:rFonts w:ascii="roboto" w:eastAsia="roboto" w:hAnsi="roboto" w:cs="roboto"/>
          <w:color w:val="212121"/>
          <w:specVanish w:val="false"/>
        </w:rPr>
      </w:pPr>
      <w:r>
        <w:rPr>
          <w:rFonts w:ascii="roboto" w:eastAsia="roboto" w:hAnsi="roboto" w:cs="roboto"/>
          <w:color w:val="212121"/>
          <w:specVanish w:val="false"/>
        </w:rPr>
        <w:t>1. Fill in the chart to review your understanding of the eight main active reading strategies.</w:t>
      </w:r>
    </w:p>
    <w:tbl>
      <w:tblPr>
        <w:tblW w:w="5000" w:type="pct"/>
        <w:jc w:val="center"/>
        <w:tblBorders>
          <w:top w:val="nil"/>
          <w:left w:val="nil"/>
          <w:bottom w:val="nil"/>
          <w:right w:val="nil"/>
          <w:insideH w:val="nil"/>
          <w:insideV w:val="nil"/>
        </w:tblBorders>
      </w:tblPr>
      <w:tr>
        <w:tc>
          <w:tcPr>
            <w:tcW w:w="1500" w:type="pct"/>
            <w:tcBorders>
              <w:top w:val="single" w:sz="6" w:color="757575"/>
              <w:left w:val="single" w:sz="6" w:color="757575"/>
              <w:bottom w:val="single" w:sz="6" w:color="757575"/>
              <w:right w:val="single" w:sz="6" w:color="757575"/>
            </w:tcBorders>
            <w:shd w:val="clear" w:fill="BDBDBD"/>
            <w:tcMar>
              <w:top w:w="105" w:type="dxa"/>
              <w:left w:w="105" w:type="dxa"/>
              <w:bottom w:w="105" w:type="dxa"/>
              <w:right w:w="105" w:type="dxa"/>
            </w:tcMar>
            <w:vAlign w:val="bottom"/>
          </w:tcPr>
          <w:p>
            <w:pPr>
              <w:shd w:val="clear" w:fill="BDBDBD"/>
              <w:spacing w:before="0" w:after="0"/>
              <w:jc w:val="center"/>
              <w:rPr>
                <w:rFonts w:ascii="roboto" w:eastAsia="roboto" w:hAnsi="roboto" w:cs="roboto"/>
                <w:b/>
                <w:bCs/>
                <w:color w:val="212121"/>
                <w:specVanish w:val="false"/>
              </w:rPr>
            </w:pPr>
            <w:r>
              <w:rPr>
                <w:rFonts w:ascii="roboto" w:eastAsia="roboto" w:hAnsi="roboto" w:cs="roboto"/>
                <w:b/>
                <w:bCs/>
                <w:color w:val="212121"/>
                <w:specVanish w:val="false"/>
              </w:rPr>
              <w:t>Strategy</w:t>
            </w:r>
          </w:p>
        </w:tc>
        <w:tc>
          <w:tcPr>
            <w:tcW w:w="3500" w:type="pct"/>
            <w:tcBorders>
              <w:top w:val="single" w:sz="6" w:color="757575"/>
              <w:left w:val="single" w:sz="6" w:color="757575"/>
              <w:bottom w:val="single" w:sz="6" w:color="757575"/>
              <w:right w:val="single" w:sz="6" w:color="757575"/>
            </w:tcBorders>
            <w:shd w:val="clear" w:fill="BDBDBD"/>
            <w:tcMar>
              <w:top w:w="105" w:type="dxa"/>
              <w:left w:w="105" w:type="dxa"/>
              <w:bottom w:w="105" w:type="dxa"/>
              <w:right w:w="105" w:type="dxa"/>
            </w:tcMar>
            <w:vAlign w:val="bottom"/>
          </w:tcPr>
          <w:p>
            <w:pPr>
              <w:shd w:val="clear" w:fill="BDBDBD"/>
              <w:spacing w:before="0" w:after="0"/>
              <w:jc w:val="center"/>
              <w:rPr>
                <w:rFonts w:ascii="roboto" w:eastAsia="roboto" w:hAnsi="roboto" w:cs="roboto"/>
                <w:b/>
                <w:bCs/>
                <w:color w:val="212121"/>
                <w:specVanish w:val="false"/>
              </w:rPr>
            </w:pPr>
            <w:r>
              <w:rPr>
                <w:rFonts w:ascii="roboto" w:eastAsia="roboto" w:hAnsi="roboto" w:cs="roboto"/>
                <w:b/>
                <w:bCs/>
                <w:color w:val="212121"/>
                <w:specVanish w:val="false"/>
              </w:rPr>
              <w:t>Your definition</w:t>
            </w:r>
          </w:p>
        </w:tc>
      </w:tr>
      <w:tr>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shd w:val="clear" w:fill="FFFFFF"/>
              <w:spacing w:before="0" w:after="0"/>
              <w:rPr>
                <w:rFonts w:ascii="roboto" w:eastAsia="roboto" w:hAnsi="roboto" w:cs="roboto"/>
                <w:color w:val="212121"/>
                <w:specVanish w:val="false"/>
              </w:rPr>
            </w:pPr>
            <w:r>
              <w:rPr>
                <w:rFonts w:ascii="roboto" w:eastAsia="roboto" w:hAnsi="roboto" w:cs="roboto"/>
                <w:color w:val="212121"/>
                <w:specVanish w:val="false"/>
              </w:rPr>
              <w:t>Asking questions</w:t>
            </w:r>
          </w:p>
        </w:tc>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shd w:val="clear" w:fill="FFFFFF"/>
              <w:spacing w:before="0" w:after="0"/>
              <w:rPr>
                <w:rFonts w:ascii="roboto" w:eastAsia="roboto" w:hAnsi="roboto" w:cs="roboto"/>
                <w:color w:val="212121"/>
                <w:specVanish w:val="false"/>
              </w:rPr>
            </w:pPr>
            <w:r>
              <w:rPr>
                <w:rFonts w:ascii="roboto" w:eastAsia="roboto" w:hAnsi="roboto" w:cs="roboto"/>
                <w:color w:val="212121"/>
                <w:specVanish w:val="false"/>
              </w:rPr>
              <w:t xml:space="preserve"> </w:t>
            </w:r>
            <w:r>
              <w:br/>
            </w:r>
          </w:p>
        </w:tc>
      </w:tr>
      <w:tr>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shd w:val="clear" w:fill="FFFFFF"/>
              <w:spacing w:before="0" w:after="0"/>
              <w:rPr>
                <w:rFonts w:ascii="roboto" w:eastAsia="roboto" w:hAnsi="roboto" w:cs="roboto"/>
                <w:color w:val="212121"/>
                <w:specVanish w:val="false"/>
              </w:rPr>
            </w:pPr>
            <w:r>
              <w:rPr>
                <w:rFonts w:ascii="roboto" w:eastAsia="roboto" w:hAnsi="roboto" w:cs="roboto"/>
                <w:color w:val="212121"/>
                <w:specVanish w:val="false"/>
              </w:rPr>
              <w:t>Making mental images</w:t>
            </w:r>
          </w:p>
        </w:tc>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shd w:val="clear" w:fill="FFFFFF"/>
              <w:spacing w:before="0" w:after="0"/>
              <w:rPr>
                <w:rFonts w:ascii="roboto" w:eastAsia="roboto" w:hAnsi="roboto" w:cs="roboto"/>
                <w:color w:val="212121"/>
                <w:specVanish w:val="false"/>
              </w:rPr>
            </w:pPr>
            <w:r>
              <w:rPr>
                <w:rFonts w:ascii="roboto" w:eastAsia="roboto" w:hAnsi="roboto" w:cs="roboto"/>
                <w:color w:val="212121"/>
                <w:specVanish w:val="false"/>
              </w:rPr>
              <w:t xml:space="preserve"> </w:t>
            </w:r>
            <w:r>
              <w:br/>
            </w:r>
          </w:p>
        </w:tc>
      </w:tr>
      <w:tr>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shd w:val="clear" w:fill="FFFFFF"/>
              <w:spacing w:before="0" w:after="0"/>
              <w:rPr>
                <w:rFonts w:ascii="roboto" w:eastAsia="roboto" w:hAnsi="roboto" w:cs="roboto"/>
                <w:color w:val="212121"/>
                <w:specVanish w:val="false"/>
              </w:rPr>
            </w:pPr>
            <w:r>
              <w:rPr>
                <w:rFonts w:ascii="roboto" w:eastAsia="roboto" w:hAnsi="roboto" w:cs="roboto"/>
                <w:color w:val="212121"/>
                <w:specVanish w:val="false"/>
              </w:rPr>
              <w:t>Predicting</w:t>
            </w:r>
          </w:p>
        </w:tc>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shd w:val="clear" w:fill="FFFFFF"/>
              <w:spacing w:before="0" w:after="0"/>
              <w:rPr>
                <w:rFonts w:ascii="roboto" w:eastAsia="roboto" w:hAnsi="roboto" w:cs="roboto"/>
                <w:color w:val="212121"/>
                <w:specVanish w:val="false"/>
              </w:rPr>
            </w:pPr>
            <w:r>
              <w:rPr>
                <w:rFonts w:ascii="roboto" w:eastAsia="roboto" w:hAnsi="roboto" w:cs="roboto"/>
                <w:color w:val="212121"/>
                <w:specVanish w:val="false"/>
              </w:rPr>
              <w:t xml:space="preserve"> </w:t>
            </w:r>
            <w:r>
              <w:br/>
            </w:r>
          </w:p>
        </w:tc>
      </w:tr>
      <w:tr>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shd w:val="clear" w:fill="FFFFFF"/>
              <w:spacing w:before="0" w:after="0"/>
              <w:rPr>
                <w:rFonts w:ascii="roboto" w:eastAsia="roboto" w:hAnsi="roboto" w:cs="roboto"/>
                <w:color w:val="212121"/>
                <w:specVanish w:val="false"/>
              </w:rPr>
            </w:pPr>
            <w:r>
              <w:rPr>
                <w:rFonts w:ascii="roboto" w:eastAsia="roboto" w:hAnsi="roboto" w:cs="roboto"/>
                <w:color w:val="212121"/>
                <w:specVanish w:val="false"/>
              </w:rPr>
              <w:t>Summarizing</w:t>
            </w:r>
          </w:p>
        </w:tc>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shd w:val="clear" w:fill="FFFFFF"/>
              <w:spacing w:before="0" w:after="0"/>
              <w:rPr>
                <w:rFonts w:ascii="roboto" w:eastAsia="roboto" w:hAnsi="roboto" w:cs="roboto"/>
                <w:color w:val="212121"/>
                <w:specVanish w:val="false"/>
              </w:rPr>
            </w:pPr>
            <w:r>
              <w:rPr>
                <w:rFonts w:ascii="roboto" w:eastAsia="roboto" w:hAnsi="roboto" w:cs="roboto"/>
                <w:color w:val="212121"/>
                <w:specVanish w:val="false"/>
              </w:rPr>
              <w:t xml:space="preserve"> </w:t>
            </w:r>
            <w:r>
              <w:br/>
            </w:r>
          </w:p>
        </w:tc>
      </w:tr>
      <w:tr>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shd w:val="clear" w:fill="FFFFFF"/>
              <w:spacing w:before="0" w:after="0"/>
              <w:rPr>
                <w:rFonts w:ascii="roboto" w:eastAsia="roboto" w:hAnsi="roboto" w:cs="roboto"/>
                <w:color w:val="212121"/>
                <w:specVanish w:val="false"/>
              </w:rPr>
            </w:pPr>
            <w:r>
              <w:rPr>
                <w:rFonts w:ascii="roboto" w:eastAsia="roboto" w:hAnsi="roboto" w:cs="roboto"/>
                <w:color w:val="212121"/>
                <w:specVanish w:val="false"/>
              </w:rPr>
              <w:t>Activating prior knowledge</w:t>
            </w:r>
          </w:p>
        </w:tc>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shd w:val="clear" w:fill="FFFFFF"/>
              <w:spacing w:before="0" w:after="0"/>
              <w:rPr>
                <w:rFonts w:ascii="roboto" w:eastAsia="roboto" w:hAnsi="roboto" w:cs="roboto"/>
                <w:color w:val="212121"/>
                <w:specVanish w:val="false"/>
              </w:rPr>
            </w:pPr>
            <w:r>
              <w:rPr>
                <w:rFonts w:ascii="roboto" w:eastAsia="roboto" w:hAnsi="roboto" w:cs="roboto"/>
                <w:color w:val="212121"/>
                <w:specVanish w:val="false"/>
              </w:rPr>
              <w:t xml:space="preserve"> </w:t>
            </w:r>
            <w:r>
              <w:br/>
            </w:r>
          </w:p>
        </w:tc>
      </w:tr>
      <w:tr>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shd w:val="clear" w:fill="FFFFFF"/>
              <w:spacing w:before="0" w:after="0"/>
              <w:rPr>
                <w:rFonts w:ascii="roboto" w:eastAsia="roboto" w:hAnsi="roboto" w:cs="roboto"/>
                <w:color w:val="212121"/>
                <w:specVanish w:val="false"/>
              </w:rPr>
            </w:pPr>
            <w:r>
              <w:rPr>
                <w:rFonts w:ascii="roboto" w:eastAsia="roboto" w:hAnsi="roboto" w:cs="roboto"/>
                <w:color w:val="212121"/>
                <w:specVanish w:val="false"/>
              </w:rPr>
              <w:t>Drawing inferences</w:t>
            </w:r>
          </w:p>
        </w:tc>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shd w:val="clear" w:fill="FFFFFF"/>
              <w:spacing w:before="0" w:after="0"/>
              <w:rPr>
                <w:rFonts w:ascii="roboto" w:eastAsia="roboto" w:hAnsi="roboto" w:cs="roboto"/>
                <w:color w:val="212121"/>
                <w:specVanish w:val="false"/>
              </w:rPr>
            </w:pPr>
            <w:r>
              <w:rPr>
                <w:rFonts w:ascii="roboto" w:eastAsia="roboto" w:hAnsi="roboto" w:cs="roboto"/>
                <w:color w:val="212121"/>
                <w:specVanish w:val="false"/>
              </w:rPr>
              <w:t xml:space="preserve"> </w:t>
            </w:r>
            <w:r>
              <w:br/>
            </w:r>
          </w:p>
        </w:tc>
      </w:tr>
      <w:tr>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shd w:val="clear" w:fill="FFFFFF"/>
              <w:spacing w:before="0" w:after="0"/>
              <w:rPr>
                <w:rFonts w:ascii="roboto" w:eastAsia="roboto" w:hAnsi="roboto" w:cs="roboto"/>
                <w:color w:val="212121"/>
                <w:specVanish w:val="false"/>
              </w:rPr>
            </w:pPr>
            <w:r>
              <w:rPr>
                <w:rFonts w:ascii="roboto" w:eastAsia="roboto" w:hAnsi="roboto" w:cs="roboto"/>
                <w:color w:val="212121"/>
                <w:specVanish w:val="false"/>
              </w:rPr>
              <w:t>Using text features and visual cues</w:t>
            </w:r>
          </w:p>
        </w:tc>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shd w:val="clear" w:fill="FFFFFF"/>
              <w:spacing w:before="0" w:after="0"/>
              <w:rPr>
                <w:rFonts w:ascii="roboto" w:eastAsia="roboto" w:hAnsi="roboto" w:cs="roboto"/>
                <w:color w:val="212121"/>
                <w:specVanish w:val="false"/>
              </w:rPr>
            </w:pPr>
            <w:r>
              <w:rPr>
                <w:rFonts w:ascii="roboto" w:eastAsia="roboto" w:hAnsi="roboto" w:cs="roboto"/>
                <w:color w:val="212121"/>
                <w:specVanish w:val="false"/>
              </w:rPr>
              <w:t xml:space="preserve"> </w:t>
            </w:r>
            <w:r>
              <w:br/>
            </w:r>
          </w:p>
        </w:tc>
      </w:tr>
      <w:tr>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shd w:val="clear" w:fill="FFFFFF"/>
              <w:spacing w:before="0" w:after="0"/>
              <w:rPr>
                <w:rFonts w:ascii="roboto" w:eastAsia="roboto" w:hAnsi="roboto" w:cs="roboto"/>
                <w:color w:val="212121"/>
                <w:specVanish w:val="false"/>
              </w:rPr>
            </w:pPr>
            <w:r>
              <w:rPr>
                <w:rFonts w:ascii="roboto" w:eastAsia="roboto" w:hAnsi="roboto" w:cs="roboto"/>
                <w:color w:val="212121"/>
                <w:specVanish w:val="false"/>
              </w:rPr>
              <w:t>Monitoring and applying fix-up strategies</w:t>
            </w:r>
          </w:p>
        </w:tc>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shd w:val="clear" w:fill="FFFFFF"/>
              <w:spacing w:before="0" w:after="0"/>
              <w:rPr>
                <w:rFonts w:ascii="roboto" w:eastAsia="roboto" w:hAnsi="roboto" w:cs="roboto"/>
                <w:color w:val="212121"/>
                <w:specVanish w:val="false"/>
              </w:rPr>
            </w:pPr>
            <w:r>
              <w:rPr>
                <w:rFonts w:ascii="roboto" w:eastAsia="roboto" w:hAnsi="roboto" w:cs="roboto"/>
                <w:color w:val="212121"/>
                <w:specVanish w:val="false"/>
              </w:rPr>
              <w:t xml:space="preserve"> </w:t>
            </w:r>
            <w:r>
              <w:br/>
            </w:r>
          </w:p>
        </w:tc>
      </w:tr>
    </w:tbl>
    <w:p>
      <w:pPr>
        <w:spacing w:before="0" w:after="0"/>
        <w:rPr>
          <w:rFonts w:ascii="roboto" w:eastAsia="roboto" w:hAnsi="roboto" w:cs="roboto"/>
          <w:color w:val="212121"/>
          <w:specVanish w:val="false"/>
        </w:rPr>
      </w:pPr>
      <w:r>
        <w:drawing>
          <wp:inline>
            <wp:extent cx="5715000" cy="752475"/>
            <wp:docPr id="5" name="Picture 5" descr="Text reads, Practice."/>
            <a:graphic xmlns:a="http://schemas.openxmlformats.org/drawingml/2006/main">
              <a:graphicData uri="http://schemas.openxmlformats.org/drawingml/2006/picture">
                <pic:pic xmlns:pic="http://schemas.openxmlformats.org/drawingml/2006/picture">
                  <pic:nvPicPr>
                    <pic:cNvPr id="6" name="Picture 6"/>
                    <pic:cNvPicPr/>
                  </pic:nvPicPr>
                  <pic:blipFill>
                    <a:blip cstate="print" r:embed="PictureId3"/>
                    <a:stretch>
                      <a:fillRect/>
                    </a:stretch>
                  </pic:blipFill>
                  <pic:spPr>
                    <a:xfrm>
                      <a:off x="0" y="0"/>
                      <a:ext cx="5715000" cy="752475"/>
                    </a:xfrm>
                    <a:prstGeom prst="rect">
                      <a:avLst/>
                    </a:prstGeom>
                  </pic:spPr>
                </pic:pic>
              </a:graphicData>
            </a:graphic>
          </wp:inline>
        </w:drawing>
      </w:r>
    </w:p>
    <w:p>
      <w:pPr>
        <w:spacing w:before="240" w:after="240" w:lineRule="atLeast" w:line="420"/>
        <w:rPr>
          <w:rFonts w:ascii="roboto" w:eastAsia="roboto" w:hAnsi="roboto" w:cs="roboto"/>
          <w:color w:val="212121"/>
          <w:specVanish w:val="false"/>
        </w:rPr>
      </w:pPr>
      <w:r>
        <w:rPr>
          <w:rFonts w:ascii="roboto" w:eastAsia="roboto" w:hAnsi="roboto" w:cs="roboto"/>
          <w:color w:val="212121"/>
          <w:specVanish w:val="false"/>
        </w:rPr>
        <w:t>1. Imagine that you're reading about the different roles the government can play in regulating monopolies. The text identifies three ways governments do this work: (1) restrict monopolies that hinder competition, (2) regulate monopolies that provide services, and (3) provide information to the public to prevent market failures. What mental image could help you remember these three means of regulation?</w:t>
      </w:r>
    </w:p>
    <w:p>
      <w:pPr>
        <w:spacing w:before="0" w:after="0"/>
        <w:rPr>
          <w:rFonts w:ascii="roboto" w:eastAsia="roboto" w:hAnsi="roboto" w:cs="roboto"/>
          <w:color w:val="212121"/>
          <w:specVanish w:val="false"/>
        </w:rPr>
      </w:pPr>
      <w:r>
        <w:br/>
      </w:r>
      <w:r>
        <w:br/>
      </w:r>
      <w:r>
        <w:br/>
      </w:r>
      <w:r>
        <w:br/>
      </w:r>
      <w:r>
        <w:br/>
      </w:r>
      <w:r>
        <w:br/>
      </w:r>
      <w:r>
        <w:br/>
      </w:r>
    </w:p>
    <w:p>
      <w:pPr>
        <w:spacing w:before="240" w:after="240" w:lineRule="atLeast" w:line="420"/>
        <w:rPr>
          <w:rFonts w:ascii="roboto" w:eastAsia="roboto" w:hAnsi="roboto" w:cs="roboto"/>
          <w:color w:val="212121"/>
          <w:specVanish w:val="false"/>
        </w:rPr>
      </w:pPr>
      <w:r>
        <w:rPr>
          <w:rFonts w:ascii="roboto" w:eastAsia="roboto" w:hAnsi="roboto" w:cs="roboto"/>
          <w:color w:val="212121"/>
          <w:specVanish w:val="false"/>
        </w:rPr>
        <w:t>2. You're reading a short newspaper article about the unemployment rate in your state. The unemployment rate is the percentage of people in the workforce (people currently employed or actively looking for work) who are classified as unemployed. The article says that the unemployment rate for the state is at an all-time low. However, the article also notes that underemployment is a major problem for the state — there are a number of people in the state who are too frustrated to look for work. What inference could you draw from this information?</w:t>
      </w:r>
    </w:p>
    <w:p>
      <w:pPr>
        <w:spacing w:before="0" w:after="0"/>
        <w:rPr>
          <w:rFonts w:ascii="roboto" w:eastAsia="roboto" w:hAnsi="roboto" w:cs="roboto"/>
          <w:color w:val="212121"/>
          <w:specVanish w:val="false"/>
        </w:rPr>
      </w:pPr>
      <w:r>
        <w:br/>
      </w:r>
      <w:r>
        <w:br/>
      </w:r>
      <w:r>
        <w:br/>
      </w:r>
      <w:r>
        <w:br/>
      </w:r>
      <w:r>
        <w:br/>
      </w:r>
      <w:r>
        <w:br/>
      </w:r>
      <w:r>
        <w:br/>
      </w:r>
    </w:p>
    <w:p>
      <w:pPr>
        <w:spacing w:before="240" w:after="240" w:lineRule="atLeast" w:line="420"/>
        <w:rPr>
          <w:rFonts w:ascii="roboto" w:eastAsia="roboto" w:hAnsi="roboto" w:cs="roboto"/>
          <w:color w:val="212121"/>
          <w:specVanish w:val="false"/>
        </w:rPr>
      </w:pPr>
      <w:r>
        <w:rPr>
          <w:rFonts w:ascii="roboto" w:eastAsia="roboto" w:hAnsi="roboto" w:cs="roboto"/>
          <w:color w:val="212121"/>
          <w:specVanish w:val="false"/>
        </w:rPr>
        <w:t>3. You're reading a long, difficult passage about U.S. monetary policy. When you get to the end, you realize you didn't understand any of it. What active reading strategy could you have used? What can you do now?</w:t>
      </w:r>
    </w:p>
    <w:p>
      <w:pPr>
        <w:spacing w:before="0" w:after="0"/>
        <w:rPr>
          <w:rFonts w:ascii="roboto" w:eastAsia="roboto" w:hAnsi="roboto" w:cs="roboto"/>
          <w:color w:val="212121"/>
          <w:specVanish w:val="false"/>
        </w:rPr>
      </w:pPr>
      <w:r>
        <w:br/>
      </w:r>
      <w:r>
        <w:br/>
      </w:r>
      <w:r>
        <w:br/>
      </w:r>
      <w:r>
        <w:br/>
      </w:r>
      <w:r>
        <w:br/>
      </w:r>
      <w:r>
        <w:br/>
      </w:r>
      <w:r>
        <w:br/>
      </w:r>
    </w:p>
    <w:p>
      <w:pPr/>
      <w:r>
        <w:pict>
          <v:rect id="_x0000_i1025" o:hralign="center" o:hrstd="t" o:hr="t" style="width:0pt;height:1.5pt;visibility:visible" fillcolor="#A0A0A0" stroked="false" strokeweight="0.75pt"/>
        </w:pict>
      </w:r>
    </w:p>
    <w:p>
      <w:pPr>
        <w:spacing w:before="0" w:after="0"/>
        <w:rPr>
          <w:rFonts w:ascii="roboto" w:eastAsia="roboto" w:hAnsi="roboto" w:cs="roboto"/>
          <w:color w:val="212121"/>
          <w:specVanish w:val="false"/>
        </w:rPr>
      </w:pPr>
    </w:p>
    <w:p>
      <w:pPr>
        <w:spacing w:before="240" w:after="240" w:lineRule="atLeast" w:line="420"/>
        <w:rPr>
          <w:rFonts w:ascii="roboto" w:eastAsia="roboto" w:hAnsi="roboto" w:cs="roboto"/>
          <w:color w:val="212121"/>
          <w:sz w:val="16"/>
          <w:szCs w:val="16"/>
          <w:specVanish w:val="false"/>
        </w:rPr>
      </w:pPr>
      <w:r>
        <w:rPr>
          <w:rFonts w:ascii="roboto" w:eastAsia="roboto" w:hAnsi="roboto" w:cs="roboto"/>
          <w:color w:val="212121"/>
          <w:sz w:val="16"/>
          <w:szCs w:val="16"/>
          <w:specVanish w:val="false"/>
        </w:rPr>
        <w:t xml:space="preserve">Copyright © 2022 Apex Learning Inc. Use of this material is subject to Apex Learning's </w:t>
      </w:r>
      <w:hyperlink r:id="gemHypRid4" w:tgtFrame="_blank">
        <w:r>
          <w:rPr>
            <w:rFonts w:ascii="roboto" w:eastAsia="roboto" w:hAnsi="roboto" w:cs="roboto"/>
            <w:color w:val="128297"/>
            <w:sz w:val="16"/>
            <w:szCs w:val="16"/>
            <w:specVanish w:val="false"/>
          </w:rPr>
          <w:t>Terms of Use</w:t>
        </w:r>
      </w:hyperlink>
      <w:r>
        <w:rPr>
          <w:rFonts w:ascii="roboto" w:eastAsia="roboto" w:hAnsi="roboto" w:cs="roboto"/>
          <w:color w:val="212121"/>
          <w:sz w:val="16"/>
          <w:szCs w:val="16"/>
          <w:specVanish w:val="false"/>
        </w:rPr>
        <w:t>. Any unauthorized copying, reuse, or redistribution is prohibited. Apex Learning ® and the Apex Learning Logo are registered trademarks of Apex Learning Inc.</w:t>
      </w:r>
    </w:p>
    <w:p>
      <w:pPr>
        <w:spacing w:before="0" w:after="0"/>
        <w:rPr>
          <w:rFonts w:ascii="roboto" w:eastAsia="roboto" w:hAnsi="roboto" w:cs="roboto"/>
          <w:color w:val="212121"/>
          <w:specVanish w:val="false"/>
        </w:rPr>
      </w:pPr>
      <w:r>
        <w:rPr>
          <w:rFonts w:ascii="roboto" w:eastAsia="roboto" w:hAnsi="roboto" w:cs="roboto"/>
          <w:color w:val="212121"/>
          <w:specVanish w:val="false"/>
        </w:rPr>
        <w:t>1.1.1</w:t>
      </w:r>
      <w:r>
        <w:rPr>
          <w:rFonts w:ascii="roboto" w:eastAsia="roboto" w:hAnsi="roboto" w:cs="roboto"/>
          <w:color w:val="212121"/>
          <w:specVanish w:val="false"/>
        </w:rPr>
        <w:t xml:space="preserve"> Checkup: Active Reading Strategies</w:t>
      </w:r>
    </w:p>
    <w:sectPr>
      <w:pgSz w:w="12240" w:h="15840" w:code="1"/>
      <w:pgMar w:top="108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F8D"/>
    <w:rsid w:val="00806F8D"/>
    <w:rsid w:val="00E0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w:eastAsia="roboto" w:hAnsi="roboto" w:cs="roboto"/>
        <w:color w:val="212121"/>
        <w:sz w:val="24"/>
        <w:szCs w:val="24"/>
        <w:specVanish w:val="false"/>
      </w:rPr>
    </w:rPrDefault>
    <w:pPrDefault>
      <w:pPr>
        <w:spacing w:after="200" w:lineRule="auto" w:line="276"/>
      </w:pPr>
    </w:pPrDefault>
  </w:docDefaults>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PictureId1" Type="http://schemas.openxmlformats.org/officeDocument/2006/relationships/image" Target="media/image1.png" /><Relationship Id="PictureId2" Type="http://schemas.openxmlformats.org/officeDocument/2006/relationships/image" Target="media/image2.jpg" /><Relationship Id="PictureId3" Type="http://schemas.openxmlformats.org/officeDocument/2006/relationships/image" Target="media/image3.jpg" /><Relationship Id="gemHypRid4" Type="http://schemas.openxmlformats.org/officeDocument/2006/relationships/hyperlink" Target="http://www.apexlearning.com/Terms_of_Use_Customer_Websites.htm"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