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E7A8"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color w:val="444444"/>
          <w:sz w:val="38"/>
          <w:szCs w:val="38"/>
        </w:rPr>
        <w:t xml:space="preserve">1) Themenfeld </w:t>
      </w:r>
    </w:p>
    <w:p w14:paraId="36BCF53E"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b/>
          <w:bCs/>
          <w:i/>
          <w:iCs/>
          <w:color w:val="444444"/>
          <w:sz w:val="38"/>
          <w:szCs w:val="38"/>
        </w:rPr>
        <w:t xml:space="preserve">Die Politik und ihre Finanziers: Einblicke in die Zusammenhänge von überparteilichen Sponsoren-Strukturen (und evtl dadurch resultierende ideologische Folgen). </w:t>
      </w:r>
    </w:p>
    <w:p w14:paraId="0A1923DE"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color w:val="444444"/>
          <w:sz w:val="38"/>
          <w:szCs w:val="38"/>
        </w:rPr>
        <w:t xml:space="preserve">2) Forschungsinteresse </w:t>
      </w:r>
    </w:p>
    <w:p w14:paraId="0181B50C"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b/>
          <w:bCs/>
          <w:i/>
          <w:iCs/>
          <w:color w:val="444444"/>
          <w:sz w:val="38"/>
          <w:szCs w:val="38"/>
        </w:rPr>
        <w:t xml:space="preserve">Wir wollen verstehen wie sich politische Parteien in Deutschland staatsfern finanzieren und was dieses externe Engagement mit der Ausrichtung einer Partei macht. Und: Ob es womöglich bei den Finanziers überparteiliche Zusammenhänge gibt. </w:t>
      </w:r>
    </w:p>
    <w:p w14:paraId="680B4614"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color w:val="444444"/>
          <w:sz w:val="38"/>
          <w:szCs w:val="38"/>
        </w:rPr>
        <w:t xml:space="preserve">3) Annahmen über Knoten und Kanten </w:t>
      </w:r>
    </w:p>
    <w:p w14:paraId="138C5A5E" w14:textId="77777777" w:rsidR="00EC702D" w:rsidRDefault="00EC702D" w:rsidP="00EC702D">
      <w:pPr>
        <w:widowControl w:val="0"/>
        <w:autoSpaceDE w:val="0"/>
        <w:autoSpaceDN w:val="0"/>
        <w:adjustRightInd w:val="0"/>
        <w:spacing w:after="240" w:line="460" w:lineRule="atLeast"/>
        <w:rPr>
          <w:rFonts w:ascii="Roboto" w:hAnsi="Roboto" w:cs="Roboto"/>
          <w:b/>
          <w:bCs/>
          <w:i/>
          <w:iCs/>
          <w:color w:val="444444"/>
          <w:sz w:val="38"/>
          <w:szCs w:val="38"/>
        </w:rPr>
      </w:pPr>
      <w:r>
        <w:rPr>
          <w:rFonts w:ascii="Roboto" w:hAnsi="Roboto" w:cs="Roboto"/>
          <w:b/>
          <w:bCs/>
          <w:i/>
          <w:iCs/>
          <w:color w:val="444444"/>
          <w:sz w:val="38"/>
          <w:szCs w:val="38"/>
        </w:rPr>
        <w:t xml:space="preserve">Wir gehen dabei von einem Two-Mode Netzwerk aus, in dem die Knoten institutionell gekennzeichnet sind. Nämlich auf der einen Seite durch die Parteien (die sich zum erhobenen Zeitraum im Bundestag befinden) und auf der anderen Seite durch den jeweils größten Finanzier eben jener Parteien in einer Legislaturperiode. </w:t>
      </w:r>
    </w:p>
    <w:p w14:paraId="0A7372B6" w14:textId="23EFF9B2" w:rsidR="00E96999" w:rsidRDefault="00E96999" w:rsidP="00EC702D">
      <w:pPr>
        <w:widowControl w:val="0"/>
        <w:autoSpaceDE w:val="0"/>
        <w:autoSpaceDN w:val="0"/>
        <w:adjustRightInd w:val="0"/>
        <w:spacing w:after="240" w:line="460" w:lineRule="atLeast"/>
        <w:rPr>
          <w:rFonts w:ascii="Roboto" w:hAnsi="Roboto" w:cs="Roboto"/>
          <w:b/>
          <w:bCs/>
          <w:i/>
          <w:iCs/>
          <w:color w:val="444444"/>
          <w:sz w:val="38"/>
          <w:szCs w:val="38"/>
        </w:rPr>
      </w:pPr>
      <w:r>
        <w:rPr>
          <w:rFonts w:ascii="Roboto" w:hAnsi="Roboto" w:cs="Roboto"/>
          <w:b/>
          <w:bCs/>
          <w:i/>
          <w:iCs/>
          <w:color w:val="444444"/>
          <w:sz w:val="38"/>
          <w:szCs w:val="38"/>
        </w:rPr>
        <w:t>Dabei ziehen wir nur Spender in Betracht (Juristisch / Natürlich), die über einen Betrag von 100.000 Euro kommen, da ab diese</w:t>
      </w:r>
      <w:r w:rsidR="007A66E2">
        <w:rPr>
          <w:rFonts w:ascii="Roboto" w:hAnsi="Roboto" w:cs="Roboto"/>
          <w:b/>
          <w:bCs/>
          <w:i/>
          <w:iCs/>
          <w:color w:val="444444"/>
          <w:sz w:val="38"/>
          <w:szCs w:val="38"/>
        </w:rPr>
        <w:t xml:space="preserve">r Summe </w:t>
      </w:r>
      <w:bookmarkStart w:id="0" w:name="_GoBack"/>
      <w:bookmarkEnd w:id="0"/>
      <w:r>
        <w:rPr>
          <w:rFonts w:ascii="Roboto" w:hAnsi="Roboto" w:cs="Roboto"/>
          <w:b/>
          <w:bCs/>
          <w:i/>
          <w:iCs/>
          <w:color w:val="444444"/>
          <w:sz w:val="38"/>
          <w:szCs w:val="38"/>
        </w:rPr>
        <w:t xml:space="preserve">eine gewisse Relevanz zuzuordnen ist. </w:t>
      </w:r>
    </w:p>
    <w:p w14:paraId="666A8482"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b/>
          <w:bCs/>
          <w:i/>
          <w:iCs/>
          <w:color w:val="444444"/>
          <w:sz w:val="38"/>
          <w:szCs w:val="38"/>
        </w:rPr>
        <w:t xml:space="preserve">Das Netzwerk ist dabei gerichtet und zwar vom Finanzier in Richtung Partei. Die Kante an sich symbolisiert also den Geldfluss des Finanziers, </w:t>
      </w:r>
      <w:r w:rsidR="00895FD9">
        <w:rPr>
          <w:rFonts w:ascii="Roboto" w:hAnsi="Roboto" w:cs="Roboto"/>
          <w:b/>
          <w:bCs/>
          <w:i/>
          <w:iCs/>
          <w:color w:val="444444"/>
          <w:sz w:val="38"/>
          <w:szCs w:val="38"/>
        </w:rPr>
        <w:t xml:space="preserve">die </w:t>
      </w:r>
      <w:r w:rsidR="00895FD9">
        <w:rPr>
          <w:rFonts w:ascii="Roboto" w:hAnsi="Roboto" w:cs="Roboto"/>
          <w:b/>
          <w:bCs/>
          <w:i/>
          <w:iCs/>
          <w:color w:val="444444"/>
          <w:sz w:val="38"/>
          <w:szCs w:val="38"/>
        </w:rPr>
        <w:lastRenderedPageBreak/>
        <w:t>Kantenstärke die jeweilige G</w:t>
      </w:r>
      <w:r>
        <w:rPr>
          <w:rFonts w:ascii="Roboto" w:hAnsi="Roboto" w:cs="Roboto"/>
          <w:b/>
          <w:bCs/>
          <w:i/>
          <w:iCs/>
          <w:color w:val="444444"/>
          <w:sz w:val="38"/>
          <w:szCs w:val="38"/>
        </w:rPr>
        <w:t xml:space="preserve">röße der Finanzierung. </w:t>
      </w:r>
    </w:p>
    <w:p w14:paraId="1F6A5D99"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color w:val="444444"/>
          <w:sz w:val="38"/>
          <w:szCs w:val="38"/>
        </w:rPr>
        <w:t xml:space="preserve">4) Datenzugang und -erhebung </w:t>
      </w:r>
    </w:p>
    <w:p w14:paraId="4E957F69" w14:textId="77777777" w:rsidR="00EC702D" w:rsidRDefault="00EC702D" w:rsidP="00EC702D">
      <w:pPr>
        <w:widowControl w:val="0"/>
        <w:autoSpaceDE w:val="0"/>
        <w:autoSpaceDN w:val="0"/>
        <w:adjustRightInd w:val="0"/>
        <w:spacing w:after="240" w:line="460" w:lineRule="atLeast"/>
        <w:rPr>
          <w:rFonts w:ascii="Times" w:hAnsi="Times" w:cs="Times"/>
        </w:rPr>
      </w:pPr>
      <w:r>
        <w:rPr>
          <w:rFonts w:ascii="Roboto" w:hAnsi="Roboto" w:cs="Roboto"/>
          <w:b/>
          <w:bCs/>
          <w:i/>
          <w:iCs/>
          <w:color w:val="444444"/>
          <w:sz w:val="38"/>
          <w:szCs w:val="38"/>
        </w:rPr>
        <w:t xml:space="preserve">Datenerhebung durch Jahresbilanz der oben beschrieben Parteien und der Internetplattform </w:t>
      </w:r>
      <w:hyperlink r:id="rId5" w:history="1">
        <w:r w:rsidR="00895FD9" w:rsidRPr="00474719">
          <w:rPr>
            <w:rStyle w:val="Link"/>
            <w:rFonts w:ascii="Roboto" w:hAnsi="Roboto" w:cs="Roboto"/>
            <w:b/>
            <w:bCs/>
            <w:i/>
            <w:iCs/>
            <w:sz w:val="38"/>
            <w:szCs w:val="38"/>
          </w:rPr>
          <w:t>www.lobbypedia.de</w:t>
        </w:r>
      </w:hyperlink>
      <w:r w:rsidR="00895FD9">
        <w:rPr>
          <w:rFonts w:ascii="Roboto" w:hAnsi="Roboto" w:cs="Roboto"/>
          <w:b/>
          <w:bCs/>
          <w:i/>
          <w:iCs/>
          <w:color w:val="444444"/>
          <w:sz w:val="38"/>
          <w:szCs w:val="38"/>
        </w:rPr>
        <w:t xml:space="preserve"> . </w:t>
      </w:r>
    </w:p>
    <w:p w14:paraId="5845CE43" w14:textId="77777777" w:rsidR="00A15D20" w:rsidRDefault="00A15D20"/>
    <w:sectPr w:rsidR="00A15D20" w:rsidSect="00EC702D">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2D"/>
    <w:rsid w:val="007A66E2"/>
    <w:rsid w:val="00895FD9"/>
    <w:rsid w:val="00A15D20"/>
    <w:rsid w:val="00E96999"/>
    <w:rsid w:val="00EC70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64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95F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95F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bbypedia.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1160</Characters>
  <Application>Microsoft Macintosh Word</Application>
  <DocSecurity>0</DocSecurity>
  <Lines>9</Lines>
  <Paragraphs>2</Paragraphs>
  <ScaleCrop>false</ScaleCrop>
  <Company>Frank Wahlenmaier</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Wahlenmaier</dc:creator>
  <cp:keywords/>
  <dc:description/>
  <cp:lastModifiedBy>Frank Wahlenmaier</cp:lastModifiedBy>
  <cp:revision>3</cp:revision>
  <dcterms:created xsi:type="dcterms:W3CDTF">2019-06-15T10:53:00Z</dcterms:created>
  <dcterms:modified xsi:type="dcterms:W3CDTF">2019-06-15T11:26:00Z</dcterms:modified>
</cp:coreProperties>
</file>