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居间服务合同（个人版）</w:t>
      </w:r>
    </w:p>
    <w:p>
      <w:pPr>
        <w:spacing w:before="120" w:after="120" w:line="288" w:lineRule="auto"/>
        <w:ind w:left="0" w:firstLine="420"/>
        <w:jc w:val="center"/>
      </w:pPr>
      <w:r>
        <w:rPr>
          <w:rFonts w:eastAsia="等线" w:ascii="Arial" w:cs="Arial" w:hAnsi="Arial"/>
          <w:b w:val="true"/>
          <w:sz w:val="22"/>
        </w:rPr>
        <w:t>居间服务合同（个人版）</w:t>
      </w:r>
    </w:p>
    <w:p>
      <w:pPr>
        <w:spacing w:before="120" w:after="120" w:line="288" w:lineRule="auto"/>
        <w:ind w:left="0" w:firstLine="420"/>
        <w:jc w:val="right"/>
      </w:pPr>
      <w:r>
        <w:rPr>
          <w:rFonts w:eastAsia="等线" w:ascii="Arial" w:cs="Arial" w:hAnsi="Arial"/>
          <w:sz w:val="22"/>
        </w:rPr>
        <w:t>合同编号： 【】</w:t>
      </w: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地址：</w:t>
      </w:r>
    </w:p>
    <w:p>
      <w:pPr>
        <w:spacing w:before="120" w:after="120" w:line="288" w:lineRule="auto"/>
        <w:ind w:left="0" w:firstLine="0"/>
        <w:jc w:val="left"/>
      </w:pPr>
      <w:r>
        <w:rPr>
          <w:rFonts w:eastAsia="等线" w:ascii="Arial" w:cs="Arial" w:hAnsi="Arial"/>
          <w:sz w:val="22"/>
        </w:rPr>
        <w:t>联系人：</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身份证号码：</w:t>
      </w:r>
    </w:p>
    <w:p>
      <w:pPr>
        <w:spacing w:before="120" w:after="120" w:line="288" w:lineRule="auto"/>
        <w:ind w:left="0" w:firstLine="0"/>
        <w:jc w:val="left"/>
      </w:pPr>
      <w:r>
        <w:rPr>
          <w:rFonts w:eastAsia="等线" w:ascii="Arial" w:cs="Arial" w:hAnsi="Arial"/>
          <w:sz w:val="22"/>
        </w:rPr>
        <w:t>联系方式：</w:t>
      </w:r>
    </w:p>
    <w:p>
      <w:pPr>
        <w:spacing w:before="120" w:after="120" w:line="288" w:lineRule="auto"/>
        <w:ind w:left="0" w:firstLine="0"/>
        <w:jc w:val="left"/>
      </w:pPr>
      <w:r>
        <w:rPr>
          <w:rFonts w:eastAsia="等线" w:ascii="Arial" w:cs="Arial" w:hAnsi="Arial"/>
          <w:b w:val="true"/>
          <w:sz w:val="22"/>
        </w:rPr>
        <w:t>第一条 委托事项</w:t>
      </w:r>
    </w:p>
    <w:p>
      <w:pPr>
        <w:spacing w:before="120" w:after="120" w:line="288" w:lineRule="auto"/>
        <w:ind w:left="0" w:firstLine="420"/>
        <w:jc w:val="left"/>
      </w:pPr>
      <w:r>
        <w:rPr>
          <w:rFonts w:eastAsia="等线" w:ascii="Arial" w:cs="Arial" w:hAnsi="Arial"/>
          <w:sz w:val="22"/>
        </w:rPr>
        <w:t>乙方接受甲方委托，对甲方服务进行推广，并向</w:t>
      </w:r>
      <w:r>
        <w:rPr>
          <w:rFonts w:eastAsia="等线" w:ascii="Arial" w:cs="Arial" w:hAnsi="Arial"/>
          <w:sz w:val="22"/>
          <w:u w:val="single"/>
        </w:rPr>
        <w:t>客户公司及其关联企业</w:t>
      </w:r>
      <w:r>
        <w:rPr>
          <w:rFonts w:eastAsia="等线" w:ascii="Arial" w:cs="Arial" w:hAnsi="Arial"/>
          <w:sz w:val="22"/>
        </w:rPr>
        <w:t>（以下简称“客户”）进行推荐。乙方应积极引导甲方与客户的商务接触和洽谈，并向甲方提供与客户交易所需的重要信息和协助，以促成甲方与客户签订《广告发布合同》或达成其他形式的商业合作。</w:t>
      </w:r>
    </w:p>
    <w:p>
      <w:pPr>
        <w:spacing w:before="120" w:after="120" w:line="288" w:lineRule="auto"/>
        <w:ind w:left="0" w:firstLine="0"/>
        <w:jc w:val="left"/>
      </w:pPr>
      <w:r>
        <w:rPr>
          <w:rFonts w:eastAsia="等线" w:ascii="Arial" w:cs="Arial" w:hAnsi="Arial"/>
          <w:b w:val="true"/>
          <w:sz w:val="22"/>
        </w:rPr>
        <w:t>第二条 合作内容</w:t>
      </w:r>
    </w:p>
    <w:p>
      <w:pPr>
        <w:spacing w:before="120" w:after="120" w:line="288" w:lineRule="auto"/>
        <w:ind w:left="0" w:firstLine="0"/>
        <w:jc w:val="left"/>
      </w:pPr>
      <w:r>
        <w:rPr>
          <w:rFonts w:eastAsia="等线" w:ascii="Arial" w:cs="Arial" w:hAnsi="Arial"/>
          <w:sz w:val="22"/>
        </w:rPr>
        <w:t>1.乙方利用自身资源和渠道，积极向甲方推荐有广告投放需求的潜在客户，并协助甲方与客户建立初步沟通和合作意向。</w:t>
      </w:r>
    </w:p>
    <w:p>
      <w:pPr>
        <w:spacing w:before="120" w:after="120" w:line="288" w:lineRule="auto"/>
        <w:ind w:left="0" w:firstLine="0"/>
        <w:jc w:val="left"/>
      </w:pPr>
      <w:r>
        <w:rPr>
          <w:rFonts w:eastAsia="等线" w:ascii="Arial" w:cs="Arial" w:hAnsi="Arial"/>
          <w:sz w:val="22"/>
        </w:rPr>
        <w:t>2.甲方应积极与乙方推荐的客户进行洽谈和合作，在合作过程中，甲方有权根据自身业务标准和要求对客户进行筛选和评估。</w:t>
      </w:r>
    </w:p>
    <w:p>
      <w:pPr>
        <w:spacing w:before="120" w:after="120" w:line="288" w:lineRule="auto"/>
        <w:ind w:left="0" w:firstLine="0"/>
        <w:jc w:val="left"/>
      </w:pPr>
      <w:r>
        <w:rPr>
          <w:rFonts w:eastAsia="等线" w:ascii="Arial" w:cs="Arial" w:hAnsi="Arial"/>
          <w:b w:val="true"/>
          <w:sz w:val="22"/>
        </w:rPr>
        <w:t>第三条 居间费用及支付方式</w:t>
      </w:r>
    </w:p>
    <w:p>
      <w:pPr>
        <w:numPr>
          <w:numId w:val="1"/>
        </w:numPr>
        <w:spacing w:before="120" w:after="120" w:line="288" w:lineRule="auto"/>
        <w:ind w:left="0"/>
        <w:jc w:val="left"/>
      </w:pPr>
      <w:r>
        <w:rPr>
          <w:rFonts w:eastAsia="等线" w:ascii="Arial" w:cs="Arial" w:hAnsi="Arial"/>
          <w:sz w:val="22"/>
          <w:u w:val="single"/>
        </w:rPr>
        <w:t>居间费用：</w:t>
      </w:r>
      <w:r>
        <w:rPr>
          <w:rFonts w:eastAsia="等线" w:ascii="Arial" w:cs="Arial" w:hAnsi="Arial"/>
          <w:sz w:val="22"/>
          <w:shd w:fill="bbbfc4"/>
        </w:rPr>
        <w:t>居间费用的具体比例以每笔业务所对应的结算单中比例为准，双方确认结算单对于居间费用比例的确定具有最终效力。</w:t>
      </w:r>
    </w:p>
    <w:p>
      <w:pPr>
        <w:numPr>
          <w:numId w:val="2"/>
        </w:numPr>
        <w:spacing w:before="120" w:after="120" w:line="288" w:lineRule="auto"/>
        <w:ind w:left="0"/>
        <w:jc w:val="left"/>
      </w:pPr>
      <w:r>
        <w:rPr>
          <w:rFonts w:eastAsia="等线" w:ascii="Arial" w:cs="Arial" w:hAnsi="Arial"/>
          <w:sz w:val="22"/>
          <w:u w:val="single"/>
        </w:rPr>
        <w:t>结算周期：</w:t>
      </w:r>
      <w:r>
        <w:rPr>
          <w:rFonts w:eastAsia="等线" w:ascii="Arial" w:cs="Arial" w:hAnsi="Arial"/>
          <w:sz w:val="22"/>
        </w:rPr>
        <w:t>每季度结算一次。</w:t>
      </w:r>
    </w:p>
    <w:p>
      <w:pPr>
        <w:numPr>
          <w:numId w:val="3"/>
        </w:numPr>
        <w:spacing w:before="120" w:after="120" w:line="288" w:lineRule="auto"/>
        <w:ind w:left="0"/>
        <w:jc w:val="left"/>
      </w:pPr>
      <w:r>
        <w:rPr>
          <w:rFonts w:eastAsia="等线" w:ascii="Arial" w:cs="Arial" w:hAnsi="Arial"/>
          <w:sz w:val="22"/>
          <w:u w:val="single"/>
        </w:rPr>
        <w:t>费用计算方式：</w:t>
      </w:r>
      <w:r>
        <w:rPr>
          <w:rFonts w:eastAsia="等线" w:ascii="Arial" w:cs="Arial" w:hAnsi="Arial"/>
          <w:sz w:val="22"/>
        </w:rPr>
        <w:t>以结算单中载明的计算方式为准。</w:t>
      </w:r>
    </w:p>
    <w:p>
      <w:pPr>
        <w:numPr>
          <w:numId w:val="4"/>
        </w:numPr>
        <w:spacing w:before="120" w:after="120" w:line="288" w:lineRule="auto"/>
        <w:ind w:left="0"/>
        <w:jc w:val="left"/>
      </w:pPr>
      <w:r>
        <w:rPr>
          <w:rFonts w:eastAsia="等线" w:ascii="Arial" w:cs="Arial" w:hAnsi="Arial"/>
          <w:sz w:val="22"/>
          <w:u w:val="single"/>
        </w:rPr>
        <w:t>支付时间：</w:t>
      </w:r>
      <w:r>
        <w:rPr>
          <w:rFonts w:eastAsia="等线" w:ascii="Arial" w:cs="Arial" w:hAnsi="Arial"/>
          <w:sz w:val="22"/>
          <w:shd w:fill="bbbfc4"/>
        </w:rPr>
        <w:t>甲方应在收到客户所支付的全额款项并且收到媒体平台返点后的15个工作日内将居间费用支付至乙方指定的银行账户。</w:t>
      </w:r>
    </w:p>
    <w:p>
      <w:pPr>
        <w:spacing w:before="120" w:after="120" w:line="288" w:lineRule="auto"/>
        <w:ind w:left="0" w:firstLine="0"/>
        <w:jc w:val="left"/>
      </w:pPr>
      <w:r>
        <w:rPr>
          <w:rFonts w:eastAsia="等线" w:ascii="Arial" w:cs="Arial" w:hAnsi="Arial"/>
          <w:sz w:val="22"/>
          <w:u w:val="single"/>
        </w:rPr>
        <w:t>乙方指定收款账户信息如下：</w:t>
      </w:r>
      <w:r>
        <w:rPr>
          <w:rFonts w:eastAsia="等线" w:ascii="Arial" w:cs="Arial" w:hAnsi="Arial"/>
          <w:sz w:val="22"/>
        </w:rPr>
        <w:br/>
      </w:r>
      <w:r>
        <w:rPr>
          <w:rFonts w:eastAsia="等线" w:ascii="Arial" w:cs="Arial" w:hAnsi="Arial"/>
          <w:sz w:val="22"/>
          <w:u w:val="single"/>
        </w:rPr>
        <w:t xml:space="preserve">开户银行： </w:t>
      </w:r>
      <w:r>
        <w:rPr>
          <w:rFonts w:eastAsia="等线" w:ascii="Arial" w:cs="Arial" w:hAnsi="Arial"/>
          <w:sz w:val="22"/>
        </w:rPr>
        <w:br/>
      </w:r>
      <w:r>
        <w:rPr>
          <w:rFonts w:eastAsia="等线" w:ascii="Arial" w:cs="Arial" w:hAnsi="Arial"/>
          <w:sz w:val="22"/>
          <w:u w:val="single"/>
        </w:rPr>
        <w:t xml:space="preserve">银行账号： </w:t>
      </w:r>
      <w:r>
        <w:rPr>
          <w:rFonts w:eastAsia="等线" w:ascii="Arial" w:cs="Arial" w:hAnsi="Arial"/>
          <w:sz w:val="22"/>
        </w:rPr>
        <w:br/>
      </w:r>
      <w:r>
        <w:rPr>
          <w:rFonts w:eastAsia="等线" w:ascii="Arial" w:cs="Arial" w:hAnsi="Arial"/>
          <w:sz w:val="22"/>
          <w:u w:val="single"/>
        </w:rPr>
        <w:t xml:space="preserve">账户名称： </w:t>
      </w:r>
    </w:p>
    <w:p>
      <w:pPr>
        <w:spacing w:before="120" w:after="120" w:line="288" w:lineRule="auto"/>
        <w:ind w:left="0" w:firstLine="0"/>
        <w:jc w:val="left"/>
      </w:pPr>
      <w:r>
        <w:rPr>
          <w:rFonts w:eastAsia="等线" w:ascii="Arial" w:cs="Arial" w:hAnsi="Arial"/>
          <w:b w:val="true"/>
          <w:sz w:val="22"/>
        </w:rPr>
        <w:t>第四条 双方权利与义务</w:t>
      </w:r>
    </w:p>
    <w:p>
      <w:pPr>
        <w:numPr>
          <w:numId w:val="5"/>
        </w:numPr>
        <w:spacing w:before="120" w:after="120" w:line="288" w:lineRule="auto"/>
        <w:ind w:left="0"/>
        <w:jc w:val="left"/>
      </w:pPr>
      <w:r>
        <w:rPr>
          <w:rFonts w:eastAsia="等线" w:ascii="Arial" w:cs="Arial" w:hAnsi="Arial"/>
          <w:b w:val="true"/>
          <w:sz w:val="22"/>
        </w:rPr>
        <w:t>甲方权利与义务</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sz w:val="22"/>
          <w:u w:val="single"/>
          <w:shd w:fill="bbbfc4"/>
        </w:rPr>
        <w:t>居间成功的义务履行：</w:t>
      </w:r>
      <w:r>
        <w:rPr>
          <w:rFonts w:eastAsia="等线" w:ascii="Arial" w:cs="Arial" w:hAnsi="Arial"/>
          <w:sz w:val="22"/>
          <w:shd w:fill="bbbfc4"/>
        </w:rPr>
        <w:t>在乙方成功居间后，甲方与客户签署广告发布合同或达成其他形式的商业合作时，甲方将成为履行合同的唯一主体。甲方应负责履行与客户签署的合同中所列明的所有权利与义务，而这些权利义务与乙方无关。乙方作为居间人，其角色和职责限于促成甲方与客户之间的商务关系</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sz w:val="22"/>
          <w:u w:val="single"/>
        </w:rPr>
        <w:t>审核：</w:t>
      </w:r>
      <w:r>
        <w:rPr>
          <w:rFonts w:eastAsia="等线" w:ascii="Arial" w:cs="Arial" w:hAnsi="Arial"/>
          <w:sz w:val="22"/>
        </w:rPr>
        <w:t>有权对乙方推荐的客户进行独立审核和评估，对于不符合甲方业务要求或合作条件的客户，甲方有权拒绝与该客户合作，并无需向乙方支付相应的居间费用。</w:t>
      </w:r>
    </w:p>
    <w:p>
      <w:pPr>
        <w:numPr>
          <w:numId w:val="8"/>
        </w:numPr>
        <w:spacing w:before="120" w:after="120" w:line="288" w:lineRule="auto"/>
        <w:ind w:left="0"/>
        <w:jc w:val="left"/>
      </w:pPr>
      <w:r>
        <w:rPr>
          <w:rFonts w:eastAsia="等线" w:ascii="Arial" w:cs="Arial" w:hAnsi="Arial"/>
          <w:b w:val="true"/>
          <w:sz w:val="22"/>
        </w:rPr>
        <w:t>乙方权利与义务</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u w:val="single"/>
        </w:rPr>
        <w:t>提供需求信息与协助：</w:t>
      </w:r>
      <w:r>
        <w:rPr>
          <w:rFonts w:eastAsia="等线" w:ascii="Arial" w:cs="Arial" w:hAnsi="Arial"/>
          <w:sz w:val="22"/>
        </w:rPr>
        <w:t>有义务向甲方提供真实、准确、完整且有效的客户信息和推荐资料，并确保所推荐客户的合法性和合作意愿的真实性。有义务配合甲方进行必要的信息核实和沟通协调工作。</w:t>
      </w:r>
    </w:p>
    <w:p>
      <w:pPr>
        <w:numPr>
          <w:numId w:val="10"/>
        </w:numPr>
        <w:spacing w:before="120" w:after="120" w:line="288" w:lineRule="auto"/>
        <w:ind w:left="0"/>
        <w:jc w:val="left"/>
      </w:pPr>
      <w:r>
        <w:rPr>
          <w:rFonts w:eastAsia="等线" w:ascii="Arial" w:cs="Arial" w:hAnsi="Arial"/>
          <w:sz w:val="22"/>
          <w:u w:val="single"/>
          <w:shd w:fill="bbbfc4"/>
        </w:rPr>
        <w:t>协助收款义务：</w:t>
      </w:r>
      <w:r>
        <w:rPr>
          <w:rFonts w:eastAsia="等线" w:ascii="Arial" w:cs="Arial" w:hAnsi="Arial"/>
          <w:sz w:val="22"/>
          <w:shd w:fill="bbbfc4"/>
        </w:rPr>
        <w:t>乙方应积极履行对甲方应收账款回收的协助义务。这包括但不限于主动追踪客户的财务状况、及时向甲方反馈客户支付能力的变化信息、运用自身的渠道和资源向客户友好提醒付款义务，并在必要时配合甲方制定和实施有效的收款策略。</w:t>
      </w:r>
    </w:p>
    <w:p>
      <w:pPr>
        <w:numPr>
          <w:numId w:val="11"/>
        </w:numPr>
        <w:spacing w:before="120" w:after="120" w:line="288" w:lineRule="auto"/>
        <w:ind w:left="0"/>
        <w:jc w:val="left"/>
      </w:pPr>
      <w:r>
        <w:rPr>
          <w:rFonts w:eastAsia="等线" w:ascii="Arial" w:cs="Arial" w:hAnsi="Arial"/>
          <w:sz w:val="22"/>
          <w:u w:val="single"/>
        </w:rPr>
        <w:t>诚实守信：</w:t>
      </w:r>
      <w:r>
        <w:rPr>
          <w:rFonts w:eastAsia="等线" w:ascii="Arial" w:cs="Arial" w:hAnsi="Arial"/>
          <w:sz w:val="22"/>
        </w:rPr>
        <w:t>乙方在履行居间服务职责时，应当遵守诚实守信的原则，保证其提供的信息真实准确，不得有任何误导甲方或客户的行为。乙方应避免利用居间地位进行不正当竞争或从事任何可能损害甲方或客户利益的活动。</w:t>
      </w:r>
    </w:p>
    <w:p>
      <w:pPr>
        <w:numPr>
          <w:numId w:val="12"/>
        </w:numPr>
        <w:spacing w:before="120" w:after="120" w:line="288" w:lineRule="auto"/>
        <w:ind w:left="0"/>
        <w:jc w:val="left"/>
      </w:pPr>
      <w:r>
        <w:rPr>
          <w:rFonts w:eastAsia="等线" w:ascii="Arial" w:cs="Arial" w:hAnsi="Arial"/>
          <w:sz w:val="22"/>
          <w:u w:val="single"/>
        </w:rPr>
        <w:t>促成合作的费用承担：</w:t>
      </w:r>
      <w:r>
        <w:rPr>
          <w:rFonts w:eastAsia="等线" w:ascii="Arial" w:cs="Arial" w:hAnsi="Arial"/>
          <w:sz w:val="22"/>
        </w:rPr>
        <w:t>乙方应负责促成甲方与客户相关关系的建立，并自行承担其在与客户洽谈过程中产生的必要且合理的差旅、食宿等相关费用。必要且合理的费用应被理解为直接与居间服务相关的、正当的、符合行业标准的开销，包括但不限于交通费用、住宿费用以及与会谈直接相关的其他费用。乙方有权拒绝参与由甲方或客户提议的、被视为非必要的活动或承担额外开销。若甲方要求乙方参与此类活动，或因甲方的特别要求导致额外开销，甲方应负责承担这些额外开销。为避免争议，乙方在产生任何费用前应与甲方进行沟通，对费用的性质和必要性达成一致意见。</w:t>
      </w:r>
    </w:p>
    <w:p>
      <w:pPr>
        <w:numPr>
          <w:numId w:val="13"/>
        </w:numPr>
        <w:spacing w:before="120" w:after="120" w:line="288" w:lineRule="auto"/>
        <w:ind w:left="0"/>
        <w:jc w:val="left"/>
      </w:pPr>
      <w:r>
        <w:rPr>
          <w:rFonts w:eastAsia="等线" w:ascii="Arial" w:cs="Arial" w:hAnsi="Arial"/>
          <w:sz w:val="22"/>
          <w:u w:val="single"/>
        </w:rPr>
        <w:t>开具票据：</w:t>
      </w:r>
      <w:r>
        <w:rPr>
          <w:rFonts w:eastAsia="等线" w:ascii="Arial" w:cs="Arial" w:hAnsi="Arial"/>
          <w:sz w:val="22"/>
        </w:rPr>
        <w:t>乙方在收到甲方根据合同支付的居间报酬后，应向甲方开具正式的票据。</w:t>
      </w:r>
    </w:p>
    <w:p>
      <w:pPr>
        <w:numPr>
          <w:numId w:val="14"/>
        </w:numPr>
        <w:spacing w:before="120" w:after="120" w:line="288" w:lineRule="auto"/>
        <w:ind w:left="0"/>
        <w:jc w:val="left"/>
      </w:pPr>
      <w:r>
        <w:rPr>
          <w:rFonts w:eastAsia="等线" w:ascii="Arial" w:cs="Arial" w:hAnsi="Arial"/>
          <w:sz w:val="22"/>
          <w:u w:val="single"/>
        </w:rPr>
        <w:t>保密：</w:t>
      </w:r>
      <w:r>
        <w:rPr>
          <w:rFonts w:eastAsia="等线" w:ascii="Arial" w:cs="Arial" w:hAnsi="Arial"/>
          <w:sz w:val="22"/>
        </w:rPr>
        <w:t>对在合作过程中知悉的甲方商业秘密和业务信息严格保密，未经甲方书面同意，不得向任何第三方披露或用于其他任何目的。</w:t>
      </w:r>
    </w:p>
    <w:p>
      <w:pPr>
        <w:spacing w:before="120" w:after="120" w:line="288" w:lineRule="auto"/>
        <w:ind w:left="0" w:firstLine="0"/>
        <w:jc w:val="left"/>
      </w:pPr>
      <w:r>
        <w:rPr>
          <w:rFonts w:eastAsia="等线" w:ascii="Arial" w:cs="Arial" w:hAnsi="Arial"/>
          <w:b w:val="true"/>
          <w:sz w:val="22"/>
        </w:rPr>
        <w:t>第五条 违约责任</w:t>
      </w:r>
    </w:p>
    <w:p>
      <w:pPr>
        <w:numPr>
          <w:numId w:val="15"/>
        </w:numPr>
        <w:spacing w:before="120" w:after="120" w:line="288" w:lineRule="auto"/>
        <w:ind w:left="0"/>
        <w:jc w:val="left"/>
      </w:pPr>
      <w:r>
        <w:rPr>
          <w:rFonts w:eastAsia="等线" w:ascii="Arial" w:cs="Arial" w:hAnsi="Arial"/>
          <w:sz w:val="22"/>
          <w:u w:val="single"/>
        </w:rPr>
        <w:t>违约后果：</w:t>
      </w:r>
      <w:r>
        <w:rPr>
          <w:rFonts w:eastAsia="等线" w:ascii="Arial" w:cs="Arial" w:hAnsi="Arial"/>
          <w:sz w:val="22"/>
        </w:rPr>
        <w:t>任何一方未能履行本合同约定的义务，均构成违约。违约方应向守约方支付违约金，其金额为违约行为所引起的直接经济损失，除非另有约定。</w:t>
      </w:r>
    </w:p>
    <w:p>
      <w:pPr>
        <w:numPr>
          <w:numId w:val="16"/>
        </w:numPr>
        <w:spacing w:before="120" w:after="120" w:line="288" w:lineRule="auto"/>
        <w:ind w:left="0"/>
        <w:jc w:val="left"/>
      </w:pPr>
      <w:r>
        <w:rPr>
          <w:rFonts w:eastAsia="等线" w:ascii="Arial" w:cs="Arial" w:hAnsi="Arial"/>
          <w:sz w:val="22"/>
          <w:u w:val="single"/>
        </w:rPr>
        <w:t>串通行为视为违约：</w:t>
      </w:r>
      <w:r>
        <w:rPr>
          <w:rFonts w:eastAsia="等线" w:ascii="Arial" w:cs="Arial" w:hAnsi="Arial"/>
          <w:sz w:val="22"/>
        </w:rPr>
        <w:t>如果任一方与第三方串通，采取任何行为损害另一方的利益，包括但不限于故意降低交易条件、隐藏或歪曲事实信息、制造虚假的商务场景等，该行为将被视为严重违约。对于此类违约行为，违约方应赔偿受损方因此造成的全部直接和间接损失，并支付相当于该损失100%的额外赔偿金。</w:t>
      </w:r>
    </w:p>
    <w:p>
      <w:pPr>
        <w:spacing w:before="120" w:after="120" w:line="288" w:lineRule="auto"/>
        <w:ind w:left="0" w:firstLine="0"/>
        <w:jc w:val="left"/>
      </w:pPr>
      <w:r>
        <w:rPr>
          <w:rFonts w:eastAsia="等线" w:ascii="Arial" w:cs="Arial" w:hAnsi="Arial"/>
          <w:b w:val="true"/>
          <w:sz w:val="22"/>
        </w:rPr>
        <w:t>第六条 保密条款</w:t>
      </w:r>
    </w:p>
    <w:p>
      <w:pPr>
        <w:spacing w:before="120" w:after="120" w:line="288" w:lineRule="auto"/>
        <w:ind w:left="0" w:firstLine="420"/>
        <w:jc w:val="left"/>
      </w:pPr>
      <w:r>
        <w:rPr>
          <w:rFonts w:eastAsia="等线" w:ascii="Arial" w:cs="Arial" w:hAnsi="Arial"/>
          <w:sz w:val="22"/>
        </w:rPr>
        <w:t>甲方和乙方均应对在本合同签署和执行过程中获知的对方的商业秘密和机密信息（以下统称为“保密信息”）予以保密。保密信息包括但不限于技术资料、运营数据、商业策略、客户资料、合同条款等非公开信息。未经信息提供方书面同意，接收方不得将保密信息用于本合同目的之外的任何商业活动，也不得向任何第三方披露、传递或透露保密信息。若任一方违反保密义务，应对另一方因此遭受的所有损失承担赔偿责任。即便本合同终止，双方仍应严格遵守保密义务，直至保密信息进入公共领域，或按上述例外情况处理。</w:t>
      </w:r>
    </w:p>
    <w:p>
      <w:pPr>
        <w:spacing w:before="120" w:after="120" w:line="288" w:lineRule="auto"/>
        <w:ind w:left="0" w:firstLine="0"/>
        <w:jc w:val="left"/>
      </w:pPr>
      <w:r>
        <w:rPr>
          <w:rFonts w:eastAsia="等线" w:ascii="Arial" w:cs="Arial" w:hAnsi="Arial"/>
          <w:b w:val="true"/>
          <w:sz w:val="22"/>
        </w:rPr>
        <w:t>第七条 争议解决</w:t>
      </w:r>
    </w:p>
    <w:p>
      <w:pPr>
        <w:numPr>
          <w:numId w:val="17"/>
        </w:numPr>
        <w:spacing w:before="120" w:after="120" w:line="288" w:lineRule="auto"/>
        <w:ind w:left="0"/>
        <w:jc w:val="left"/>
      </w:pPr>
      <w:r>
        <w:rPr>
          <w:rFonts w:eastAsia="等线" w:ascii="Arial" w:cs="Arial" w:hAnsi="Arial"/>
          <w:sz w:val="22"/>
        </w:rPr>
        <w:t>双方在合同履行过程中如发生争议，应首先通过友好协商解决；协商不成的，任何一方均有权向甲方所在地有管辖权的人民法院提起诉讼。</w:t>
      </w:r>
    </w:p>
    <w:p>
      <w:pPr>
        <w:numPr>
          <w:numId w:val="18"/>
        </w:numPr>
        <w:spacing w:before="120" w:after="120" w:line="288" w:lineRule="auto"/>
        <w:ind w:left="0"/>
        <w:jc w:val="left"/>
      </w:pPr>
      <w:r>
        <w:rPr>
          <w:rFonts w:eastAsia="等线" w:ascii="Arial" w:cs="Arial" w:hAnsi="Arial"/>
          <w:sz w:val="22"/>
        </w:rPr>
        <w:t>诉讼期间，双方应继续履行本合同中不涉及争议的其他条款。</w:t>
      </w:r>
    </w:p>
    <w:p>
      <w:pPr>
        <w:spacing w:before="120" w:after="120" w:line="288" w:lineRule="auto"/>
        <w:ind w:left="0" w:firstLine="0"/>
        <w:jc w:val="left"/>
      </w:pPr>
      <w:r>
        <w:rPr>
          <w:rFonts w:eastAsia="等线" w:ascii="Arial" w:cs="Arial" w:hAnsi="Arial"/>
          <w:b w:val="true"/>
          <w:sz w:val="22"/>
        </w:rPr>
        <w:t>第八条 合同变更与终止</w:t>
      </w:r>
    </w:p>
    <w:p>
      <w:pPr>
        <w:numPr>
          <w:numId w:val="19"/>
        </w:numPr>
        <w:spacing w:before="120" w:after="120" w:line="288" w:lineRule="auto"/>
        <w:ind w:left="0"/>
        <w:jc w:val="left"/>
      </w:pPr>
      <w:r>
        <w:rPr>
          <w:rFonts w:eastAsia="等线" w:ascii="Arial" w:cs="Arial" w:hAnsi="Arial"/>
          <w:sz w:val="22"/>
        </w:rPr>
        <w:t>本合同的任何变更或补充需经双方书面协商一致，并签署相关的书面合同。</w:t>
      </w:r>
    </w:p>
    <w:p>
      <w:pPr>
        <w:numPr>
          <w:numId w:val="20"/>
        </w:numPr>
        <w:spacing w:before="120" w:after="120" w:line="288" w:lineRule="auto"/>
        <w:ind w:left="0"/>
        <w:jc w:val="left"/>
      </w:pPr>
      <w:r>
        <w:rPr>
          <w:rFonts w:eastAsia="等线" w:ascii="Arial" w:cs="Arial" w:hAnsi="Arial"/>
          <w:sz w:val="22"/>
        </w:rPr>
        <w:t>在以下情况下，本合同可提前终止：</w:t>
      </w:r>
    </w:p>
    <w:p>
      <w:pPr>
        <w:numPr>
          <w:numId w:val="21"/>
        </w:numPr>
        <w:spacing w:before="120" w:after="120" w:line="288" w:lineRule="auto"/>
        <w:ind w:left="0"/>
        <w:jc w:val="left"/>
      </w:pPr>
      <w:r>
        <w:rPr>
          <w:rFonts w:eastAsia="等线" w:ascii="Arial" w:cs="Arial" w:hAnsi="Arial"/>
          <w:sz w:val="22"/>
        </w:rPr>
        <w:t>双方协商一致同意终止。</w:t>
      </w:r>
    </w:p>
    <w:p>
      <w:pPr>
        <w:numPr>
          <w:numId w:val="22"/>
        </w:numPr>
        <w:spacing w:before="120" w:after="120" w:line="288" w:lineRule="auto"/>
        <w:ind w:left="0"/>
        <w:jc w:val="left"/>
      </w:pPr>
      <w:r>
        <w:rPr>
          <w:rFonts w:eastAsia="等线" w:ascii="Arial" w:cs="Arial" w:hAnsi="Arial"/>
          <w:sz w:val="22"/>
        </w:rPr>
        <w:t>一方违反本合同约定，另一方有权提前书面通知对方终止合同。</w:t>
      </w:r>
    </w:p>
    <w:p>
      <w:pPr>
        <w:spacing w:before="120" w:after="120" w:line="288" w:lineRule="auto"/>
        <w:ind w:left="0" w:firstLine="0"/>
        <w:jc w:val="left"/>
      </w:pPr>
      <w:r>
        <w:rPr>
          <w:rFonts w:eastAsia="等线" w:ascii="Arial" w:cs="Arial" w:hAnsi="Arial"/>
          <w:b w:val="true"/>
          <w:sz w:val="22"/>
        </w:rPr>
        <w:t>第九条 合同生效</w:t>
      </w:r>
    </w:p>
    <w:p>
      <w:pPr>
        <w:spacing w:before="120" w:after="120" w:line="288" w:lineRule="auto"/>
        <w:ind w:left="0" w:firstLine="420"/>
        <w:jc w:val="left"/>
      </w:pPr>
      <w:r>
        <w:rPr>
          <w:rFonts w:eastAsia="等线" w:ascii="Arial" w:cs="Arial" w:hAnsi="Arial"/>
          <w:sz w:val="22"/>
        </w:rPr>
        <w:t>本合同自双方签署之日起生效。本合同一式两份，甲乙双方各持一份，具有同等法律效力。</w:t>
      </w:r>
    </w:p>
    <w:p>
      <w:pPr>
        <w:spacing w:before="120" w:after="120" w:line="288" w:lineRule="auto"/>
        <w:ind w:left="0" w:firstLine="0"/>
        <w:jc w:val="left"/>
      </w:pPr>
      <w:r>
        <w:rPr>
          <w:rFonts w:eastAsia="等线" w:ascii="Arial" w:cs="Arial" w:hAnsi="Arial"/>
          <w:sz w:val="22"/>
        </w:rPr>
        <w:t>（以下无正文）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甲方（盖章）：</w:t>
      </w:r>
      <w:r>
        <w:rPr>
          <w:rFonts w:eastAsia="等线" w:ascii="Arial" w:cs="Arial" w:hAnsi="Arial"/>
          <w:sz w:val="22"/>
        </w:rPr>
        <w:br/>
      </w:r>
      <w:r>
        <w:rPr>
          <w:rFonts w:eastAsia="等线" w:ascii="Arial" w:cs="Arial" w:hAnsi="Arial"/>
          <w:b w:val="true"/>
          <w:sz w:val="22"/>
        </w:rPr>
        <w:t>法定代表人（签字）：_________</w:t>
      </w:r>
      <w:r>
        <w:rPr>
          <w:rFonts w:eastAsia="等线" w:ascii="Arial" w:cs="Arial" w:hAnsi="Arial"/>
          <w:sz w:val="22"/>
        </w:rPr>
        <w:br/>
      </w:r>
      <w:r>
        <w:rPr>
          <w:rFonts w:eastAsia="等线" w:ascii="Arial" w:cs="Arial" w:hAnsi="Arial"/>
          <w:b w:val="true"/>
          <w:sz w:val="22"/>
        </w:rPr>
        <w:t>日期：_________</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sz w:val="22"/>
        </w:rPr>
        <w:t>乙方（签字）：</w:t>
      </w:r>
      <w:r>
        <w:rPr>
          <w:rFonts w:eastAsia="等线" w:ascii="Arial" w:cs="Arial" w:hAnsi="Arial"/>
          <w:sz w:val="22"/>
        </w:rPr>
        <w:br/>
      </w:r>
      <w:r>
        <w:rPr>
          <w:rFonts w:eastAsia="等线" w:ascii="Arial" w:cs="Arial" w:hAnsi="Arial"/>
          <w:b w:val="true"/>
          <w:sz w:val="22"/>
        </w:rPr>
        <w:t>日期：_________</w:t>
      </w:r>
    </w:p>
    <w:p>
      <w:pPr>
        <w:pBdr>
          <w:bottom w:val="single" w:color="dee0e3"/>
          <w:between w:val="single" w:color="dee0e3"/>
        </w:pBdr>
        <w:spacing w:before="120" w:after="120" w:line="288" w:lineRule="auto"/>
        <w:ind w:left="0"/>
      </w:pPr>
    </w:p>
    <w:p>
      <w:pPr>
        <w:spacing w:before="120" w:after="120" w:line="288" w:lineRule="auto"/>
        <w:ind w:left="0" w:firstLine="420"/>
        <w:jc w:val="center"/>
      </w:pPr>
      <w:r>
        <w:rPr>
          <w:rFonts w:eastAsia="等线" w:ascii="Arial" w:cs="Arial" w:hAnsi="Arial"/>
          <w:b w:val="true"/>
          <w:sz w:val="22"/>
        </w:rPr>
        <w:t>居间结算单</w:t>
      </w:r>
    </w:p>
    <w:p>
      <w:pPr>
        <w:spacing w:before="120" w:after="120" w:line="288" w:lineRule="auto"/>
        <w:ind w:left="0" w:firstLine="420"/>
        <w:jc w:val="right"/>
      </w:pPr>
      <w:r>
        <w:rPr>
          <w:rFonts w:eastAsia="等线" w:ascii="Arial" w:cs="Arial" w:hAnsi="Arial"/>
          <w:sz w:val="22"/>
        </w:rPr>
        <w:t>编号：【】</w:t>
      </w: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鉴于：</w:t>
      </w:r>
    </w:p>
    <w:p>
      <w:pPr>
        <w:spacing w:before="120" w:after="120" w:line="288" w:lineRule="auto"/>
        <w:ind w:left="0" w:firstLine="420"/>
        <w:jc w:val="left"/>
      </w:pPr>
      <w:r>
        <w:rPr>
          <w:rFonts w:eastAsia="等线" w:ascii="Arial" w:cs="Arial" w:hAnsi="Arial"/>
          <w:sz w:val="22"/>
        </w:rPr>
        <w:t>甲方经乙方推荐，于【】年【】月【】日与【】（“客户”）签订了《广告发布合同》（编号：），约定由甲方在媒体平台上代客户投放广告，并获取媒体平台基于消费金额的返点收益。根据甲乙双方签订的《居间服务合同》（编号：），甲方向乙方支付居间费用明细如下：</w:t>
      </w:r>
    </w:p>
    <w:p>
      <w:pPr>
        <w:spacing w:before="120" w:after="120" w:line="288" w:lineRule="auto"/>
        <w:ind w:left="0" w:firstLine="0"/>
        <w:jc w:val="left"/>
      </w:pPr>
      <w:r>
        <w:rPr>
          <w:rFonts w:eastAsia="等线" w:ascii="Arial" w:cs="Arial" w:hAnsi="Arial"/>
          <w:b w:val="true"/>
          <w:sz w:val="22"/>
        </w:rPr>
        <w:t>结算周期：</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结算日期：</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1740"/>
        <w:gridCol w:w="1845"/>
        <w:gridCol w:w="1845"/>
        <w:gridCol w:w="184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序号</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客户名称</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合作金额（美元）</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返点金额（美元）</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居间费用（美元）</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740"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t>
            </w:r>
          </w:p>
        </w:tc>
        <w:tc>
          <w:tcPr>
            <w:tcW w:w="1740"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合计</w:t>
            </w:r>
          </w:p>
        </w:tc>
        <w:tc>
          <w:tcPr>
            <w:tcW w:w="1740"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c>
          <w:tcPr>
            <w:tcW w:w="184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甲方确认：</w:t>
      </w:r>
    </w:p>
    <w:p>
      <w:pPr>
        <w:spacing w:before="120" w:after="120" w:line="288" w:lineRule="auto"/>
        <w:ind w:left="0" w:firstLine="0"/>
        <w:jc w:val="left"/>
      </w:pPr>
      <w:r>
        <w:rPr>
          <w:rFonts w:eastAsia="等线" w:ascii="Arial" w:cs="Arial" w:hAnsi="Arial"/>
          <w:sz w:val="22"/>
        </w:rPr>
        <w:t>签字：_________</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sz w:val="22"/>
        </w:rPr>
        <w:t>乙方确认：</w:t>
      </w:r>
    </w:p>
    <w:p>
      <w:pPr>
        <w:spacing w:before="120" w:after="120" w:line="288" w:lineRule="auto"/>
        <w:ind w:left="0" w:firstLine="0"/>
        <w:jc w:val="left"/>
      </w:pPr>
      <w:r>
        <w:rPr>
          <w:rFonts w:eastAsia="等线" w:ascii="Arial" w:cs="Arial" w:hAnsi="Arial"/>
          <w:sz w:val="22"/>
        </w:rPr>
        <w:t>签字：_________</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41521">
    <w:lvl>
      <w:start w:val="1"/>
      <w:numFmt w:val="decimal"/>
      <w:suff w:val="tab"/>
      <w:lvlText w:val="%1."/>
      <w:rPr>
        <w:color w:val="3370ff"/>
      </w:rPr>
    </w:lvl>
  </w:abstractNum>
  <w:abstractNum w:abstractNumId="741522">
    <w:lvl>
      <w:start w:val="2"/>
      <w:numFmt w:val="decimal"/>
      <w:suff w:val="tab"/>
      <w:lvlText w:val="%1."/>
      <w:rPr>
        <w:color w:val="3370ff"/>
      </w:rPr>
    </w:lvl>
  </w:abstractNum>
  <w:abstractNum w:abstractNumId="741523">
    <w:lvl>
      <w:start w:val="3"/>
      <w:numFmt w:val="decimal"/>
      <w:suff w:val="tab"/>
      <w:lvlText w:val="%1."/>
      <w:rPr>
        <w:color w:val="3370ff"/>
      </w:rPr>
    </w:lvl>
  </w:abstractNum>
  <w:abstractNum w:abstractNumId="741524">
    <w:lvl>
      <w:start w:val="4"/>
      <w:numFmt w:val="decimal"/>
      <w:suff w:val="tab"/>
      <w:lvlText w:val="%1."/>
      <w:rPr>
        <w:color w:val="3370ff"/>
      </w:rPr>
    </w:lvl>
  </w:abstractNum>
  <w:abstractNum w:abstractNumId="741525">
    <w:lvl>
      <w:start w:val="1"/>
      <w:numFmt w:val="decimal"/>
      <w:suff w:val="tab"/>
      <w:lvlText w:val="%1."/>
      <w:rPr>
        <w:color w:val="3370ff"/>
      </w:rPr>
    </w:lvl>
  </w:abstractNum>
  <w:abstractNum w:abstractNumId="741526">
    <w:lvl>
      <w:start w:val="1"/>
      <w:numFmt w:val="decimal"/>
      <w:suff w:val="tab"/>
      <w:lvlText w:val="%1."/>
      <w:rPr>
        <w:color w:val="3370ff"/>
      </w:rPr>
    </w:lvl>
  </w:abstractNum>
  <w:abstractNum w:abstractNumId="741527">
    <w:lvl>
      <w:start w:val="2"/>
      <w:numFmt w:val="decimal"/>
      <w:suff w:val="tab"/>
      <w:lvlText w:val="%1."/>
      <w:rPr>
        <w:color w:val="3370ff"/>
      </w:rPr>
    </w:lvl>
  </w:abstractNum>
  <w:abstractNum w:abstractNumId="741528">
    <w:lvl>
      <w:start w:val="2"/>
      <w:numFmt w:val="decimal"/>
      <w:suff w:val="tab"/>
      <w:lvlText w:val="%1."/>
      <w:rPr>
        <w:color w:val="3370ff"/>
      </w:rPr>
    </w:lvl>
  </w:abstractNum>
  <w:abstractNum w:abstractNumId="741529">
    <w:lvl>
      <w:start w:val="1"/>
      <w:numFmt w:val="decimal"/>
      <w:suff w:val="tab"/>
      <w:lvlText w:val="%1."/>
      <w:rPr>
        <w:color w:val="3370ff"/>
      </w:rPr>
    </w:lvl>
  </w:abstractNum>
  <w:abstractNum w:abstractNumId="741530">
    <w:lvl>
      <w:start w:val="2"/>
      <w:numFmt w:val="decimal"/>
      <w:suff w:val="tab"/>
      <w:lvlText w:val="%1."/>
      <w:rPr>
        <w:color w:val="3370ff"/>
      </w:rPr>
    </w:lvl>
  </w:abstractNum>
  <w:abstractNum w:abstractNumId="741531">
    <w:lvl>
      <w:start w:val="3"/>
      <w:numFmt w:val="decimal"/>
      <w:suff w:val="tab"/>
      <w:lvlText w:val="%1."/>
      <w:rPr>
        <w:color w:val="3370ff"/>
      </w:rPr>
    </w:lvl>
  </w:abstractNum>
  <w:abstractNum w:abstractNumId="741532">
    <w:lvl>
      <w:start w:val="4"/>
      <w:numFmt w:val="decimal"/>
      <w:suff w:val="tab"/>
      <w:lvlText w:val="%1."/>
      <w:rPr>
        <w:color w:val="3370ff"/>
      </w:rPr>
    </w:lvl>
  </w:abstractNum>
  <w:abstractNum w:abstractNumId="741533">
    <w:lvl>
      <w:start w:val="5"/>
      <w:numFmt w:val="decimal"/>
      <w:suff w:val="tab"/>
      <w:lvlText w:val="%1."/>
      <w:rPr>
        <w:color w:val="3370ff"/>
      </w:rPr>
    </w:lvl>
  </w:abstractNum>
  <w:abstractNum w:abstractNumId="741534">
    <w:lvl>
      <w:start w:val="6"/>
      <w:numFmt w:val="decimal"/>
      <w:suff w:val="tab"/>
      <w:lvlText w:val="%1."/>
      <w:rPr>
        <w:color w:val="3370ff"/>
      </w:rPr>
    </w:lvl>
  </w:abstractNum>
  <w:abstractNum w:abstractNumId="741535">
    <w:lvl>
      <w:start w:val="1"/>
      <w:numFmt w:val="decimal"/>
      <w:suff w:val="tab"/>
      <w:lvlText w:val="%1."/>
      <w:rPr>
        <w:color w:val="3370ff"/>
      </w:rPr>
    </w:lvl>
  </w:abstractNum>
  <w:abstractNum w:abstractNumId="741536">
    <w:lvl>
      <w:start w:val="2"/>
      <w:numFmt w:val="decimal"/>
      <w:suff w:val="tab"/>
      <w:lvlText w:val="%1."/>
      <w:rPr>
        <w:color w:val="3370ff"/>
      </w:rPr>
    </w:lvl>
  </w:abstractNum>
  <w:abstractNum w:abstractNumId="741537">
    <w:lvl>
      <w:start w:val="1"/>
      <w:numFmt w:val="decimal"/>
      <w:suff w:val="tab"/>
      <w:lvlText w:val="%1."/>
      <w:rPr>
        <w:color w:val="3370ff"/>
      </w:rPr>
    </w:lvl>
  </w:abstractNum>
  <w:abstractNum w:abstractNumId="741538">
    <w:lvl>
      <w:start w:val="2"/>
      <w:numFmt w:val="decimal"/>
      <w:suff w:val="tab"/>
      <w:lvlText w:val="%1."/>
      <w:rPr>
        <w:color w:val="3370ff"/>
      </w:rPr>
    </w:lvl>
  </w:abstractNum>
  <w:abstractNum w:abstractNumId="741539">
    <w:lvl>
      <w:start w:val="1"/>
      <w:numFmt w:val="decimal"/>
      <w:suff w:val="tab"/>
      <w:lvlText w:val="%1."/>
      <w:rPr>
        <w:color w:val="3370ff"/>
      </w:rPr>
    </w:lvl>
  </w:abstractNum>
  <w:abstractNum w:abstractNumId="741540">
    <w:lvl>
      <w:start w:val="2"/>
      <w:numFmt w:val="decimal"/>
      <w:suff w:val="tab"/>
      <w:lvlText w:val="%1."/>
      <w:rPr>
        <w:color w:val="3370ff"/>
      </w:rPr>
    </w:lvl>
  </w:abstractNum>
  <w:abstractNum w:abstractNumId="741541">
    <w:lvl>
      <w:start w:val="1"/>
      <w:numFmt w:val="decimal"/>
      <w:suff w:val="tab"/>
      <w:lvlText w:val="%1."/>
      <w:rPr>
        <w:color w:val="3370ff"/>
      </w:rPr>
    </w:lvl>
  </w:abstractNum>
  <w:abstractNum w:abstractNumId="741542">
    <w:lvl>
      <w:start w:val="2"/>
      <w:numFmt w:val="decimal"/>
      <w:suff w:val="tab"/>
      <w:lvlText w:val="%1."/>
      <w:rPr>
        <w:color w:val="3370ff"/>
      </w:rPr>
    </w:lvl>
  </w:abstractNum>
  <w:num w:numId="1">
    <w:abstractNumId w:val="741521"/>
  </w:num>
  <w:num w:numId="2">
    <w:abstractNumId w:val="741522"/>
  </w:num>
  <w:num w:numId="3">
    <w:abstractNumId w:val="741523"/>
  </w:num>
  <w:num w:numId="4">
    <w:abstractNumId w:val="741524"/>
  </w:num>
  <w:num w:numId="5">
    <w:abstractNumId w:val="741525"/>
  </w:num>
  <w:num w:numId="6">
    <w:abstractNumId w:val="741526"/>
  </w:num>
  <w:num w:numId="7">
    <w:abstractNumId w:val="741527"/>
  </w:num>
  <w:num w:numId="8">
    <w:abstractNumId w:val="741528"/>
  </w:num>
  <w:num w:numId="9">
    <w:abstractNumId w:val="741529"/>
  </w:num>
  <w:num w:numId="10">
    <w:abstractNumId w:val="741530"/>
  </w:num>
  <w:num w:numId="11">
    <w:abstractNumId w:val="741531"/>
  </w:num>
  <w:num w:numId="12">
    <w:abstractNumId w:val="741532"/>
  </w:num>
  <w:num w:numId="13">
    <w:abstractNumId w:val="741533"/>
  </w:num>
  <w:num w:numId="14">
    <w:abstractNumId w:val="741534"/>
  </w:num>
  <w:num w:numId="15">
    <w:abstractNumId w:val="741535"/>
  </w:num>
  <w:num w:numId="16">
    <w:abstractNumId w:val="741536"/>
  </w:num>
  <w:num w:numId="17">
    <w:abstractNumId w:val="741537"/>
  </w:num>
  <w:num w:numId="18">
    <w:abstractNumId w:val="741538"/>
  </w:num>
  <w:num w:numId="19">
    <w:abstractNumId w:val="741539"/>
  </w:num>
  <w:num w:numId="20">
    <w:abstractNumId w:val="741540"/>
  </w:num>
  <w:num w:numId="21">
    <w:abstractNumId w:val="741541"/>
  </w:num>
  <w:num w:numId="22">
    <w:abstractNumId w:val="74154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2025-12-10T07:54:23Z</dcterms:created>
  <dc:creator>Apache POI</dc:creator>
</cp:coreProperties>
</file>