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整合营销服务主合同（含执行单）</w:t>
      </w:r>
    </w:p>
    <w:p>
      <w:pPr>
        <w:pStyle w:val="3"/>
        <w:spacing w:before="300" w:after="120" w:line="288" w:lineRule="auto"/>
        <w:ind w:left="0"/>
        <w:jc w:val="center"/>
        <w:outlineLvl w:val="2"/>
      </w:pPr>
      <w:bookmarkStart w:name="heading_0" w:id="0"/>
      <w:r>
        <w:rPr>
          <w:rFonts w:eastAsia="等线" w:ascii="Arial" w:cs="Arial" w:hAnsi="Arial"/>
          <w:b w:val="true"/>
          <w:sz w:val="30"/>
        </w:rPr>
        <w:t>整合营销服务合同</w:t>
      </w:r>
      <w:bookmarkEnd w:id="0"/>
    </w:p>
    <w:p>
      <w:pPr>
        <w:spacing w:before="120" w:after="120" w:line="288" w:lineRule="auto"/>
        <w:ind w:left="0" w:firstLine="420"/>
        <w:jc w:val="right"/>
      </w:pPr>
      <w:r>
        <w:rPr>
          <w:rFonts w:eastAsia="等线" w:ascii="Arial" w:cs="Arial" w:hAnsi="Arial"/>
          <w:sz w:val="22"/>
        </w:rPr>
        <w:t>甲方合同编号:【】</w:t>
      </w:r>
    </w:p>
    <w:p>
      <w:pPr>
        <w:spacing w:before="120" w:after="120" w:line="288" w:lineRule="auto"/>
        <w:ind w:left="0" w:firstLine="420"/>
        <w:jc w:val="right"/>
      </w:pPr>
      <w:r>
        <w:rPr>
          <w:rFonts w:eastAsia="等线" w:ascii="Arial" w:cs="Arial" w:hAnsi="Arial"/>
          <w:sz w:val="22"/>
        </w:rPr>
        <w:t>乙方合同编号:【】</w:t>
      </w:r>
    </w:p>
    <w:p>
      <w:pPr>
        <w:spacing w:before="120" w:after="120" w:line="288" w:lineRule="auto"/>
        <w:ind w:left="0" w:firstLine="420"/>
        <w:jc w:val="right"/>
      </w:pPr>
      <w:r>
        <w:rPr>
          <w:rFonts w:eastAsia="等线" w:ascii="Arial" w:cs="Arial" w:hAnsi="Arial"/>
          <w:sz w:val="22"/>
        </w:rPr>
        <w:t>合同签订日期:【】</w:t>
      </w:r>
    </w:p>
    <w:p>
      <w:pPr>
        <w:spacing w:before="120" w:after="120" w:line="288" w:lineRule="auto"/>
        <w:ind w:left="0" w:firstLine="420"/>
        <w:jc w:val="right"/>
      </w:pPr>
      <w:r>
        <w:rPr>
          <w:rFonts w:eastAsia="等线" w:ascii="Arial" w:cs="Arial" w:hAnsi="Arial"/>
          <w:sz w:val="22"/>
        </w:rPr>
        <w:t>签订地：北京市朝阳区</w:t>
      </w:r>
    </w:p>
    <w:p>
      <w:pPr>
        <w:spacing w:before="120" w:after="120" w:line="288" w:lineRule="auto"/>
        <w:ind w:left="0" w:firstLine="420"/>
        <w:jc w:val="left"/>
      </w:pPr>
      <w:r>
        <w:rPr>
          <w:rFonts w:eastAsia="等线" w:ascii="Arial" w:cs="Arial" w:hAnsi="Arial"/>
          <w:sz w:val="22"/>
        </w:rPr>
        <w:t>甲方：【】</w:t>
      </w:r>
    </w:p>
    <w:p>
      <w:pPr>
        <w:spacing w:before="120" w:after="120" w:line="288" w:lineRule="auto"/>
        <w:ind w:left="0" w:firstLine="420"/>
        <w:jc w:val="left"/>
      </w:pPr>
      <w:r>
        <w:rPr>
          <w:rFonts w:eastAsia="等线" w:ascii="Arial" w:cs="Arial" w:hAnsi="Arial"/>
          <w:sz w:val="22"/>
        </w:rPr>
        <w:t>法定代表人：【】</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乙方：【】</w:t>
      </w:r>
    </w:p>
    <w:p>
      <w:pPr>
        <w:spacing w:before="120" w:after="120" w:line="288" w:lineRule="auto"/>
        <w:ind w:left="0" w:firstLine="420"/>
        <w:jc w:val="left"/>
      </w:pPr>
      <w:r>
        <w:rPr>
          <w:rFonts w:eastAsia="等线" w:ascii="Arial" w:cs="Arial" w:hAnsi="Arial"/>
          <w:sz w:val="22"/>
        </w:rPr>
        <w:t xml:space="preserve">法定代表人：【】 </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为宣传自己的产品和企业形象，甲方特此授权乙方在本合同期限内为其在中华人民共和国境外提供【整合营销服务】事宜。故甲、乙双方本着平等、自愿的原则，经友好协商，就双方之合作达成本合同，以资双方共同遵守。</w:t>
      </w:r>
    </w:p>
    <w:p>
      <w:pPr>
        <w:numPr>
          <w:numId w:val="1"/>
        </w:numPr>
        <w:spacing w:before="120" w:after="120" w:line="288" w:lineRule="auto"/>
        <w:ind w:left="0"/>
        <w:jc w:val="left"/>
      </w:pPr>
      <w:r>
        <w:rPr>
          <w:rFonts w:eastAsia="等线" w:ascii="Arial" w:cs="Arial" w:hAnsi="Arial"/>
          <w:b w:val="true"/>
          <w:sz w:val="22"/>
        </w:rPr>
        <w:t>声明及保证</w:t>
      </w:r>
    </w:p>
    <w:p>
      <w:pPr>
        <w:spacing w:before="120" w:after="120" w:line="288" w:lineRule="auto"/>
        <w:ind w:left="0" w:firstLine="420"/>
        <w:jc w:val="left"/>
      </w:pPr>
      <w:r>
        <w:rPr>
          <w:rFonts w:eastAsia="等线" w:ascii="Arial" w:cs="Arial" w:hAnsi="Arial"/>
          <w:sz w:val="22"/>
        </w:rPr>
        <w:t>双方均声明及保证，自本合同生效之日起：</w:t>
      </w:r>
    </w:p>
    <w:p>
      <w:pPr>
        <w:numPr>
          <w:numId w:val="2"/>
        </w:numPr>
        <w:spacing w:before="120" w:after="120" w:line="288" w:lineRule="auto"/>
        <w:ind w:left="453"/>
        <w:jc w:val="left"/>
      </w:pPr>
      <w:r>
        <w:rPr>
          <w:rFonts w:eastAsia="等线" w:ascii="Arial" w:cs="Arial" w:hAnsi="Arial"/>
          <w:sz w:val="22"/>
        </w:rPr>
        <w:t>有资格签署本合同并完成本合同项下之交易，而该等交易符合其经营范围之规定。</w:t>
      </w:r>
    </w:p>
    <w:p>
      <w:pPr>
        <w:numPr>
          <w:numId w:val="3"/>
        </w:numPr>
        <w:spacing w:before="120" w:after="120" w:line="288" w:lineRule="auto"/>
        <w:ind w:left="453"/>
        <w:jc w:val="left"/>
      </w:pPr>
      <w:r>
        <w:rPr>
          <w:rFonts w:eastAsia="等线" w:ascii="Arial" w:cs="Arial" w:hAnsi="Arial"/>
          <w:sz w:val="22"/>
        </w:rPr>
        <w:t>本合同14.2条所列联系人代表拥有充分授权，代表其就本合同、《执行单》或其他形式订单与对方进行签约、沟通、变更等相关行为。</w:t>
      </w:r>
    </w:p>
    <w:p>
      <w:pPr>
        <w:numPr>
          <w:numId w:val="4"/>
        </w:numPr>
        <w:spacing w:before="120" w:after="120" w:line="288" w:lineRule="auto"/>
        <w:ind w:left="453"/>
        <w:jc w:val="left"/>
      </w:pPr>
      <w:r>
        <w:rPr>
          <w:rFonts w:eastAsia="等线" w:ascii="Arial" w:cs="Arial" w:hAnsi="Arial"/>
          <w:sz w:val="22"/>
        </w:rPr>
        <w:t>甲、乙双方各自关联公司以自己名义与对方签署或履行合同的行为均适用本合同规定，受本合同约束。具体关联公司的名单，以双方另行确认或被关联方的联系人给对方的通知为准。</w:t>
      </w:r>
    </w:p>
    <w:p>
      <w:pPr>
        <w:numPr>
          <w:numId w:val="5"/>
        </w:numPr>
        <w:spacing w:before="120" w:after="120" w:line="288" w:lineRule="auto"/>
        <w:ind w:left="453"/>
        <w:jc w:val="left"/>
      </w:pPr>
      <w:r>
        <w:rPr>
          <w:rFonts w:eastAsia="等线" w:ascii="Arial" w:cs="Arial" w:hAnsi="Arial"/>
          <w:sz w:val="22"/>
          <w:shd w:fill="ffe928"/>
        </w:rPr>
        <w:t>乙方保证所提供的服务及可交付物不违反现行的法律法规，不侵犯任何第三方的合法权益。乙方应采取包括起诉、应诉、上诉以及申诉在内的一切措施保护甲方的利益，以便甲方免于其因乙方所提供的服务或可交付物而引起对第三方的侵权责任，由此产生的损失、费用及赔偿责任由乙方独自承担。甲方应保证提供给乙方投放的资料、文件、素材或其他交付物不违反现行的法律法规，不侵犯任何第三方的合法权益，否则甲方有权同样采取上述措施使得乙方免除责任和损失。</w:t>
      </w:r>
    </w:p>
    <w:p>
      <w:pPr>
        <w:numPr>
          <w:numId w:val="6"/>
        </w:numPr>
        <w:spacing w:before="120" w:after="120" w:line="288" w:lineRule="auto"/>
        <w:ind w:left="453"/>
        <w:jc w:val="left"/>
      </w:pPr>
      <w:r>
        <w:rPr>
          <w:rFonts w:eastAsia="等线" w:ascii="Arial" w:cs="Arial" w:hAnsi="Arial"/>
          <w:sz w:val="22"/>
        </w:rPr>
        <w:t>双方均知悉，如未另行约定，双方合作所签署的一切文件中所称“法律法规”均指中华人民共和国大陆地区法律法规，所有日期均指公历日。</w:t>
      </w:r>
    </w:p>
    <w:p>
      <w:pPr>
        <w:numPr>
          <w:numId w:val="7"/>
        </w:numPr>
        <w:spacing w:before="120" w:after="120" w:line="288" w:lineRule="auto"/>
        <w:ind w:left="453"/>
        <w:jc w:val="left"/>
      </w:pPr>
      <w:r>
        <w:rPr>
          <w:rFonts w:eastAsia="等线" w:ascii="Arial" w:cs="Arial" w:hAnsi="Arial"/>
          <w:sz w:val="22"/>
        </w:rPr>
        <w:t>除双方另有约定外，所有本合同项下的支付以【美金】货币为准。</w:t>
      </w:r>
    </w:p>
    <w:p>
      <w:pPr>
        <w:numPr>
          <w:numId w:val="8"/>
        </w:numPr>
        <w:spacing w:before="120" w:after="120" w:line="288" w:lineRule="auto"/>
        <w:ind w:left="453"/>
        <w:jc w:val="left"/>
      </w:pPr>
      <w:r>
        <w:rPr>
          <w:rFonts w:eastAsia="等线" w:ascii="Arial" w:cs="Arial" w:hAnsi="Arial"/>
          <w:sz w:val="22"/>
        </w:rPr>
        <w:t>因签署本合同而产生的由政府根据有关法律征收的由各方承担的税费将由各方自行负责支付。</w:t>
      </w:r>
    </w:p>
    <w:p>
      <w:pPr>
        <w:numPr>
          <w:numId w:val="9"/>
        </w:numPr>
        <w:spacing w:before="120" w:after="120" w:line="288" w:lineRule="auto"/>
        <w:ind w:left="453"/>
        <w:jc w:val="left"/>
      </w:pPr>
      <w:r>
        <w:rPr>
          <w:rFonts w:eastAsia="等线" w:ascii="Arial" w:cs="Arial" w:hAnsi="Arial"/>
          <w:sz w:val="22"/>
        </w:rPr>
        <w:t>如遇国家税率调整，以当前未税金额为准，根据最新税率，重新核算含税合同金额，并按照最新含税合同金额继续执行本合同。</w:t>
      </w:r>
    </w:p>
    <w:p>
      <w:pPr>
        <w:numPr>
          <w:numId w:val="10"/>
        </w:numPr>
        <w:spacing w:before="120" w:after="120" w:line="288" w:lineRule="auto"/>
        <w:ind w:left="453"/>
        <w:jc w:val="left"/>
      </w:pPr>
    </w:p>
    <w:p>
      <w:pPr>
        <w:numPr>
          <w:numId w:val="11"/>
        </w:numPr>
        <w:spacing w:before="120" w:after="120" w:line="288" w:lineRule="auto"/>
        <w:ind w:left="907"/>
        <w:jc w:val="left"/>
      </w:pPr>
      <w:r>
        <w:rPr>
          <w:rFonts w:eastAsia="等线" w:ascii="Arial" w:cs="Arial" w:hAnsi="Arial"/>
          <w:b w:val="true"/>
          <w:sz w:val="22"/>
        </w:rPr>
        <w:t>合作范围</w:t>
      </w:r>
    </w:p>
    <w:p>
      <w:pPr>
        <w:numPr>
          <w:numId w:val="12"/>
        </w:numPr>
        <w:spacing w:before="120" w:after="120" w:line="288" w:lineRule="auto"/>
        <w:ind w:left="1360"/>
        <w:jc w:val="left"/>
      </w:pPr>
      <w:r>
        <w:rPr>
          <w:rFonts w:eastAsia="等线" w:ascii="Arial" w:cs="Arial" w:hAnsi="Arial"/>
          <w:sz w:val="22"/>
        </w:rPr>
        <w:t>甲方委托乙方就其产品【】的推广，为其甲方提供【】方面的专业服务，即【】/【】/【】/（以下统一称“整合营销服务”）。具体合作内容和方式以本合同有效期内双方签订的单笔订单为准。订单包括但不限于《执行单》（下称《执行单》）、电子邮件、传真等一切可以起到订单作用的形式。本合同期限内双方如有除本条约定产品以外的其他追加产品合作，双方应当另行签订补充协议予以确认。</w:t>
      </w:r>
    </w:p>
    <w:p>
      <w:pPr>
        <w:numPr>
          <w:numId w:val="13"/>
        </w:numPr>
        <w:spacing w:before="120" w:after="120" w:line="288" w:lineRule="auto"/>
        <w:ind w:left="907"/>
        <w:jc w:val="left"/>
      </w:pPr>
      <w:r>
        <w:rPr>
          <w:rFonts w:eastAsia="等线" w:ascii="Arial" w:cs="Arial" w:hAnsi="Arial"/>
          <w:b w:val="true"/>
          <w:sz w:val="22"/>
        </w:rPr>
        <w:t>合同结构</w:t>
      </w:r>
    </w:p>
    <w:p>
      <w:pPr>
        <w:numPr>
          <w:numId w:val="14"/>
        </w:numPr>
        <w:spacing w:before="120" w:after="120" w:line="288" w:lineRule="auto"/>
        <w:ind w:left="1360"/>
        <w:jc w:val="left"/>
      </w:pPr>
      <w:r>
        <w:rPr>
          <w:rFonts w:eastAsia="等线" w:ascii="Arial" w:cs="Arial" w:hAnsi="Arial"/>
          <w:sz w:val="22"/>
        </w:rPr>
        <w:t>本合同，依本合同签署的《执行单》，以及据本合同或、《执行单》制定的任何补充附件、任何形式的采购订单、通知文件、有效联系人沟通邮件等，共同构成双方就合作事宜达成的完整合同。</w:t>
      </w:r>
    </w:p>
    <w:p>
      <w:pPr>
        <w:numPr>
          <w:numId w:val="15"/>
        </w:numPr>
        <w:spacing w:before="120" w:after="120" w:line="288" w:lineRule="auto"/>
        <w:ind w:left="1360"/>
        <w:jc w:val="left"/>
      </w:pPr>
      <w:r>
        <w:rPr>
          <w:rFonts w:eastAsia="等线" w:ascii="Arial" w:cs="Arial" w:hAnsi="Arial"/>
          <w:sz w:val="22"/>
        </w:rPr>
        <w:t>本合同和《执行单》或订单、补充协议等文件的相关条款的适用顺序为：（1）有效联系人的沟通文件：（2）相关的《执行单》或订单；（3）本合同的补充协议；（4）本合同；（5）双方签署的其他文件。</w:t>
      </w:r>
    </w:p>
    <w:p>
      <w:pPr>
        <w:numPr>
          <w:numId w:val="16"/>
        </w:numPr>
        <w:spacing w:before="120" w:after="120" w:line="288" w:lineRule="auto"/>
        <w:ind w:left="1360"/>
        <w:jc w:val="left"/>
      </w:pPr>
      <w:r>
        <w:rPr>
          <w:rFonts w:eastAsia="等线" w:ascii="Arial" w:cs="Arial" w:hAnsi="Arial"/>
          <w:sz w:val="22"/>
        </w:rPr>
        <w:t>基于本合同签署的每个《执行单》或订单是相互分离的交易，各自单独结算。</w:t>
      </w:r>
    </w:p>
    <w:p>
      <w:pPr>
        <w:numPr>
          <w:numId w:val="17"/>
        </w:numPr>
        <w:spacing w:before="120" w:after="120" w:line="288" w:lineRule="auto"/>
        <w:ind w:left="907"/>
        <w:jc w:val="left"/>
      </w:pPr>
      <w:r>
        <w:rPr>
          <w:rFonts w:eastAsia="等线" w:ascii="Arial" w:cs="Arial" w:hAnsi="Arial"/>
          <w:b w:val="true"/>
          <w:sz w:val="22"/>
        </w:rPr>
        <w:t>合作期限及履行</w:t>
      </w:r>
    </w:p>
    <w:p>
      <w:pPr>
        <w:numPr>
          <w:numId w:val="18"/>
        </w:numPr>
        <w:spacing w:before="120" w:after="120" w:line="288" w:lineRule="auto"/>
        <w:ind w:left="1360"/>
        <w:jc w:val="left"/>
      </w:pPr>
      <w:r>
        <w:rPr>
          <w:rFonts w:eastAsia="等线" w:ascii="Arial" w:cs="Arial" w:hAnsi="Arial"/>
          <w:sz w:val="22"/>
        </w:rPr>
        <w:t>本合同在甲、乙双方签章后生效，有效期自【】年【】月【】日起，至【】年【】月【】日止；《执行单》或订单在甲、乙双方盖章或授权签约代表以书面形式（包括电子邮件、传真）确认后生效，有效联系人及联系方式见本合同14.2条。</w:t>
      </w:r>
    </w:p>
    <w:p>
      <w:pPr>
        <w:numPr>
          <w:numId w:val="19"/>
        </w:numPr>
        <w:spacing w:before="120" w:after="120" w:line="288" w:lineRule="auto"/>
        <w:ind w:left="1360"/>
        <w:jc w:val="left"/>
      </w:pPr>
      <w:r>
        <w:rPr>
          <w:rFonts w:eastAsia="等线" w:ascii="Arial" w:cs="Arial" w:hAnsi="Arial"/>
          <w:sz w:val="22"/>
        </w:rPr>
        <w:t>双方可通过以下任一方式变更本合同日常服务联系人：</w:t>
      </w:r>
    </w:p>
    <w:p>
      <w:pPr>
        <w:spacing w:before="120" w:after="120" w:line="288" w:lineRule="auto"/>
        <w:ind w:left="0" w:firstLine="420"/>
        <w:jc w:val="left"/>
      </w:pPr>
      <w:r>
        <w:rPr>
          <w:rFonts w:eastAsia="等线" w:ascii="Arial" w:cs="Arial" w:hAnsi="Arial"/>
          <w:sz w:val="22"/>
        </w:rPr>
        <w:t>（1）变更方以书面通知（应签章）的方式告知对方的；</w:t>
      </w:r>
    </w:p>
    <w:p>
      <w:pPr>
        <w:spacing w:before="120" w:after="120" w:line="288" w:lineRule="auto"/>
        <w:ind w:left="0" w:firstLine="420"/>
        <w:jc w:val="left"/>
      </w:pPr>
      <w:r>
        <w:rPr>
          <w:rFonts w:eastAsia="等线" w:ascii="Arial" w:cs="Arial" w:hAnsi="Arial"/>
          <w:sz w:val="22"/>
        </w:rPr>
        <w:t>（2）变更方原日常服务人以任何形式的书面通知方式告知对方的。</w:t>
      </w:r>
    </w:p>
    <w:p>
      <w:pPr>
        <w:numPr>
          <w:numId w:val="20"/>
        </w:numPr>
        <w:spacing w:before="120" w:after="120" w:line="288" w:lineRule="auto"/>
        <w:ind w:left="0"/>
        <w:jc w:val="left"/>
      </w:pPr>
      <w:r>
        <w:rPr>
          <w:rFonts w:eastAsia="等线" w:ascii="Arial" w:cs="Arial" w:hAnsi="Arial"/>
          <w:sz w:val="22"/>
        </w:rPr>
        <w:t>本合同期限届满时，甲乙双方尚存有效《执行单》或订单未履行完毕的，本合同相关法律条款仍然有效至前述《执行单》或订单履行完毕之日止。</w:t>
      </w:r>
    </w:p>
    <w:p>
      <w:pPr>
        <w:numPr>
          <w:numId w:val="21"/>
        </w:numPr>
        <w:spacing w:before="120" w:after="120" w:line="288" w:lineRule="auto"/>
        <w:ind w:left="0"/>
        <w:jc w:val="left"/>
      </w:pPr>
      <w:r>
        <w:rPr>
          <w:rFonts w:eastAsia="等线" w:ascii="Arial" w:cs="Arial" w:hAnsi="Arial"/>
          <w:sz w:val="22"/>
        </w:rPr>
        <w:t>乙方在完成本合同或订单所列服务内容过程中，如果甲方指定特定方作为乙方供应商的，应当以书面或邮件方式向乙方明确指出。乙方供应商为甲方指定的情况下，乙方仅承担因疏于协调供应商工作而产生的法律责任，而不对该甲方指定供应商的工作水平、服务标准和非因乙方原因造成的履行瑕疵承担责任。</w:t>
      </w:r>
    </w:p>
    <w:p>
      <w:pPr>
        <w:numPr>
          <w:numId w:val="22"/>
        </w:numPr>
        <w:spacing w:before="120" w:after="120" w:line="288" w:lineRule="auto"/>
        <w:ind w:left="0"/>
        <w:jc w:val="left"/>
      </w:pPr>
      <w:r>
        <w:rPr>
          <w:rFonts w:eastAsia="等线" w:ascii="Arial" w:cs="Arial" w:hAnsi="Arial"/>
          <w:b w:val="true"/>
          <w:sz w:val="22"/>
        </w:rPr>
        <w:t>费用及付费方式</w:t>
      </w:r>
    </w:p>
    <w:p>
      <w:pPr>
        <w:numPr>
          <w:numId w:val="23"/>
        </w:numPr>
        <w:spacing w:before="120" w:after="120" w:line="288" w:lineRule="auto"/>
        <w:ind w:left="453"/>
        <w:jc w:val="left"/>
      </w:pPr>
      <w:r>
        <w:rPr>
          <w:rFonts w:eastAsia="等线" w:ascii="Arial" w:cs="Arial" w:hAnsi="Arial"/>
          <w:sz w:val="22"/>
        </w:rPr>
        <w:t>本合同的服务费标准及支付时间采取以下第【】种方式：</w:t>
      </w:r>
    </w:p>
    <w:p>
      <w:pPr>
        <w:spacing w:before="120" w:after="120" w:line="288" w:lineRule="auto"/>
        <w:ind w:left="0" w:firstLine="420"/>
        <w:jc w:val="left"/>
      </w:pPr>
      <w:r>
        <w:rPr>
          <w:rFonts w:eastAsia="等线" w:ascii="Arial" w:cs="Arial" w:hAnsi="Arial"/>
          <w:sz w:val="22"/>
        </w:rPr>
        <w:t xml:space="preserve">  (1)预付款</w:t>
      </w:r>
    </w:p>
    <w:p>
      <w:pPr>
        <w:spacing w:before="120" w:after="120" w:line="288" w:lineRule="auto"/>
        <w:ind w:left="0" w:firstLine="420"/>
        <w:jc w:val="left"/>
      </w:pPr>
      <w:r>
        <w:rPr>
          <w:rFonts w:eastAsia="等线" w:ascii="Arial" w:cs="Arial" w:hAnsi="Arial"/>
          <w:sz w:val="22"/>
        </w:rPr>
        <w:t>甲方应按照双方约定的时间将费用（该费用包含服务费用）支付至乙方指定账户，乙方收到相关款项后开启服务。乙方为甲方开具同等金额的发票。</w:t>
      </w:r>
    </w:p>
    <w:p>
      <w:pPr>
        <w:numPr>
          <w:numId w:val="24"/>
        </w:numPr>
        <w:spacing w:before="120" w:after="120" w:line="288" w:lineRule="auto"/>
        <w:ind w:left="0"/>
        <w:jc w:val="left"/>
      </w:pPr>
      <w:r>
        <w:rPr>
          <w:rFonts w:eastAsia="等线" w:ascii="Arial" w:cs="Arial" w:hAnsi="Arial"/>
          <w:sz w:val="22"/>
        </w:rPr>
        <w:t>后付款</w:t>
      </w:r>
    </w:p>
    <w:p>
      <w:pPr>
        <w:spacing w:before="120" w:after="120" w:line="288" w:lineRule="auto"/>
        <w:ind w:left="0" w:firstLine="420"/>
        <w:jc w:val="left"/>
      </w:pPr>
      <w:r>
        <w:rPr>
          <w:rFonts w:eastAsia="等线" w:ascii="Arial" w:cs="Arial" w:hAnsi="Arial"/>
          <w:sz w:val="22"/>
        </w:rPr>
        <w:t>甲方应在每单项服务或每单笔信息发布执行完成后向甲方发起验收结算对账，客户须在收到执行成果或对账单后【2】个工作日内验收或对账，逾期未提出异议视为验收或对账通过，甲方需在收到乙方提供的发票后【15】个自然日内，向乙方支付项目款项。</w:t>
      </w:r>
    </w:p>
    <w:p>
      <w:pPr>
        <w:spacing w:before="120" w:after="120" w:line="288" w:lineRule="auto"/>
        <w:ind w:left="0" w:firstLine="420"/>
        <w:jc w:val="left"/>
      </w:pPr>
    </w:p>
    <w:p>
      <w:pPr>
        <w:numPr>
          <w:numId w:val="25"/>
        </w:numPr>
        <w:spacing w:before="120" w:after="120" w:line="288" w:lineRule="auto"/>
        <w:ind w:left="0"/>
        <w:jc w:val="left"/>
      </w:pPr>
      <w:r>
        <w:rPr>
          <w:rFonts w:eastAsia="等线" w:ascii="Arial" w:cs="Arial" w:hAnsi="Arial"/>
          <w:sz w:val="22"/>
        </w:rPr>
        <w:t>月度服务费</w:t>
      </w:r>
    </w:p>
    <w:p>
      <w:pPr>
        <w:spacing w:before="120" w:after="120" w:line="288" w:lineRule="auto"/>
        <w:ind w:left="0" w:firstLine="420"/>
        <w:jc w:val="left"/>
      </w:pPr>
      <w:r>
        <w:rPr>
          <w:rFonts w:eastAsia="等线" w:ascii="Arial" w:cs="Arial" w:hAnsi="Arial"/>
          <w:sz w:val="22"/>
        </w:rPr>
        <w:t>服务费金额为每月度RMB【】元（小写：¥【】），本合同期内的总服务费为RMB【】元（小写：¥【】），甲方应当于每月度的前【】个工作日内向乙方一次性支付上月度服务费。</w:t>
      </w:r>
    </w:p>
    <w:p>
      <w:pPr>
        <w:spacing w:before="120" w:after="120" w:line="288" w:lineRule="auto"/>
        <w:ind w:left="0" w:firstLine="420"/>
        <w:jc w:val="left"/>
      </w:pPr>
    </w:p>
    <w:p>
      <w:pPr>
        <w:numPr>
          <w:numId w:val="26"/>
        </w:numPr>
        <w:spacing w:before="120" w:after="120" w:line="288" w:lineRule="auto"/>
        <w:ind w:left="453"/>
        <w:jc w:val="left"/>
      </w:pPr>
      <w:r>
        <w:rPr>
          <w:rFonts w:eastAsia="等线" w:ascii="Arial" w:cs="Arial" w:hAnsi="Arial"/>
          <w:sz w:val="22"/>
        </w:rPr>
        <w:t>支付方式：甲方应采用银行转账或电汇的方式将上述费用支付至乙方以下指定账户：</w:t>
      </w:r>
    </w:p>
    <w:p>
      <w:pPr>
        <w:spacing w:before="120" w:after="120" w:line="288" w:lineRule="auto"/>
        <w:ind w:left="0" w:firstLine="420"/>
        <w:jc w:val="left"/>
      </w:pPr>
      <w:r>
        <w:rPr>
          <w:rFonts w:eastAsia="等线" w:ascii="Arial" w:cs="Arial" w:hAnsi="Arial"/>
          <w:sz w:val="22"/>
        </w:rPr>
        <w:t>账户名称：</w:t>
      </w:r>
    </w:p>
    <w:p>
      <w:pPr>
        <w:spacing w:before="120" w:after="120" w:line="288" w:lineRule="auto"/>
        <w:ind w:left="0" w:firstLine="420"/>
        <w:jc w:val="left"/>
      </w:pPr>
      <w:r>
        <w:rPr>
          <w:rFonts w:eastAsia="等线" w:ascii="Arial" w:cs="Arial" w:hAnsi="Arial"/>
          <w:sz w:val="22"/>
        </w:rPr>
        <w:t>开户银行：</w:t>
      </w:r>
    </w:p>
    <w:p>
      <w:pPr>
        <w:spacing w:before="120" w:after="120" w:line="288" w:lineRule="auto"/>
        <w:ind w:left="0" w:firstLine="420"/>
        <w:jc w:val="left"/>
      </w:pPr>
      <w:r>
        <w:rPr>
          <w:rFonts w:eastAsia="等线" w:ascii="Arial" w:cs="Arial" w:hAnsi="Arial"/>
          <w:sz w:val="22"/>
        </w:rPr>
        <w:t>银行账号：</w:t>
      </w:r>
    </w:p>
    <w:p>
      <w:pPr>
        <w:numPr>
          <w:numId w:val="27"/>
        </w:numPr>
        <w:spacing w:before="120" w:after="120" w:line="288" w:lineRule="auto"/>
        <w:ind w:left="453"/>
        <w:jc w:val="left"/>
      </w:pPr>
      <w:r>
        <w:rPr>
          <w:rFonts w:eastAsia="等线" w:ascii="Arial" w:cs="Arial" w:hAnsi="Arial"/>
          <w:color w:val="6425d0"/>
          <w:sz w:val="22"/>
        </w:rPr>
        <w:t>甲方需另行支付费用：本合同中另行支付费用的服务指所有其它超过本合同【附件一】所规定范围的服务。</w:t>
      </w:r>
    </w:p>
    <w:p>
      <w:pPr>
        <w:numPr>
          <w:numId w:val="28"/>
        </w:numPr>
        <w:spacing w:before="120" w:after="120" w:line="288" w:lineRule="auto"/>
        <w:ind w:left="907"/>
        <w:jc w:val="left"/>
      </w:pPr>
      <w:r>
        <w:rPr>
          <w:rFonts w:eastAsia="等线" w:ascii="Arial" w:cs="Arial" w:hAnsi="Arial"/>
          <w:b w:val="true"/>
          <w:sz w:val="22"/>
        </w:rPr>
        <w:t>双方权利义务</w:t>
      </w:r>
    </w:p>
    <w:p>
      <w:pPr>
        <w:numPr>
          <w:numId w:val="29"/>
        </w:numPr>
        <w:spacing w:before="120" w:after="120" w:line="288" w:lineRule="auto"/>
        <w:ind w:left="1360"/>
        <w:jc w:val="left"/>
      </w:pPr>
      <w:r>
        <w:rPr>
          <w:rFonts w:eastAsia="等线" w:ascii="Arial" w:cs="Arial" w:hAnsi="Arial"/>
          <w:sz w:val="22"/>
        </w:rPr>
        <w:t>甲方权利义务</w:t>
      </w:r>
    </w:p>
    <w:p>
      <w:pPr>
        <w:numPr>
          <w:numId w:val="30"/>
        </w:numPr>
        <w:spacing w:before="120" w:after="120" w:line="288" w:lineRule="auto"/>
        <w:ind w:left="1814"/>
        <w:jc w:val="left"/>
      </w:pPr>
      <w:r>
        <w:rPr>
          <w:rFonts w:eastAsia="等线" w:ascii="Arial" w:cs="Arial" w:hAnsi="Arial"/>
          <w:sz w:val="22"/>
        </w:rPr>
        <w:t>甲方有权对乙方提供的服务进行监督，提出意见、要求，并指定专人负责就乙方提供的服务提出建议、意见或指令。</w:t>
      </w:r>
    </w:p>
    <w:p>
      <w:pPr>
        <w:numPr>
          <w:numId w:val="31"/>
        </w:numPr>
        <w:spacing w:before="120" w:after="120" w:line="288" w:lineRule="auto"/>
        <w:ind w:left="1814"/>
        <w:jc w:val="left"/>
      </w:pPr>
      <w:r>
        <w:rPr>
          <w:rFonts w:eastAsia="等线" w:ascii="Arial" w:cs="Arial" w:hAnsi="Arial"/>
          <w:sz w:val="22"/>
        </w:rPr>
        <w:t>甲方应按照约定对乙方提供服务进行配合，向乙方提供与服务有关的资料、信息等。乙方为提供服务而需要甲方进行包括但不限于提供数据、素材、图纸、软件、场地、人员等在内的配合的，甲方应根据乙方需求及时提供。</w:t>
      </w:r>
      <w:r>
        <w:rPr>
          <w:rFonts w:eastAsia="等线" w:ascii="Arial" w:cs="Arial" w:hAnsi="Arial"/>
          <w:sz w:val="22"/>
          <w:shd w:fill="ffe928"/>
        </w:rPr>
        <w:t>因甲方配合迟延而导致乙方未能按约履行产品提供或服务义务的情况不视为乙方违约，乙方履行义务期限相应顺延至甲方配合完毕。</w:t>
      </w:r>
    </w:p>
    <w:p>
      <w:pPr>
        <w:numPr>
          <w:numId w:val="32"/>
        </w:numPr>
        <w:spacing w:before="120" w:after="120" w:line="288" w:lineRule="auto"/>
        <w:ind w:left="1814"/>
        <w:jc w:val="left"/>
      </w:pPr>
      <w:r>
        <w:rPr>
          <w:rFonts w:eastAsia="等线" w:ascii="Arial" w:cs="Arial" w:hAnsi="Arial"/>
          <w:sz w:val="22"/>
        </w:rPr>
        <w:t>甲方应当按照本合同5.1条约定的时间支付费用。如甲方未及时按约定付款，乙方有权终止履行本合同中的未履行部分，由此产生的影响和损失由甲方承担。</w:t>
      </w:r>
    </w:p>
    <w:p>
      <w:pPr>
        <w:numPr>
          <w:numId w:val="33"/>
        </w:numPr>
        <w:spacing w:before="120" w:after="120" w:line="288" w:lineRule="auto"/>
        <w:ind w:left="1814"/>
        <w:jc w:val="left"/>
      </w:pPr>
      <w:r>
        <w:rPr>
          <w:rFonts w:eastAsia="等线" w:ascii="Arial" w:cs="Arial" w:hAnsi="Arial"/>
          <w:sz w:val="22"/>
        </w:rPr>
        <w:t>若因甲方原因，乙方未能按照约定提供产品或完成当期服务，甲方不得扣减当期费用，当期未执行服务也不可累计到下期。</w:t>
      </w:r>
    </w:p>
    <w:p>
      <w:pPr>
        <w:numPr>
          <w:numId w:val="34"/>
        </w:numPr>
        <w:spacing w:before="120" w:after="120" w:line="288" w:lineRule="auto"/>
        <w:ind w:left="1814"/>
        <w:jc w:val="left"/>
      </w:pPr>
      <w:r>
        <w:rPr>
          <w:rFonts w:eastAsia="等线" w:ascii="Arial" w:cs="Arial" w:hAnsi="Arial"/>
          <w:sz w:val="22"/>
        </w:rPr>
        <w:t>如甲方委托乙方进行信息发布的，应保证在信息发布日前【】个工作日向乙方提供广告文件。甲方若需在投放过程中更换广告文件，需至少提前【】个工作日书面通知乙方；如需更改已经确认的信息发布排期的，应提前【】个工作日通知乙方，乙方承诺尽量与投放平台方协商更改事宜。如投放平台方不同意更改的，双方应仍按原广告排期执行投放。</w:t>
      </w:r>
    </w:p>
    <w:p>
      <w:pPr>
        <w:numPr>
          <w:numId w:val="35"/>
        </w:numPr>
        <w:spacing w:before="120" w:after="120" w:line="288" w:lineRule="auto"/>
        <w:ind w:left="1814"/>
        <w:jc w:val="left"/>
      </w:pPr>
      <w:r>
        <w:rPr>
          <w:rFonts w:eastAsia="等线" w:ascii="Arial" w:cs="Arial" w:hAnsi="Arial"/>
          <w:sz w:val="22"/>
        </w:rPr>
        <w:t>对于乙方就本合同的执行向甲方发出的各项申请、确认文件、电子邮件等，甲方应当在24小时内回复确认意见，逾期未回复任何意见的，视为甲方认可乙方发出的文件、电子邮件内容，乙方照此执行后，相应后果全部由甲方自行承担。</w:t>
      </w:r>
    </w:p>
    <w:p>
      <w:pPr>
        <w:numPr>
          <w:numId w:val="36"/>
        </w:numPr>
        <w:spacing w:before="120" w:after="120" w:line="288" w:lineRule="auto"/>
        <w:ind w:left="1814"/>
        <w:jc w:val="left"/>
      </w:pPr>
      <w:r>
        <w:rPr>
          <w:rFonts w:eastAsia="等线" w:ascii="Arial" w:cs="Arial" w:hAnsi="Arial"/>
          <w:sz w:val="22"/>
        </w:rPr>
        <w:t>如因本合同的履行导致甲方与第三方之间产生任何投诉、诉讼、行政调查或其他纠纷的，甲方应在得知相关情况后立即将详细情况书面通知乙方，并应积极与第三方沟通，组织乙方参与到上述纠纷的解决程序中。甲方在未取得乙方书面同意的情况下，不得根据自行确定的处理思路参与诉讼、仲裁或谈判，不得就纠纷事项与第三方达成任何和解意见，不得向第三方支付包括但不限于任何违约金、赔偿金、罚金，或对第三方进行其他任何形式的补偿。否则，无论该纠纷事项是否因乙方过错导致，乙方均不对该事项承担任何责任，同时，甲方无权就其向第三方支付的任何费用向乙方进行追偿，且甲方亦无权就因该等纠纷遭受的任何损失要求乙方赔偿。</w:t>
      </w:r>
    </w:p>
    <w:p>
      <w:pPr>
        <w:numPr>
          <w:numId w:val="37"/>
        </w:numPr>
        <w:spacing w:before="120" w:after="120" w:line="288" w:lineRule="auto"/>
        <w:ind w:left="1360"/>
        <w:jc w:val="left"/>
      </w:pPr>
      <w:r>
        <w:rPr>
          <w:rFonts w:eastAsia="等线" w:ascii="Arial" w:cs="Arial" w:hAnsi="Arial"/>
          <w:sz w:val="22"/>
        </w:rPr>
        <w:t>乙方权利义务</w:t>
      </w:r>
    </w:p>
    <w:p>
      <w:pPr>
        <w:numPr>
          <w:numId w:val="38"/>
        </w:numPr>
        <w:spacing w:before="120" w:after="120" w:line="288" w:lineRule="auto"/>
        <w:ind w:left="1814"/>
        <w:jc w:val="left"/>
      </w:pPr>
      <w:r>
        <w:rPr>
          <w:rFonts w:eastAsia="等线" w:ascii="Arial" w:cs="Arial" w:hAnsi="Arial"/>
          <w:sz w:val="22"/>
        </w:rPr>
        <w:t>对甲方提出的要求中不符合法律、法规或可能侵犯第三方权益的内容，乙方有权要求甲方修改；在甲方做出修改前，乙方有权拒绝提供相关服务，要求甲方支付已完成阶段的全部费用并赔偿损失。如甲方要求乙方按甲方意见执行的，全部风险和责任由甲方承担，与乙方无关，因此给乙方造成损失的，甲方应全额赔偿。</w:t>
      </w:r>
    </w:p>
    <w:p>
      <w:pPr>
        <w:numPr>
          <w:numId w:val="39"/>
        </w:numPr>
        <w:spacing w:before="120" w:after="120" w:line="288" w:lineRule="auto"/>
        <w:ind w:left="1814"/>
        <w:jc w:val="left"/>
      </w:pPr>
      <w:r>
        <w:rPr>
          <w:rFonts w:eastAsia="等线" w:ascii="Arial" w:cs="Arial" w:hAnsi="Arial"/>
          <w:sz w:val="22"/>
        </w:rPr>
        <w:t>乙方应按照本合同约定的内容、时间及要求完成各项义务，及时、充分地与甲方沟通，以正确理解甲方要求并按约定执行。</w:t>
      </w:r>
    </w:p>
    <w:p>
      <w:pPr>
        <w:numPr>
          <w:numId w:val="40"/>
        </w:numPr>
        <w:spacing w:before="120" w:after="120" w:line="288" w:lineRule="auto"/>
        <w:ind w:left="1814"/>
        <w:jc w:val="left"/>
      </w:pPr>
      <w:r>
        <w:rPr>
          <w:rFonts w:eastAsia="等线" w:ascii="Arial" w:cs="Arial" w:hAnsi="Arial"/>
          <w:sz w:val="22"/>
        </w:rPr>
        <w:t>乙方有权控制自己的工作程序和方式，并可要求甲方提供相应配合。但如甲方对此提出意见及要求且乙方条件能够满足的情况下，则乙方应当在甲方要求的期限内修改调整，以确保提供给甲方的服务的质量。</w:t>
      </w:r>
    </w:p>
    <w:p>
      <w:pPr>
        <w:numPr>
          <w:numId w:val="41"/>
        </w:numPr>
        <w:spacing w:before="120" w:after="120" w:line="288" w:lineRule="auto"/>
        <w:ind w:left="1814"/>
        <w:jc w:val="left"/>
      </w:pPr>
      <w:r>
        <w:rPr>
          <w:rFonts w:eastAsia="等线" w:ascii="Arial" w:cs="Arial" w:hAnsi="Arial"/>
          <w:sz w:val="22"/>
        </w:rPr>
        <w:t>在甲方付款前，乙方应提前向甲方开具相关内容的发票</w:t>
      </w:r>
    </w:p>
    <w:p>
      <w:pPr>
        <w:numPr>
          <w:numId w:val="42"/>
        </w:numPr>
        <w:spacing w:before="120" w:after="120" w:line="288" w:lineRule="auto"/>
        <w:ind w:left="907"/>
        <w:jc w:val="left"/>
      </w:pPr>
      <w:r>
        <w:rPr>
          <w:rFonts w:eastAsia="等线" w:ascii="Arial" w:cs="Arial" w:hAnsi="Arial"/>
          <w:b w:val="true"/>
          <w:sz w:val="22"/>
        </w:rPr>
        <w:t>违约责任</w:t>
      </w:r>
    </w:p>
    <w:p>
      <w:pPr>
        <w:numPr>
          <w:numId w:val="43"/>
        </w:numPr>
        <w:spacing w:before="120" w:after="120" w:line="288" w:lineRule="auto"/>
        <w:ind w:left="1360"/>
        <w:jc w:val="left"/>
      </w:pPr>
      <w:r>
        <w:rPr>
          <w:rFonts w:eastAsia="等线" w:ascii="Arial" w:cs="Arial" w:hAnsi="Arial"/>
          <w:sz w:val="22"/>
        </w:rPr>
        <w:t>甲方应当保证其向乙方提供的资料和文件等信息的合法性、真实性、正确性，委托乙方提供的服务不违反国家的强制性规定。甲方提供的资料和文件等信息不符合上述要求，导致乙方无法完成约定的，乙方不需为此承担违约责任，乙方如因此遭受任何损失的，甲方还应当承担全部赔偿责任。</w:t>
      </w:r>
    </w:p>
    <w:p>
      <w:pPr>
        <w:numPr>
          <w:numId w:val="44"/>
        </w:numPr>
        <w:spacing w:before="120" w:after="120" w:line="288" w:lineRule="auto"/>
        <w:ind w:left="1360"/>
        <w:jc w:val="left"/>
      </w:pPr>
      <w:r>
        <w:rPr>
          <w:rFonts w:eastAsia="等线" w:ascii="Arial" w:cs="Arial" w:hAnsi="Arial"/>
          <w:sz w:val="22"/>
        </w:rPr>
        <w:t>甲方延迟支付款项的，每延迟一日，应向乙方支付当期服务费用的万分之六点五的违约金，且乙方有权立即停止为甲方提供任何服务。甲方迟延付款达5日的，乙方有权立即解除本合同，并要求甲方赔偿全部损失。</w:t>
      </w:r>
    </w:p>
    <w:p>
      <w:pPr>
        <w:numPr>
          <w:numId w:val="45"/>
        </w:numPr>
        <w:spacing w:before="120" w:after="120" w:line="288" w:lineRule="auto"/>
        <w:ind w:left="1360"/>
        <w:jc w:val="left"/>
      </w:pPr>
      <w:r>
        <w:rPr>
          <w:rFonts w:eastAsia="等线" w:ascii="Arial" w:cs="Arial" w:hAnsi="Arial"/>
          <w:sz w:val="22"/>
        </w:rPr>
        <w:t>未经乙方事先书面同意，甲方不得擅自取消服务内容，或者解除本合同，否则甲方应向乙方支付已发生服务的费用（有明细报价的，按明细报价计算；没有明细报价的，按已履行期限和预计总履行期限的比例乘以合同总金额参考计算）。前述费用，乙方可从预付费用（如有，包括保证金）中扣除，不足部分甲方应继续补足，造成乙方损失的，甲方还应全部予以赔偿，同时，甲方还应向乙方支付本合同总金额30%的违约金。</w:t>
      </w:r>
    </w:p>
    <w:p>
      <w:pPr>
        <w:numPr>
          <w:numId w:val="46"/>
        </w:numPr>
        <w:spacing w:before="120" w:after="120" w:line="288" w:lineRule="auto"/>
        <w:ind w:left="1360"/>
        <w:jc w:val="left"/>
      </w:pPr>
      <w:r>
        <w:rPr>
          <w:rFonts w:eastAsia="等线" w:ascii="Arial" w:cs="Arial" w:hAnsi="Arial"/>
          <w:sz w:val="22"/>
        </w:rPr>
        <w:t>如因甲方违反本合同约定而给乙方造成损失的，甲方应向乙方承担赔偿责任包括但不限于直接/间接经济损失、诉讼/仲裁费用、公证费、鉴定费、律师费、差旅费，以及乙方因甲方的违约应向第三方承担的包括但不限于前述各项费用在内的全部违约金、赔偿金。其中乙方的直接/间接经济损失及预期利益无法计算的，以不低于本合同总金额的三倍计算。</w:t>
      </w:r>
    </w:p>
    <w:p>
      <w:pPr>
        <w:numPr>
          <w:numId w:val="47"/>
        </w:numPr>
        <w:spacing w:before="120" w:after="120" w:line="288" w:lineRule="auto"/>
        <w:ind w:left="907"/>
        <w:jc w:val="left"/>
      </w:pPr>
      <w:r>
        <w:rPr>
          <w:rFonts w:eastAsia="等线" w:ascii="Arial" w:cs="Arial" w:hAnsi="Arial"/>
          <w:b w:val="true"/>
          <w:sz w:val="22"/>
        </w:rPr>
        <w:t>终止、变更和解除</w:t>
      </w:r>
    </w:p>
    <w:p>
      <w:pPr>
        <w:numPr>
          <w:numId w:val="48"/>
        </w:numPr>
        <w:spacing w:before="120" w:after="120" w:line="288" w:lineRule="auto"/>
        <w:ind w:left="1360"/>
        <w:jc w:val="left"/>
      </w:pPr>
      <w:r>
        <w:rPr>
          <w:rFonts w:eastAsia="等线" w:ascii="Arial" w:cs="Arial" w:hAnsi="Arial"/>
          <w:sz w:val="22"/>
        </w:rPr>
        <w:t>本合同可经甲、乙双方协商一致后以书面方式变更或解除。</w:t>
      </w:r>
    </w:p>
    <w:p>
      <w:pPr>
        <w:numPr>
          <w:numId w:val="49"/>
        </w:numPr>
        <w:spacing w:before="120" w:after="120" w:line="288" w:lineRule="auto"/>
        <w:ind w:left="1360"/>
        <w:jc w:val="left"/>
      </w:pPr>
      <w:r>
        <w:rPr>
          <w:rFonts w:eastAsia="等线" w:ascii="Arial" w:cs="Arial" w:hAnsi="Arial"/>
          <w:sz w:val="22"/>
        </w:rPr>
        <w:t>甲、乙双方应在本合同期限届满前1个月商议续签事宜，继续合作的，应以书面形式确认续签时间，未达成一致书面续签意见的，本合同期限届满之日自动终止。</w:t>
      </w:r>
    </w:p>
    <w:p>
      <w:pPr>
        <w:numPr>
          <w:numId w:val="50"/>
        </w:numPr>
        <w:spacing w:before="120" w:after="120" w:line="288" w:lineRule="auto"/>
        <w:ind w:left="907"/>
        <w:jc w:val="left"/>
      </w:pPr>
      <w:r>
        <w:rPr>
          <w:rFonts w:eastAsia="等线" w:ascii="Arial" w:cs="Arial" w:hAnsi="Arial"/>
          <w:b w:val="true"/>
          <w:sz w:val="22"/>
        </w:rPr>
        <w:t>特殊免责条款</w:t>
      </w:r>
    </w:p>
    <w:p>
      <w:pPr>
        <w:numPr>
          <w:numId w:val="51"/>
        </w:numPr>
        <w:spacing w:before="120" w:after="120" w:line="288" w:lineRule="auto"/>
        <w:ind w:left="1360"/>
        <w:jc w:val="left"/>
      </w:pPr>
      <w:r>
        <w:rPr>
          <w:rFonts w:eastAsia="等线" w:ascii="Arial" w:cs="Arial" w:hAnsi="Arial"/>
          <w:sz w:val="22"/>
        </w:rPr>
        <w:t xml:space="preserve"> 甲方理解产品平台运营方为了平台的正常运行，需要定期或不定期地对产品平台进行停机维护，如因此类情况而造成的本合同项下的信息不能按计划进行发布，甲方承诺对此不追究乙方法律责任，但乙方有义务尽力避免服务中断或将中断时间限制在最短时间内。</w:t>
      </w:r>
    </w:p>
    <w:p>
      <w:pPr>
        <w:numPr>
          <w:numId w:val="52"/>
        </w:numPr>
        <w:spacing w:before="120" w:after="120" w:line="288" w:lineRule="auto"/>
        <w:ind w:left="1360"/>
        <w:jc w:val="left"/>
      </w:pPr>
      <w:r>
        <w:rPr>
          <w:rFonts w:eastAsia="等线" w:ascii="Arial" w:cs="Arial" w:hAnsi="Arial"/>
          <w:sz w:val="22"/>
        </w:rPr>
        <w:t xml:space="preserve"> 基于市场整体利益考虑及经营需要，产品平台运营方可能不定期对其网站的服务内容、版面布局、页面设计等有关方面进行调整，如因上述调整而影响本合同项下信息的发布(包括发布位置和/或发布期间等)，甲方将给予充分的谅解，乙方应将上述影响减少至最低程度，如果给甲方的信息发布造成不良影响的，应当予以弥补。</w:t>
      </w:r>
    </w:p>
    <w:p>
      <w:pPr>
        <w:numPr>
          <w:numId w:val="53"/>
        </w:numPr>
        <w:spacing w:before="120" w:after="120" w:line="288" w:lineRule="auto"/>
        <w:ind w:left="1360"/>
        <w:jc w:val="left"/>
      </w:pPr>
      <w:r>
        <w:rPr>
          <w:rFonts w:eastAsia="等线" w:ascii="Arial" w:cs="Arial" w:hAnsi="Arial"/>
          <w:sz w:val="22"/>
        </w:rPr>
        <w:t xml:space="preserve"> 甲方同意，乙方因上述两种情形而不能按计划发布信息的，不视为乙方违约。但乙方应在影响信息发布的情形结束之后，尽可能按照原计划规定的时间和位置发布原信息，或与甲方协商确定其他合理的解决方案。</w:t>
      </w:r>
    </w:p>
    <w:p>
      <w:pPr>
        <w:numPr>
          <w:numId w:val="54"/>
        </w:numPr>
        <w:spacing w:before="120" w:after="120" w:line="288" w:lineRule="auto"/>
        <w:ind w:left="907"/>
        <w:jc w:val="left"/>
      </w:pPr>
      <w:r>
        <w:rPr>
          <w:rFonts w:eastAsia="等线" w:ascii="Arial" w:cs="Arial" w:hAnsi="Arial"/>
          <w:b w:val="true"/>
          <w:sz w:val="22"/>
        </w:rPr>
        <w:t>不可抗力</w:t>
      </w:r>
    </w:p>
    <w:p>
      <w:pPr>
        <w:spacing w:before="120" w:after="120" w:line="288" w:lineRule="auto"/>
        <w:ind w:left="0" w:firstLine="420"/>
        <w:jc w:val="left"/>
      </w:pPr>
      <w:r>
        <w:rPr>
          <w:rFonts w:eastAsia="等线" w:ascii="Arial" w:cs="Arial" w:hAnsi="Arial"/>
          <w:sz w:val="22"/>
        </w:rPr>
        <w:t>不可抗力：指协议双方缔结协议时所不能预见、并且它的发生及其后果是不能克服和不能避免的客观情况，包括（1）自然灾害如洪水、冰雹、海啸、台风、旱灾、火灾；（2）政府或党派行为如政府当局或执政党颁布的政策、法律、法规和采取新的行为措施导致《执行单》或订单不能履行；（3）社会异常现象如骚乱、战争、罢工但不包括双方内部劳资纠纷，所造成的不能履行本合同或延迟履行。任何一方无须对上述不履行或延迟履行所引起的损失或损害负赔偿责任, 但受影响一方应立即书面通知另一方并提供相关的证明文件。不可抗力持续超过60天任何一方均可要求终止本合同或《执行单》或其他形式订单。</w:t>
      </w:r>
    </w:p>
    <w:p>
      <w:pPr>
        <w:numPr>
          <w:numId w:val="55"/>
        </w:numPr>
        <w:spacing w:before="120" w:after="120" w:line="288" w:lineRule="auto"/>
        <w:ind w:left="0"/>
        <w:jc w:val="left"/>
      </w:pPr>
      <w:r>
        <w:rPr>
          <w:rFonts w:eastAsia="等线" w:ascii="Arial" w:cs="Arial" w:hAnsi="Arial"/>
          <w:b w:val="true"/>
          <w:sz w:val="22"/>
        </w:rPr>
        <w:t>知识产权及保密责任</w:t>
      </w:r>
    </w:p>
    <w:p>
      <w:pPr>
        <w:numPr>
          <w:numId w:val="56"/>
        </w:numPr>
        <w:spacing w:before="120" w:after="120" w:line="288" w:lineRule="auto"/>
        <w:ind w:left="453"/>
        <w:jc w:val="left"/>
      </w:pPr>
      <w:r>
        <w:rPr>
          <w:rFonts w:eastAsia="等线" w:ascii="Arial" w:cs="Arial" w:hAnsi="Arial"/>
          <w:sz w:val="22"/>
        </w:rPr>
        <w:t xml:space="preserve"> 甲方在合作过程中提供给乙方的数据、素材、图纸等资料和信息，其版权及相关知识产权均应为甲方独立拥有，甲方的上述权利在任何情况下均不发生转移。乙方依据本合同提供的方案、策划、稿件等工作成果，相关知识产权归乙方所有。甲方享有上述工作成果的使用权，但不得在未经乙方同意的情况下授权第三方使用。</w:t>
      </w:r>
    </w:p>
    <w:p>
      <w:pPr>
        <w:numPr>
          <w:numId w:val="57"/>
        </w:numPr>
        <w:spacing w:before="120" w:after="120" w:line="288" w:lineRule="auto"/>
        <w:ind w:left="453"/>
        <w:jc w:val="left"/>
      </w:pPr>
      <w:r>
        <w:rPr>
          <w:rFonts w:eastAsia="等线" w:ascii="Arial" w:cs="Arial" w:hAnsi="Arial"/>
          <w:sz w:val="22"/>
        </w:rPr>
        <w:t xml:space="preserve"> 在合作期限内，甲方可能向乙方提供为完成约定相关的数据、素材、图纸等资料和信息。甲方向乙方提供的所有材料均视为保密信息。该保密信息并不以甲方事先声明或明示为前提。对甲方的保密信息，乙方保证采取合理措施保护该等保密信息免受公开，除履行双方合作合同外，乙方不向任何第三方公开上述保密信息，非经甲方事先书面同意，乙方不得将上述保密信息用于本合同以外的目的。</w:t>
      </w:r>
    </w:p>
    <w:p>
      <w:pPr>
        <w:numPr>
          <w:numId w:val="58"/>
        </w:numPr>
        <w:spacing w:before="120" w:after="120" w:line="288" w:lineRule="auto"/>
        <w:ind w:left="453"/>
        <w:jc w:val="left"/>
      </w:pPr>
      <w:r>
        <w:rPr>
          <w:rFonts w:eastAsia="等线" w:ascii="Arial" w:cs="Arial" w:hAnsi="Arial"/>
          <w:sz w:val="22"/>
        </w:rPr>
        <w:t xml:space="preserve"> 除前款规定外，在本合同有效期内，双方有义务对从对方处得到的信息保密，信息包括但不限于本合同及《执行单》和订单的存在、服务价格、服务内容、财务信息、技术秘密等，未经双方书面许可，任何一方不得向第三方透露。</w:t>
      </w:r>
    </w:p>
    <w:p>
      <w:pPr>
        <w:numPr>
          <w:numId w:val="59"/>
        </w:numPr>
        <w:spacing w:before="120" w:after="120" w:line="288" w:lineRule="auto"/>
        <w:ind w:left="453"/>
        <w:jc w:val="left"/>
      </w:pPr>
      <w:r>
        <w:rPr>
          <w:rFonts w:eastAsia="等线" w:ascii="Arial" w:cs="Arial" w:hAnsi="Arial"/>
          <w:sz w:val="22"/>
        </w:rPr>
        <w:t xml:space="preserve"> 双方承诺，在本合同有效期内及有效期结束一年以内，双方均不得以任何方式雇佣或企图雇佣对方的现职员工或该期限内不论以何种方式与对方解除劳动雇佣关系的员工，否则应当向对方支付相当于本合同金额10%的违约赔偿金。</w:t>
      </w:r>
    </w:p>
    <w:p>
      <w:pPr>
        <w:numPr>
          <w:numId w:val="60"/>
        </w:numPr>
        <w:spacing w:before="120" w:after="120" w:line="288" w:lineRule="auto"/>
        <w:ind w:left="907"/>
        <w:jc w:val="left"/>
      </w:pPr>
      <w:r>
        <w:rPr>
          <w:rFonts w:eastAsia="等线" w:ascii="Arial" w:cs="Arial" w:hAnsi="Arial"/>
          <w:b w:val="true"/>
          <w:sz w:val="22"/>
        </w:rPr>
        <w:t>审计</w:t>
      </w:r>
    </w:p>
    <w:p>
      <w:pPr>
        <w:numPr>
          <w:numId w:val="61"/>
        </w:numPr>
        <w:spacing w:before="120" w:after="120" w:line="288" w:lineRule="auto"/>
        <w:ind w:left="1360"/>
        <w:jc w:val="left"/>
      </w:pPr>
      <w:r>
        <w:rPr>
          <w:rFonts w:eastAsia="等线" w:ascii="Arial" w:cs="Arial" w:hAnsi="Arial"/>
          <w:sz w:val="22"/>
        </w:rPr>
        <w:t xml:space="preserve"> 本合同履行期间以及本合同终止后的【5】年之内，乙方或乙方授权的人员有权不定期地对甲方进行独立审计或调查，以确认甲方对本合同及相关法规的遵守情况，但乙方应当在审计或调查开始之前将相关情况书面通知甲方。甲方应当积极配合乙方或乙方委托的第三方的审计或调查要求（包括但不限于进入甲方场所查阅、复制和使用经乙方合理判断认定为与本合同履行相关的全部账簿、记录、发票、费用清单等文件和材料，与甲方管理层人员和员工进行访谈等，要求甲方为乙方免费提供合理适当的工作空间等）。如果在审计或调查中发现甲方存在或有证据证明甲方可能存在违反本合同或相关法律法规的情形，则审计费用或调查费用（包括但不限于人力成本和差旅费用等）应当由甲方承担，同时乙方有权要求甲方承担相应责任并赔偿乙方所遭受的全部损失。</w:t>
      </w:r>
    </w:p>
    <w:p>
      <w:pPr>
        <w:numPr>
          <w:numId w:val="62"/>
        </w:numPr>
        <w:spacing w:before="120" w:after="120" w:line="288" w:lineRule="auto"/>
        <w:ind w:left="1360"/>
        <w:jc w:val="left"/>
      </w:pPr>
      <w:r>
        <w:rPr>
          <w:rFonts w:eastAsia="等线" w:ascii="Arial" w:cs="Arial" w:hAnsi="Arial"/>
          <w:sz w:val="22"/>
        </w:rPr>
        <w:t xml:space="preserve"> 甲方应在本合同终止后【5】年之内保存与本合同履行相关的所有文件、往来函件、数据、账目、报告、记录、收据等材料。</w:t>
      </w:r>
    </w:p>
    <w:p>
      <w:pPr>
        <w:numPr>
          <w:numId w:val="63"/>
        </w:numPr>
        <w:spacing w:before="120" w:after="120" w:line="288" w:lineRule="auto"/>
        <w:ind w:left="907"/>
        <w:jc w:val="left"/>
      </w:pPr>
      <w:r>
        <w:rPr>
          <w:rFonts w:eastAsia="等线" w:ascii="Arial" w:cs="Arial" w:hAnsi="Arial"/>
          <w:b w:val="true"/>
          <w:sz w:val="22"/>
        </w:rPr>
        <w:t>其他条款</w:t>
      </w:r>
    </w:p>
    <w:p>
      <w:pPr>
        <w:numPr>
          <w:numId w:val="64"/>
        </w:numPr>
        <w:spacing w:before="120" w:after="120" w:line="288" w:lineRule="auto"/>
        <w:ind w:left="1360"/>
        <w:jc w:val="left"/>
      </w:pPr>
      <w:r>
        <w:rPr>
          <w:rFonts w:eastAsia="等线" w:ascii="Arial" w:cs="Arial" w:hAnsi="Arial"/>
          <w:sz w:val="22"/>
        </w:rPr>
        <w:t xml:space="preserve"> 争议解决办法：当双方就本合同及《执行单》或订单的履行产生争议时，双方应当友好协商解决，如果协商不成，则任何一方有权提请北京仲裁委员会按照其仲裁规则进行仲裁。仲裁裁决是终局的，对双方均有约束力。</w:t>
      </w:r>
    </w:p>
    <w:p>
      <w:pPr>
        <w:numPr>
          <w:numId w:val="65"/>
        </w:numPr>
        <w:spacing w:before="120" w:after="120" w:line="288" w:lineRule="auto"/>
        <w:ind w:left="1360"/>
        <w:jc w:val="left"/>
      </w:pPr>
      <w:r>
        <w:rPr>
          <w:rFonts w:eastAsia="等线" w:ascii="Arial" w:cs="Arial" w:hAnsi="Arial"/>
          <w:sz w:val="22"/>
        </w:rPr>
        <w:t xml:space="preserve"> 除非依据本合同4.2的约定发生变更，否则本合同双方日常联系人的联系方式为：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05"/>
        <w:gridCol w:w="4275"/>
      </w:tblGrid>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甲方日常服务联系人</w:t>
            </w:r>
            <w:r>
              <w:rPr>
                <w:rFonts w:eastAsia="等线" w:ascii="Arial" w:cs="Arial" w:hAnsi="Arial"/>
                <w:b w:val="true"/>
                <w:sz w:val="22"/>
              </w:rPr>
              <w:t>*</w:t>
            </w:r>
            <w:r>
              <w:rPr>
                <w:rFonts w:eastAsia="等线" w:ascii="Arial" w:cs="Arial" w:hAnsi="Arial"/>
                <w:sz w:val="22"/>
              </w:rPr>
              <w:t>：</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乙方日常服务联系人</w:t>
            </w:r>
            <w:r>
              <w:rPr>
                <w:rFonts w:eastAsia="等线" w:ascii="Arial" w:cs="Arial" w:hAnsi="Arial"/>
                <w:b w:val="true"/>
                <w:sz w:val="22"/>
              </w:rPr>
              <w:t>*</w:t>
            </w:r>
            <w:r>
              <w:rPr>
                <w:rFonts w:eastAsia="等线" w:ascii="Arial" w:cs="Arial" w:hAnsi="Arial"/>
                <w:sz w:val="22"/>
              </w:rPr>
              <w:t>：</w:t>
            </w:r>
          </w:p>
        </w:tc>
      </w:tr>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r>
              <w:rPr>
                <w:rFonts w:eastAsia="等线" w:ascii="Arial" w:cs="Arial" w:hAnsi="Arial"/>
                <w:b w:val="true"/>
                <w:sz w:val="22"/>
              </w:rPr>
              <w:t>*</w:t>
            </w:r>
            <w:r>
              <w:rPr>
                <w:rFonts w:eastAsia="等线" w:ascii="Arial" w:cs="Arial" w:hAnsi="Arial"/>
                <w:sz w:val="22"/>
              </w:rPr>
              <w:t>：</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r>
              <w:rPr>
                <w:rFonts w:eastAsia="等线" w:ascii="Arial" w:cs="Arial" w:hAnsi="Arial"/>
                <w:b w:val="true"/>
                <w:sz w:val="22"/>
              </w:rPr>
              <w:t>*</w:t>
            </w:r>
            <w:r>
              <w:rPr>
                <w:rFonts w:eastAsia="等线" w:ascii="Arial" w:cs="Arial" w:hAnsi="Arial"/>
                <w:sz w:val="22"/>
              </w:rPr>
              <w:t>：</w:t>
            </w:r>
          </w:p>
        </w:tc>
      </w:tr>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r>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通信地址：</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通信地址：</w:t>
            </w:r>
          </w:p>
        </w:tc>
      </w:tr>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QQ号：</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QQ号：</w:t>
            </w:r>
          </w:p>
        </w:tc>
      </w:tr>
      <w:tr>
        <w:tc>
          <w:tcPr>
            <w:tcW w:w="4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b w:val="true"/>
          <w:sz w:val="22"/>
        </w:rPr>
        <w:t>注：带*号为必填项；如有多人应全部填入。</w:t>
      </w:r>
    </w:p>
    <w:p>
      <w:pPr>
        <w:numPr>
          <w:numId w:val="66"/>
        </w:numPr>
        <w:spacing w:before="120" w:after="120" w:line="288" w:lineRule="auto"/>
        <w:ind w:left="0"/>
        <w:jc w:val="left"/>
      </w:pPr>
      <w:r>
        <w:rPr>
          <w:rFonts w:eastAsia="等线" w:ascii="Arial" w:cs="Arial" w:hAnsi="Arial"/>
          <w:sz w:val="22"/>
        </w:rPr>
        <w:t xml:space="preserve"> 本条约定的通知地址亦为双方工作联系往来、法律文书及争议解决时人民法院和/或仲裁机构的法律文书送达地址，人民法院和/或仲裁机构的诉讼文书（含裁判文书）向合同任何一方当事人的上述地址和/或工商登记公示地址（居民身份证登记地址）送达的，视为有效送达。当事人对电子通信终端的联系送达适用于争议解决时的送达。</w:t>
      </w:r>
    </w:p>
    <w:p>
      <w:pPr>
        <w:numPr>
          <w:numId w:val="67"/>
        </w:numPr>
        <w:spacing w:before="120" w:after="120" w:line="288" w:lineRule="auto"/>
        <w:ind w:left="0"/>
        <w:jc w:val="left"/>
      </w:pPr>
      <w:r>
        <w:rPr>
          <w:rFonts w:eastAsia="等线" w:ascii="Arial" w:cs="Arial" w:hAnsi="Arial"/>
          <w:sz w:val="22"/>
        </w:rPr>
        <w:t xml:space="preserve"> 任何一方当事人向对/他方所发出的信件，自信件交邮后的第【7】日视为送达；发出的短信/传真/QQ /微信/电子邮件，自前述电子文件内容在发送方正确填写地址且未被系统退回的情况下，视为进入对方数据电文接收系统即视为送达。若送达日为非工作日, 则视为在下一工作日送达。</w:t>
      </w:r>
    </w:p>
    <w:p>
      <w:pPr>
        <w:numPr>
          <w:numId w:val="68"/>
        </w:numPr>
        <w:spacing w:before="120" w:after="120" w:line="288" w:lineRule="auto"/>
        <w:ind w:left="0"/>
        <w:jc w:val="left"/>
      </w:pPr>
      <w:r>
        <w:rPr>
          <w:rFonts w:eastAsia="等线" w:ascii="Arial" w:cs="Arial" w:hAnsi="Arial"/>
          <w:sz w:val="22"/>
        </w:rPr>
        <w:t xml:space="preserve"> 本条款项下所列的双方联系人以及甲方后缀为【】的邮箱、乙方后缀为【】的邮箱均为甲乙方确认的有权分别代表甲乙方发送、或确认与本合同以及与本合同执行过程中相关的文件和信息的有效联系人及有效邮箱。包括但不限于订单、确认件、结算及确认付款的材料以及与业务相关的任何电子邮件等。</w:t>
      </w:r>
    </w:p>
    <w:p>
      <w:pPr>
        <w:numPr>
          <w:numId w:val="69"/>
        </w:numPr>
        <w:spacing w:before="120" w:after="120" w:line="288" w:lineRule="auto"/>
        <w:ind w:left="0"/>
        <w:jc w:val="left"/>
      </w:pPr>
      <w:r>
        <w:rPr>
          <w:rFonts w:eastAsia="等线" w:ascii="Arial" w:cs="Arial" w:hAnsi="Arial"/>
          <w:sz w:val="22"/>
        </w:rPr>
        <w:t xml:space="preserve"> 本合同壹式贰份，双方各执壹份。具有等同的法律效力。</w:t>
      </w:r>
    </w:p>
    <w:p>
      <w:pPr>
        <w:numPr>
          <w:numId w:val="70"/>
        </w:numPr>
        <w:spacing w:before="120" w:after="120" w:line="288" w:lineRule="auto"/>
        <w:ind w:left="0"/>
        <w:jc w:val="left"/>
      </w:pPr>
      <w:r>
        <w:rPr>
          <w:rFonts w:eastAsia="等线" w:ascii="Arial" w:cs="Arial" w:hAnsi="Arial"/>
          <w:sz w:val="22"/>
        </w:rPr>
        <w:t xml:space="preserve"> 本合同自双方盖章之日起生效。</w:t>
      </w:r>
    </w:p>
    <w:p>
      <w:pPr>
        <w:spacing w:before="120" w:after="120" w:line="288" w:lineRule="auto"/>
        <w:ind w:left="0" w:firstLine="420"/>
        <w:jc w:val="left"/>
      </w:pPr>
      <w:r>
        <w:rPr>
          <w:rFonts w:eastAsia="等线" w:ascii="Arial" w:cs="Arial" w:hAnsi="Arial"/>
          <w:b w:val="true"/>
          <w:sz w:val="22"/>
        </w:rPr>
        <w:t>（本行以下无条款正文）</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b w:val="true"/>
          <w:sz w:val="22"/>
        </w:rPr>
        <w:t>甲    方</w:t>
      </w:r>
      <w:r>
        <w:rPr>
          <w:rFonts w:eastAsia="等线" w:ascii="Arial" w:cs="Arial" w:hAnsi="Arial"/>
          <w:sz w:val="22"/>
        </w:rPr>
        <w:t>（盖章）：</w:t>
      </w:r>
    </w:p>
    <w:p>
      <w:pPr>
        <w:spacing w:before="120" w:after="120" w:line="288" w:lineRule="auto"/>
        <w:ind w:left="0" w:firstLine="0"/>
        <w:jc w:val="left"/>
      </w:pPr>
      <w:r>
        <w:rPr>
          <w:rFonts w:eastAsia="等线" w:ascii="Arial" w:cs="Arial" w:hAnsi="Arial"/>
          <w:sz w:val="22"/>
        </w:rPr>
        <w:t>法定代表人（签字）：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乙    方</w:t>
      </w:r>
      <w:r>
        <w:rPr>
          <w:rFonts w:eastAsia="等线" w:ascii="Arial" w:cs="Arial" w:hAnsi="Arial"/>
          <w:sz w:val="22"/>
        </w:rPr>
        <w:t>（盖章）：</w:t>
      </w:r>
    </w:p>
    <w:p>
      <w:pPr>
        <w:spacing w:before="120" w:after="120" w:line="288" w:lineRule="auto"/>
        <w:ind w:left="0" w:firstLine="0"/>
        <w:jc w:val="left"/>
      </w:pPr>
      <w:r>
        <w:rPr>
          <w:rFonts w:eastAsia="等线" w:ascii="Arial" w:cs="Arial" w:hAnsi="Arial"/>
          <w:sz w:val="22"/>
        </w:rPr>
        <w:t>法定代表人（签字）：</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附件一：执行单（模板）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25"/>
        <w:gridCol w:w="1290"/>
        <w:gridCol w:w="1140"/>
        <w:gridCol w:w="240"/>
        <w:gridCol w:w="1335"/>
        <w:gridCol w:w="2850"/>
      </w:tblGrid>
      <w:tr>
        <w:tc>
          <w:tcPr>
            <w:tcW w:w="8280" w:type="dxa"/>
            <w:hMerge w:val="restart"/>
            <w:tcMar>
              <w:top w:type="dxa" w:w="60"/>
              <w:left w:type="dxa" w:w="120"/>
              <w:bottom w:type="dxa" w:w="30"/>
              <w:right w:type="dxa" w:w="120"/>
            </w:tcMar>
          </w:tcPr>
          <w:p>
            <w:pPr>
              <w:numPr>
                <w:numId w:val="71"/>
              </w:numPr>
              <w:spacing w:before="120" w:after="120" w:line="288" w:lineRule="auto"/>
              <w:ind w:left="0"/>
              <w:jc w:val="left"/>
            </w:pPr>
            <w:r>
              <w:rPr>
                <w:rFonts w:eastAsia="等线" w:ascii="Arial" w:cs="Arial" w:hAnsi="Arial"/>
                <w:sz w:val="22"/>
              </w:rPr>
              <w:t>甲乙双方于【】年【】月【】日签订了《整合营销服务合同》。</w:t>
            </w:r>
          </w:p>
          <w:p>
            <w:pPr>
              <w:numPr>
                <w:numId w:val="72"/>
              </w:numPr>
              <w:spacing w:before="120" w:after="120" w:line="288" w:lineRule="auto"/>
              <w:ind w:left="453"/>
              <w:jc w:val="left"/>
            </w:pPr>
            <w:r>
              <w:rPr>
                <w:rFonts w:eastAsia="等线" w:ascii="Arial" w:cs="Arial" w:hAnsi="Arial"/>
                <w:sz w:val="22"/>
              </w:rPr>
              <w:t>本执行单规定与双方签署的《整合营销服务合同》规定不一致的，以本执行单为准。</w:t>
            </w:r>
          </w:p>
          <w:p>
            <w:pPr>
              <w:numPr>
                <w:numId w:val="73"/>
              </w:numPr>
              <w:spacing w:before="120" w:after="120" w:line="288" w:lineRule="auto"/>
              <w:ind w:left="453"/>
              <w:jc w:val="left"/>
            </w:pPr>
            <w:r>
              <w:rPr>
                <w:rFonts w:eastAsia="等线" w:ascii="Arial" w:cs="Arial" w:hAnsi="Arial"/>
                <w:sz w:val="22"/>
              </w:rPr>
              <w:t>本执行单自双方盖章之日起生效。</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hMerge w:val="continue"/>
            <w:tcMar>
              <w:top w:type="dxa" w:w="60"/>
              <w:left w:type="dxa" w:w="120"/>
              <w:bottom w:type="dxa" w:w="30"/>
              <w:right w:type="dxa" w:w="120"/>
            </w:tcMar>
          </w:tcPr>
          <w:p>
            <w:pPr>
              <w:spacing w:before="120" w:after="120" w:line="288" w:lineRule="auto"/>
              <w:ind w:left="0"/>
              <w:jc w:val="left"/>
            </w:pPr>
          </w:p>
        </w:tc>
        <w:tc>
          <w:tcPr>
            <w:tcW w:w="240" w:type="dxa"/>
            <w:hMerge w:val="continue"/>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hMerge w:val="continue"/>
            <w:tcMar>
              <w:top w:type="dxa" w:w="60"/>
              <w:left w:type="dxa" w:w="120"/>
              <w:bottom w:type="dxa" w:w="30"/>
              <w:right w:type="dxa" w:w="120"/>
            </w:tcMar>
          </w:tcPr>
          <w:p>
            <w:pPr>
              <w:spacing w:before="120" w:after="120" w:line="288" w:lineRule="auto"/>
              <w:ind w:left="0"/>
              <w:jc w:val="left"/>
            </w:pPr>
          </w:p>
        </w:tc>
      </w:tr>
      <w:tr>
        <w:tc>
          <w:tcPr>
            <w:tcW w:w="27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服务分类（项目及内容）</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合作时间</w:t>
            </w:r>
          </w:p>
        </w:tc>
        <w:tc>
          <w:tcPr>
            <w:tcW w:w="157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合作媒体平台（如有）</w:t>
            </w: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合作金额</w:t>
            </w:r>
          </w:p>
        </w:tc>
      </w:tr>
      <w:tr>
        <w:tc>
          <w:tcPr>
            <w:tcW w:w="2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1、传播策划</w:t>
            </w:r>
            <w:r>
              <w:rPr>
                <w:rFonts w:eastAsia="等线" w:ascii="Arial" w:cs="Arial" w:hAnsi="Arial"/>
                <w:sz w:val="22"/>
              </w:rPr>
              <w:t>（1）策略建议与咨询报告：公关策略建议、媒介策略建议（2）日常公关传播服务：内容策划、社会化媒体传播、工作报告与剪报、公关例会（3）媒体关系服务：媒体开拓、媒体维护、媒体问询处理、媒体数据库建立、反馈报告（4）活动与专访服务：专访服务、媒体活动</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575" w:type="dxa"/>
            <w:hMerge w:val="restart"/>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p>
        </w:tc>
      </w:tr>
      <w:tr>
        <w:tc>
          <w:tcPr>
            <w:tcW w:w="2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2、监测服务与舆情管理</w:t>
            </w:r>
            <w:r>
              <w:rPr>
                <w:rFonts w:eastAsia="等线" w:ascii="Arial" w:cs="Arial" w:hAnsi="Arial"/>
                <w:sz w:val="22"/>
              </w:rPr>
              <w:t>（1）媒体监测：负面信息、网络媒体、平面媒体、影视媒体（2）舆情管理</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575" w:type="dxa"/>
            <w:hMerge w:val="restart"/>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p>
        </w:tc>
      </w:tr>
      <w:tr>
        <w:tc>
          <w:tcPr>
            <w:tcW w:w="2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3、危机公关</w:t>
            </w:r>
            <w:r>
              <w:rPr>
                <w:rFonts w:eastAsia="等线" w:ascii="Arial" w:cs="Arial" w:hAnsi="Arial"/>
                <w:sz w:val="22"/>
              </w:rPr>
              <w:t>（1）危机预警及处理：危机预警、处理、危机处理结果与工作汇报</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575" w:type="dxa"/>
            <w:hMerge w:val="restart"/>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p>
        </w:tc>
      </w:tr>
      <w:tr>
        <w:tc>
          <w:tcPr>
            <w:tcW w:w="2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4、第三方专家管理</w:t>
            </w:r>
            <w:r>
              <w:rPr>
                <w:rFonts w:eastAsia="等线" w:ascii="Arial" w:cs="Arial" w:hAnsi="Arial"/>
                <w:sz w:val="22"/>
              </w:rPr>
              <w:t>（1）第三方专家管理：专家库建立、专家库维护、专家库使用</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575" w:type="dxa"/>
            <w:hMerge w:val="restart"/>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p>
        </w:tc>
      </w:tr>
      <w:tr>
        <w:tc>
          <w:tcPr>
            <w:tcW w:w="2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5、活动及会议举办</w:t>
            </w:r>
            <w:r>
              <w:rPr>
                <w:rFonts w:eastAsia="等线" w:ascii="Arial" w:cs="Arial" w:hAnsi="Arial"/>
                <w:sz w:val="22"/>
              </w:rPr>
              <w:t>（1）活动执行及搭建：会场租赁、住宿及餐饮预订；场地布置与搭建；其他服务</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575" w:type="dxa"/>
            <w:hMerge w:val="restart"/>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p>
        </w:tc>
      </w:tr>
      <w:tr>
        <w:tc>
          <w:tcPr>
            <w:tcW w:w="2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6、制作及投放</w:t>
            </w:r>
            <w:r>
              <w:rPr>
                <w:rFonts w:eastAsia="等线" w:ascii="Arial" w:cs="Arial" w:hAnsi="Arial"/>
                <w:sz w:val="22"/>
              </w:rPr>
              <w:t>（1）各类制作及投放：网站/页面制作、海报/插画制作</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575" w:type="dxa"/>
            <w:hMerge w:val="restart"/>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p>
        </w:tc>
      </w:tr>
      <w:tr>
        <w:tc>
          <w:tcPr>
            <w:tcW w:w="2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7、推广和宣传</w:t>
            </w:r>
            <w:r>
              <w:rPr>
                <w:rFonts w:eastAsia="等线" w:ascii="Arial" w:cs="Arial" w:hAnsi="Arial"/>
                <w:sz w:val="22"/>
              </w:rPr>
              <w:t>（1）推广和宣传：产品推广活动、邀请艺人</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tcMar>
              <w:top w:type="dxa" w:w="60"/>
              <w:left w:type="dxa" w:w="120"/>
              <w:bottom w:type="dxa" w:w="30"/>
              <w:right w:type="dxa" w:w="120"/>
            </w:tcMar>
          </w:tcPr>
          <w:p>
            <w:pPr>
              <w:spacing w:before="120" w:after="120" w:line="288" w:lineRule="auto"/>
              <w:ind w:left="0"/>
              <w:jc w:val="left"/>
            </w:pPr>
          </w:p>
        </w:tc>
        <w:tc>
          <w:tcPr>
            <w:tcW w:w="1575" w:type="dxa"/>
            <w:hMerge w:val="restart"/>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不含税金额：</w:t>
            </w:r>
            <w:r>
              <w:rPr>
                <w:rFonts w:eastAsia="等线" w:ascii="Arial" w:cs="Arial" w:hAnsi="Arial"/>
                <w:sz w:val="22"/>
              </w:rPr>
              <w:t>人民币        元(大写：人民币【              】)。</w:t>
            </w:r>
          </w:p>
          <w:p>
            <w:pPr>
              <w:spacing w:before="120" w:after="120" w:line="288" w:lineRule="auto"/>
              <w:ind w:left="0"/>
              <w:jc w:val="left"/>
            </w:pPr>
            <w:r>
              <w:rPr>
                <w:rFonts w:eastAsia="等线" w:ascii="Arial" w:cs="Arial" w:hAnsi="Arial"/>
                <w:b w:val="true"/>
                <w:sz w:val="22"/>
              </w:rPr>
              <w:t>增值税额：</w:t>
            </w:r>
            <w:r>
              <w:rPr>
                <w:rFonts w:eastAsia="等线" w:ascii="Arial" w:cs="Arial" w:hAnsi="Arial"/>
                <w:sz w:val="22"/>
              </w:rPr>
              <w:t>人民币        元(大写：人民币【                】)。</w:t>
            </w:r>
          </w:p>
          <w:p>
            <w:pPr>
              <w:spacing w:before="120" w:after="120" w:line="288" w:lineRule="auto"/>
              <w:ind w:left="0"/>
              <w:jc w:val="left"/>
            </w:pPr>
            <w:r>
              <w:rPr>
                <w:rFonts w:eastAsia="等线" w:ascii="Arial" w:cs="Arial" w:hAnsi="Arial"/>
                <w:b w:val="true"/>
                <w:sz w:val="22"/>
              </w:rPr>
              <w:t>价税合计金额：</w:t>
            </w:r>
            <w:r>
              <w:rPr>
                <w:rFonts w:eastAsia="等线" w:ascii="Arial" w:cs="Arial" w:hAnsi="Arial"/>
                <w:sz w:val="22"/>
              </w:rPr>
              <w:t>人民币        元(大写：人民币【                  】)。</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hMerge w:val="continue"/>
            <w:tcMar>
              <w:top w:type="dxa" w:w="60"/>
              <w:left w:type="dxa" w:w="120"/>
              <w:bottom w:type="dxa" w:w="30"/>
              <w:right w:type="dxa" w:w="120"/>
            </w:tcMar>
          </w:tcPr>
          <w:p>
            <w:pPr>
              <w:spacing w:before="120" w:after="120" w:line="288" w:lineRule="auto"/>
              <w:ind w:left="0"/>
              <w:jc w:val="left"/>
            </w:pPr>
          </w:p>
        </w:tc>
        <w:tc>
          <w:tcPr>
            <w:tcW w:w="240" w:type="dxa"/>
            <w:hMerge w:val="continue"/>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费用和发票：</w:t>
            </w:r>
          </w:p>
          <w:p>
            <w:pPr>
              <w:spacing w:before="120" w:after="120" w:line="288" w:lineRule="auto"/>
              <w:ind w:left="0"/>
              <w:jc w:val="left"/>
            </w:pPr>
            <w:r>
              <w:rPr>
                <w:rFonts w:eastAsia="等线" w:ascii="Arial" w:cs="Arial" w:hAnsi="Arial"/>
                <w:sz w:val="22"/>
              </w:rPr>
              <w:t>本次服务费用总额为【】美元，付款方式：【预付/后付/月度服务费】，乙方向甲方开具正式发票。</w:t>
            </w:r>
          </w:p>
          <w:p>
            <w:pPr>
              <w:spacing w:before="120" w:after="120" w:line="288" w:lineRule="auto"/>
              <w:ind w:left="0"/>
              <w:jc w:val="left"/>
            </w:pPr>
            <w:r>
              <w:rPr>
                <w:rFonts w:eastAsia="等线" w:ascii="Arial" w:cs="Arial" w:hAnsi="Arial"/>
                <w:sz w:val="22"/>
              </w:rPr>
              <w:t>乙方向甲方开具正式发票，发票类型为：【】，发票内容为：【】。</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hMerge w:val="continue"/>
            <w:tcMar>
              <w:top w:type="dxa" w:w="60"/>
              <w:left w:type="dxa" w:w="120"/>
              <w:bottom w:type="dxa" w:w="30"/>
              <w:right w:type="dxa" w:w="120"/>
            </w:tcMar>
          </w:tcPr>
          <w:p>
            <w:pPr>
              <w:spacing w:before="120" w:after="120" w:line="288" w:lineRule="auto"/>
              <w:ind w:left="0"/>
              <w:jc w:val="left"/>
            </w:pPr>
          </w:p>
        </w:tc>
        <w:tc>
          <w:tcPr>
            <w:tcW w:w="240" w:type="dxa"/>
            <w:hMerge w:val="continue"/>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hMerge w:val="continue"/>
            <w:tcMar>
              <w:top w:type="dxa" w:w="60"/>
              <w:left w:type="dxa" w:w="120"/>
              <w:bottom w:type="dxa" w:w="30"/>
              <w:right w:type="dxa" w:w="120"/>
            </w:tcMar>
          </w:tcPr>
          <w:p>
            <w:pPr>
              <w:spacing w:before="120" w:after="120" w:line="288" w:lineRule="auto"/>
              <w:ind w:left="0"/>
              <w:jc w:val="left"/>
            </w:pPr>
          </w:p>
        </w:tc>
      </w:tr>
      <w:tr>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支付时间</w:t>
            </w:r>
          </w:p>
        </w:tc>
        <w:tc>
          <w:tcPr>
            <w:tcW w:w="6855" w:type="dxa"/>
            <w:hMerge w:val="restart"/>
            <w:tcMar>
              <w:top w:type="dxa" w:w="60"/>
              <w:left w:type="dxa" w:w="120"/>
              <w:bottom w:type="dxa" w:w="30"/>
              <w:right w:type="dxa" w:w="120"/>
            </w:tcMar>
          </w:tcPr>
          <w:p>
            <w:pPr>
              <w:spacing w:before="120" w:after="120" w:line="288" w:lineRule="auto"/>
              <w:ind w:left="0"/>
              <w:jc w:val="left"/>
            </w:pPr>
          </w:p>
        </w:tc>
        <w:tc>
          <w:tcPr>
            <w:tcW w:w="1140" w:type="dxa"/>
            <w:hMerge w:val="continue"/>
            <w:tcMar>
              <w:top w:type="dxa" w:w="60"/>
              <w:left w:type="dxa" w:w="120"/>
              <w:bottom w:type="dxa" w:w="30"/>
              <w:right w:type="dxa" w:w="120"/>
            </w:tcMar>
          </w:tcPr>
          <w:p>
            <w:pPr>
              <w:spacing w:before="120" w:after="120" w:line="288" w:lineRule="auto"/>
              <w:ind w:left="0"/>
              <w:jc w:val="left"/>
            </w:pPr>
          </w:p>
        </w:tc>
        <w:tc>
          <w:tcPr>
            <w:tcW w:w="240" w:type="dxa"/>
            <w:hMerge w:val="continue"/>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甲方开票信息：</w:t>
            </w:r>
          </w:p>
          <w:p>
            <w:pPr>
              <w:spacing w:before="120" w:after="120" w:line="288" w:lineRule="auto"/>
              <w:ind w:left="0"/>
              <w:jc w:val="left"/>
            </w:pPr>
            <w:r>
              <w:rPr>
                <w:rFonts w:eastAsia="等线" w:ascii="Arial" w:cs="Arial" w:hAnsi="Arial"/>
                <w:sz w:val="22"/>
              </w:rPr>
              <w:t>企业名称：</w:t>
            </w:r>
          </w:p>
          <w:p>
            <w:pPr>
              <w:spacing w:before="120" w:after="120" w:line="288" w:lineRule="auto"/>
              <w:ind w:left="0"/>
              <w:jc w:val="left"/>
            </w:pPr>
            <w:r>
              <w:rPr>
                <w:rFonts w:eastAsia="等线" w:ascii="Arial" w:cs="Arial" w:hAnsi="Arial"/>
                <w:sz w:val="22"/>
              </w:rPr>
              <w:t>纳税识别号：</w:t>
            </w:r>
          </w:p>
          <w:p>
            <w:pPr>
              <w:spacing w:before="120" w:after="120" w:line="288" w:lineRule="auto"/>
              <w:ind w:left="0"/>
              <w:jc w:val="left"/>
            </w:pPr>
            <w:r>
              <w:rPr>
                <w:rFonts w:eastAsia="等线" w:ascii="Arial" w:cs="Arial" w:hAnsi="Arial"/>
                <w:sz w:val="22"/>
              </w:rPr>
              <w:t>开户行及账号：</w:t>
            </w:r>
          </w:p>
          <w:p>
            <w:pPr>
              <w:spacing w:before="120" w:after="120" w:line="288" w:lineRule="auto"/>
              <w:ind w:left="0"/>
              <w:jc w:val="left"/>
            </w:pPr>
            <w:r>
              <w:rPr>
                <w:rFonts w:eastAsia="等线" w:ascii="Arial" w:cs="Arial" w:hAnsi="Arial"/>
                <w:sz w:val="22"/>
              </w:rPr>
              <w:t>地址和电话：</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hMerge w:val="continue"/>
            <w:tcMar>
              <w:top w:type="dxa" w:w="60"/>
              <w:left w:type="dxa" w:w="120"/>
              <w:bottom w:type="dxa" w:w="30"/>
              <w:right w:type="dxa" w:w="120"/>
            </w:tcMar>
          </w:tcPr>
          <w:p>
            <w:pPr>
              <w:spacing w:before="120" w:after="120" w:line="288" w:lineRule="auto"/>
              <w:ind w:left="0"/>
              <w:jc w:val="left"/>
            </w:pPr>
          </w:p>
        </w:tc>
        <w:tc>
          <w:tcPr>
            <w:tcW w:w="240" w:type="dxa"/>
            <w:hMerge w:val="continue"/>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乙方收款银行：</w:t>
            </w:r>
          </w:p>
          <w:p>
            <w:pPr>
              <w:spacing w:before="120" w:after="120" w:line="288" w:lineRule="auto"/>
              <w:ind w:left="0"/>
              <w:jc w:val="left"/>
            </w:pPr>
            <w:r>
              <w:rPr>
                <w:rFonts w:eastAsia="等线" w:ascii="Arial" w:cs="Arial" w:hAnsi="Arial"/>
                <w:sz w:val="22"/>
              </w:rPr>
              <w:t>开户名：【】</w:t>
            </w:r>
          </w:p>
          <w:p>
            <w:pPr>
              <w:spacing w:before="120" w:after="120" w:line="288" w:lineRule="auto"/>
              <w:ind w:left="0"/>
              <w:jc w:val="left"/>
            </w:pPr>
            <w:r>
              <w:rPr>
                <w:rFonts w:eastAsia="等线" w:ascii="Arial" w:cs="Arial" w:hAnsi="Arial"/>
                <w:sz w:val="22"/>
              </w:rPr>
              <w:t>开户行：【】</w:t>
            </w:r>
          </w:p>
          <w:p>
            <w:pPr>
              <w:spacing w:before="120" w:after="120" w:line="288" w:lineRule="auto"/>
              <w:ind w:left="0"/>
              <w:jc w:val="left"/>
            </w:pPr>
            <w:r>
              <w:rPr>
                <w:rFonts w:eastAsia="等线" w:ascii="Arial" w:cs="Arial" w:hAnsi="Arial"/>
                <w:sz w:val="22"/>
              </w:rPr>
              <w:t>账  号：【】</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hMerge w:val="continue"/>
            <w:tcMar>
              <w:top w:type="dxa" w:w="60"/>
              <w:left w:type="dxa" w:w="120"/>
              <w:bottom w:type="dxa" w:w="30"/>
              <w:right w:type="dxa" w:w="120"/>
            </w:tcMar>
          </w:tcPr>
          <w:p>
            <w:pPr>
              <w:spacing w:before="120" w:after="120" w:line="288" w:lineRule="auto"/>
              <w:ind w:left="0"/>
              <w:jc w:val="left"/>
            </w:pPr>
          </w:p>
        </w:tc>
        <w:tc>
          <w:tcPr>
            <w:tcW w:w="240" w:type="dxa"/>
            <w:hMerge w:val="continue"/>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850" w:type="dxa"/>
            <w:hMerge w:val="continue"/>
            <w:tcMar>
              <w:top w:type="dxa" w:w="60"/>
              <w:left w:type="dxa" w:w="120"/>
              <w:bottom w:type="dxa" w:w="30"/>
              <w:right w:type="dxa" w:w="120"/>
            </w:tcMar>
          </w:tcPr>
          <w:p>
            <w:pPr>
              <w:spacing w:before="120" w:after="120" w:line="288" w:lineRule="auto"/>
              <w:ind w:left="0"/>
              <w:jc w:val="left"/>
            </w:pPr>
          </w:p>
        </w:tc>
      </w:tr>
      <w:tr>
        <w:tc>
          <w:tcPr>
            <w:tcW w:w="40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甲方</w:t>
            </w:r>
            <w:r>
              <w:rPr>
                <w:rFonts w:eastAsia="等线" w:ascii="Arial" w:cs="Arial" w:hAnsi="Arial"/>
                <w:sz w:val="22"/>
              </w:rPr>
              <w:t>：</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hMerge w:val="continue"/>
            <w:tcMar>
              <w:top w:type="dxa" w:w="60"/>
              <w:left w:type="dxa" w:w="120"/>
              <w:bottom w:type="dxa" w:w="30"/>
              <w:right w:type="dxa" w:w="120"/>
            </w:tcMar>
          </w:tcPr>
          <w:p>
            <w:pPr>
              <w:spacing w:before="120" w:after="120" w:line="288" w:lineRule="auto"/>
              <w:ind w:left="0"/>
              <w:jc w:val="left"/>
            </w:pPr>
          </w:p>
        </w:tc>
        <w:tc>
          <w:tcPr>
            <w:tcW w:w="240" w:type="dxa"/>
            <w:hMerge w:val="continue"/>
            <w:tcMar>
              <w:top w:type="dxa" w:w="60"/>
              <w:left w:type="dxa" w:w="120"/>
              <w:bottom w:type="dxa" w:w="30"/>
              <w:right w:type="dxa" w:w="120"/>
            </w:tcMar>
          </w:tcPr>
          <w:p>
            <w:pPr>
              <w:spacing w:before="120" w:after="120" w:line="288" w:lineRule="auto"/>
              <w:ind w:left="0"/>
              <w:jc w:val="left"/>
            </w:pPr>
          </w:p>
        </w:tc>
        <w:tc>
          <w:tcPr>
            <w:tcW w:w="41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乙方：</w:t>
            </w:r>
          </w:p>
        </w:tc>
        <w:tc>
          <w:tcPr>
            <w:tcW w:w="2850" w:type="dxa"/>
            <w:hMerge w:val="continue"/>
            <w:tcMar>
              <w:top w:type="dxa" w:w="60"/>
              <w:left w:type="dxa" w:w="120"/>
              <w:bottom w:type="dxa" w:w="30"/>
              <w:right w:type="dxa" w:w="120"/>
            </w:tcMar>
          </w:tcPr>
          <w:p>
            <w:pPr>
              <w:spacing w:before="120" w:after="120" w:line="288" w:lineRule="auto"/>
              <w:ind w:left="0"/>
              <w:jc w:val="left"/>
            </w:pPr>
          </w:p>
        </w:tc>
      </w:tr>
      <w:tr>
        <w:tc>
          <w:tcPr>
            <w:tcW w:w="40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w:t>
            </w:r>
          </w:p>
          <w:p>
            <w:pPr>
              <w:spacing w:before="120" w:after="120" w:line="288" w:lineRule="auto"/>
              <w:ind w:left="0"/>
              <w:jc w:val="left"/>
            </w:pPr>
            <w:r>
              <w:rPr>
                <w:rFonts w:eastAsia="等线" w:ascii="Arial" w:cs="Arial" w:hAnsi="Arial"/>
                <w:sz w:val="22"/>
              </w:rPr>
              <w:t>联系人：</w:t>
            </w:r>
          </w:p>
          <w:p>
            <w:pPr>
              <w:spacing w:before="120" w:after="120" w:line="288" w:lineRule="auto"/>
              <w:ind w:left="0"/>
              <w:jc w:val="left"/>
            </w:pPr>
            <w:r>
              <w:rPr>
                <w:rFonts w:eastAsia="等线" w:ascii="Arial" w:cs="Arial" w:hAnsi="Arial"/>
                <w:sz w:val="22"/>
              </w:rPr>
              <w:t>电话：</w:t>
            </w:r>
          </w:p>
          <w:p>
            <w:pPr>
              <w:spacing w:before="120" w:after="120" w:line="288" w:lineRule="auto"/>
              <w:ind w:left="0"/>
              <w:jc w:val="left"/>
            </w:pPr>
            <w:r>
              <w:rPr>
                <w:rFonts w:eastAsia="等线" w:ascii="Arial" w:cs="Arial" w:hAnsi="Arial"/>
                <w:sz w:val="22"/>
              </w:rPr>
              <w:t>E-Mail：</w:t>
            </w:r>
          </w:p>
          <w:p>
            <w:pPr>
              <w:spacing w:before="120" w:after="120" w:line="288" w:lineRule="auto"/>
              <w:ind w:left="0"/>
              <w:jc w:val="left"/>
            </w:pPr>
            <w:r>
              <w:rPr>
                <w:rFonts w:eastAsia="等线" w:ascii="Arial" w:cs="Arial" w:hAnsi="Arial"/>
                <w:sz w:val="22"/>
              </w:rPr>
              <w:t>授权代表：（盖章）</w:t>
            </w:r>
          </w:p>
          <w:p>
            <w:pPr>
              <w:spacing w:before="120" w:after="120" w:line="288" w:lineRule="auto"/>
              <w:ind w:left="0"/>
              <w:jc w:val="left"/>
            </w:pPr>
            <w:r>
              <w:rPr>
                <w:rFonts w:eastAsia="等线" w:ascii="Arial" w:cs="Arial" w:hAnsi="Arial"/>
                <w:sz w:val="22"/>
              </w:rPr>
              <w:t>签署日期：  年  月  日</w:t>
            </w: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1140" w:type="dxa"/>
            <w:hMerge w:val="continue"/>
            <w:tcMar>
              <w:top w:type="dxa" w:w="60"/>
              <w:left w:type="dxa" w:w="120"/>
              <w:bottom w:type="dxa" w:w="30"/>
              <w:right w:type="dxa" w:w="120"/>
            </w:tcMar>
          </w:tcPr>
          <w:p>
            <w:pPr>
              <w:spacing w:before="120" w:after="120" w:line="288" w:lineRule="auto"/>
              <w:ind w:left="0"/>
              <w:jc w:val="left"/>
            </w:pPr>
          </w:p>
        </w:tc>
        <w:tc>
          <w:tcPr>
            <w:tcW w:w="240" w:type="dxa"/>
            <w:hMerge w:val="continue"/>
            <w:tcMar>
              <w:top w:type="dxa" w:w="60"/>
              <w:left w:type="dxa" w:w="120"/>
              <w:bottom w:type="dxa" w:w="30"/>
              <w:right w:type="dxa" w:w="120"/>
            </w:tcMar>
          </w:tcPr>
          <w:p>
            <w:pPr>
              <w:spacing w:before="120" w:after="120" w:line="288" w:lineRule="auto"/>
              <w:ind w:left="0"/>
              <w:jc w:val="left"/>
            </w:pPr>
          </w:p>
        </w:tc>
        <w:tc>
          <w:tcPr>
            <w:tcW w:w="418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w:t>
            </w:r>
          </w:p>
          <w:p>
            <w:pPr>
              <w:spacing w:before="120" w:after="120" w:line="288" w:lineRule="auto"/>
              <w:ind w:left="0"/>
              <w:jc w:val="left"/>
            </w:pPr>
            <w:r>
              <w:rPr>
                <w:rFonts w:eastAsia="等线" w:ascii="Arial" w:cs="Arial" w:hAnsi="Arial"/>
                <w:sz w:val="22"/>
              </w:rPr>
              <w:t>联系人：</w:t>
            </w:r>
          </w:p>
          <w:p>
            <w:pPr>
              <w:spacing w:before="120" w:after="120" w:line="288" w:lineRule="auto"/>
              <w:ind w:left="0"/>
              <w:jc w:val="left"/>
            </w:pPr>
            <w:r>
              <w:rPr>
                <w:rFonts w:eastAsia="等线" w:ascii="Arial" w:cs="Arial" w:hAnsi="Arial"/>
                <w:sz w:val="22"/>
              </w:rPr>
              <w:t>电话：</w:t>
            </w:r>
          </w:p>
          <w:p>
            <w:pPr>
              <w:spacing w:before="120" w:after="120" w:line="288" w:lineRule="auto"/>
              <w:ind w:left="0"/>
              <w:jc w:val="left"/>
            </w:pPr>
            <w:r>
              <w:rPr>
                <w:rFonts w:eastAsia="等线" w:ascii="Arial" w:cs="Arial" w:hAnsi="Arial"/>
                <w:sz w:val="22"/>
              </w:rPr>
              <w:t>E-Mail：</w:t>
            </w:r>
          </w:p>
          <w:p>
            <w:pPr>
              <w:spacing w:before="120" w:after="120" w:line="288" w:lineRule="auto"/>
              <w:ind w:left="0"/>
              <w:jc w:val="left"/>
            </w:pPr>
            <w:r>
              <w:rPr>
                <w:rFonts w:eastAsia="等线" w:ascii="Arial" w:cs="Arial" w:hAnsi="Arial"/>
                <w:sz w:val="22"/>
              </w:rPr>
              <w:t>授权代表：（盖章）</w:t>
            </w:r>
          </w:p>
          <w:p>
            <w:pPr>
              <w:spacing w:before="120" w:after="120" w:line="288" w:lineRule="auto"/>
              <w:ind w:left="0"/>
              <w:jc w:val="left"/>
            </w:pPr>
            <w:r>
              <w:rPr>
                <w:rFonts w:eastAsia="等线" w:ascii="Arial" w:cs="Arial" w:hAnsi="Arial"/>
                <w:sz w:val="22"/>
              </w:rPr>
              <w:t>签署日期：  年  月  日</w:t>
            </w:r>
          </w:p>
        </w:tc>
        <w:tc>
          <w:tcPr>
            <w:tcW w:w="28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 </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07862">
    <w:lvl>
      <w:start w:val="1"/>
      <w:numFmt w:val="decimal"/>
      <w:suff w:val="tab"/>
      <w:lvlText w:val="%1."/>
      <w:rPr>
        <w:color w:val="3370ff"/>
      </w:rPr>
    </w:lvl>
  </w:abstractNum>
  <w:abstractNum w:abstractNumId="1007863">
    <w:lvl>
      <w:start w:val="1"/>
      <w:numFmt w:val="lowerLetter"/>
      <w:suff w:val="tab"/>
      <w:lvlText w:val="%1."/>
      <w:rPr>
        <w:color w:val="3370ff"/>
      </w:rPr>
    </w:lvl>
  </w:abstractNum>
  <w:abstractNum w:abstractNumId="1007864">
    <w:lvl>
      <w:start w:val="2"/>
      <w:numFmt w:val="lowerLetter"/>
      <w:suff w:val="tab"/>
      <w:lvlText w:val="%1."/>
      <w:rPr>
        <w:color w:val="3370ff"/>
      </w:rPr>
    </w:lvl>
  </w:abstractNum>
  <w:abstractNum w:abstractNumId="1007865">
    <w:lvl>
      <w:start w:val="3"/>
      <w:numFmt w:val="lowerLetter"/>
      <w:suff w:val="tab"/>
      <w:lvlText w:val="%1."/>
      <w:rPr>
        <w:color w:val="3370ff"/>
      </w:rPr>
    </w:lvl>
  </w:abstractNum>
  <w:abstractNum w:abstractNumId="1007866">
    <w:lvl>
      <w:start w:val="4"/>
      <w:numFmt w:val="lowerLetter"/>
      <w:suff w:val="tab"/>
      <w:lvlText w:val="%1."/>
      <w:rPr>
        <w:color w:val="3370ff"/>
      </w:rPr>
    </w:lvl>
  </w:abstractNum>
  <w:abstractNum w:abstractNumId="1007867">
    <w:lvl>
      <w:start w:val="5"/>
      <w:numFmt w:val="lowerLetter"/>
      <w:suff w:val="tab"/>
      <w:lvlText w:val="%1."/>
      <w:rPr>
        <w:color w:val="3370ff"/>
      </w:rPr>
    </w:lvl>
  </w:abstractNum>
  <w:abstractNum w:abstractNumId="1007868">
    <w:lvl>
      <w:start w:val="6"/>
      <w:numFmt w:val="lowerLetter"/>
      <w:suff w:val="tab"/>
      <w:lvlText w:val="%1."/>
      <w:rPr>
        <w:color w:val="3370ff"/>
      </w:rPr>
    </w:lvl>
  </w:abstractNum>
  <w:abstractNum w:abstractNumId="1007869">
    <w:lvl>
      <w:start w:val="7"/>
      <w:numFmt w:val="lowerLetter"/>
      <w:suff w:val="tab"/>
      <w:lvlText w:val="%1."/>
      <w:rPr>
        <w:color w:val="3370ff"/>
      </w:rPr>
    </w:lvl>
  </w:abstractNum>
  <w:abstractNum w:abstractNumId="1007870">
    <w:lvl>
      <w:start w:val="8"/>
      <w:numFmt w:val="lowerLetter"/>
      <w:suff w:val="tab"/>
      <w:lvlText w:val="%1."/>
      <w:rPr>
        <w:color w:val="3370ff"/>
      </w:rPr>
    </w:lvl>
  </w:abstractNum>
  <w:abstractNum w:abstractNumId="1007871">
    <w:lvl>
      <w:start w:val="9"/>
      <w:numFmt w:val="lowerLetter"/>
      <w:suff w:val="tab"/>
      <w:lvlText w:val="%1."/>
      <w:rPr>
        <w:color w:val="3370ff"/>
      </w:rPr>
    </w:lvl>
  </w:abstractNum>
  <w:abstractNum w:abstractNumId="1007872">
    <w:lvl>
      <w:start w:val="2"/>
      <w:numFmt w:val="lowerRoman"/>
      <w:suff w:val="tab"/>
      <w:lvlText w:val="%1."/>
      <w:rPr>
        <w:color w:val="3370ff"/>
      </w:rPr>
    </w:lvl>
  </w:abstractNum>
  <w:abstractNum w:abstractNumId="1007873">
    <w:lvl>
      <w:start w:val="1"/>
      <w:numFmt w:val="decimal"/>
      <w:suff w:val="tab"/>
      <w:lvlText w:val="%1."/>
      <w:rPr>
        <w:color w:val="3370ff"/>
      </w:rPr>
    </w:lvl>
  </w:abstractNum>
  <w:abstractNum w:abstractNumId="1007874">
    <w:lvl>
      <w:start w:val="3"/>
      <w:numFmt w:val="lowerRoman"/>
      <w:suff w:val="tab"/>
      <w:lvlText w:val="%1."/>
      <w:rPr>
        <w:color w:val="3370ff"/>
      </w:rPr>
    </w:lvl>
  </w:abstractNum>
  <w:abstractNum w:abstractNumId="1007875">
    <w:lvl>
      <w:start w:val="1"/>
      <w:numFmt w:val="decimal"/>
      <w:suff w:val="tab"/>
      <w:lvlText w:val="%1."/>
      <w:rPr>
        <w:color w:val="3370ff"/>
      </w:rPr>
    </w:lvl>
  </w:abstractNum>
  <w:abstractNum w:abstractNumId="1007876">
    <w:lvl>
      <w:start w:val="2"/>
      <w:numFmt w:val="decimal"/>
      <w:suff w:val="tab"/>
      <w:lvlText w:val="%1."/>
      <w:rPr>
        <w:color w:val="3370ff"/>
      </w:rPr>
    </w:lvl>
  </w:abstractNum>
  <w:abstractNum w:abstractNumId="1007877">
    <w:lvl>
      <w:start w:val="3"/>
      <w:numFmt w:val="decimal"/>
      <w:suff w:val="tab"/>
      <w:lvlText w:val="%1."/>
      <w:rPr>
        <w:color w:val="3370ff"/>
      </w:rPr>
    </w:lvl>
  </w:abstractNum>
  <w:abstractNum w:abstractNumId="1007878">
    <w:lvl>
      <w:start w:val="4"/>
      <w:numFmt w:val="lowerRoman"/>
      <w:suff w:val="tab"/>
      <w:lvlText w:val="%1."/>
      <w:rPr>
        <w:color w:val="3370ff"/>
      </w:rPr>
    </w:lvl>
  </w:abstractNum>
  <w:abstractNum w:abstractNumId="1007879">
    <w:lvl>
      <w:start w:val="1"/>
      <w:numFmt w:val="decimal"/>
      <w:suff w:val="tab"/>
      <w:lvlText w:val="%1."/>
      <w:rPr>
        <w:color w:val="3370ff"/>
      </w:rPr>
    </w:lvl>
  </w:abstractNum>
  <w:abstractNum w:abstractNumId="1007880">
    <w:lvl>
      <w:start w:val="2"/>
      <w:numFmt w:val="decimal"/>
      <w:suff w:val="tab"/>
      <w:lvlText w:val="%1."/>
      <w:rPr>
        <w:color w:val="3370ff"/>
      </w:rPr>
    </w:lvl>
  </w:abstractNum>
  <w:abstractNum w:abstractNumId="1007881">
    <w:lvl>
      <w:start w:val="3"/>
      <w:numFmt w:val="decimal"/>
      <w:suff w:val="tab"/>
      <w:lvlText w:val="%1."/>
      <w:rPr>
        <w:color w:val="3370ff"/>
      </w:rPr>
    </w:lvl>
  </w:abstractNum>
  <w:abstractNum w:abstractNumId="1007882">
    <w:lvl>
      <w:start w:val="4"/>
      <w:numFmt w:val="decimal"/>
      <w:suff w:val="tab"/>
      <w:lvlText w:val="%1."/>
      <w:rPr>
        <w:color w:val="3370ff"/>
      </w:rPr>
    </w:lvl>
  </w:abstractNum>
  <w:abstractNum w:abstractNumId="1007883">
    <w:lvl>
      <w:start w:val="5"/>
      <w:numFmt w:val="decimal"/>
      <w:suff w:val="tab"/>
      <w:lvlText w:val="%1."/>
      <w:rPr>
        <w:color w:val="3370ff"/>
      </w:rPr>
    </w:lvl>
  </w:abstractNum>
  <w:abstractNum w:abstractNumId="1007884">
    <w:lvl>
      <w:start w:val="1"/>
      <w:numFmt w:val="lowerLetter"/>
      <w:suff w:val="tab"/>
      <w:lvlText w:val="%1."/>
      <w:rPr>
        <w:color w:val="3370ff"/>
      </w:rPr>
    </w:lvl>
  </w:abstractNum>
  <w:abstractNum w:abstractNumId="1007885">
    <w:lvl>
      <w:start w:val="2"/>
      <w:numFmt w:val="decimal"/>
      <w:suff w:val="tab"/>
      <w:lvlText w:val="%1."/>
      <w:rPr>
        <w:color w:val="3370ff"/>
      </w:rPr>
    </w:lvl>
  </w:abstractNum>
  <w:abstractNum w:abstractNumId="1007886">
    <w:lvl>
      <w:start w:val="3"/>
      <w:numFmt w:val="decimal"/>
      <w:suff w:val="tab"/>
      <w:lvlText w:val="%1."/>
      <w:rPr>
        <w:color w:val="3370ff"/>
      </w:rPr>
    </w:lvl>
  </w:abstractNum>
  <w:abstractNum w:abstractNumId="1007887">
    <w:lvl>
      <w:start w:val="2"/>
      <w:numFmt w:val="lowerLetter"/>
      <w:suff w:val="tab"/>
      <w:lvlText w:val="%1."/>
      <w:rPr>
        <w:color w:val="3370ff"/>
      </w:rPr>
    </w:lvl>
  </w:abstractNum>
  <w:abstractNum w:abstractNumId="1007888">
    <w:lvl>
      <w:start w:val="3"/>
      <w:numFmt w:val="lowerLetter"/>
      <w:suff w:val="tab"/>
      <w:lvlText w:val="%1."/>
      <w:rPr>
        <w:color w:val="3370ff"/>
      </w:rPr>
    </w:lvl>
  </w:abstractNum>
  <w:abstractNum w:abstractNumId="1007889">
    <w:lvl>
      <w:start w:val="6"/>
      <w:numFmt w:val="lowerRoman"/>
      <w:suff w:val="tab"/>
      <w:lvlText w:val="%1."/>
      <w:rPr>
        <w:color w:val="3370ff"/>
      </w:rPr>
    </w:lvl>
  </w:abstractNum>
  <w:abstractNum w:abstractNumId="1007890">
    <w:lvl>
      <w:start w:val="1"/>
      <w:numFmt w:val="decimal"/>
      <w:suff w:val="tab"/>
      <w:lvlText w:val="%1."/>
      <w:rPr>
        <w:color w:val="3370ff"/>
      </w:rPr>
    </w:lvl>
  </w:abstractNum>
  <w:abstractNum w:abstractNumId="1007891">
    <w:lvl>
      <w:start w:val="1"/>
      <w:numFmt w:val="lowerLetter"/>
      <w:suff w:val="tab"/>
      <w:lvlText w:val="%1."/>
      <w:rPr>
        <w:color w:val="3370ff"/>
      </w:rPr>
    </w:lvl>
  </w:abstractNum>
  <w:abstractNum w:abstractNumId="1007892">
    <w:lvl>
      <w:start w:val="2"/>
      <w:numFmt w:val="lowerLetter"/>
      <w:suff w:val="tab"/>
      <w:lvlText w:val="%1."/>
      <w:rPr>
        <w:color w:val="3370ff"/>
      </w:rPr>
    </w:lvl>
  </w:abstractNum>
  <w:abstractNum w:abstractNumId="1007893">
    <w:lvl>
      <w:start w:val="3"/>
      <w:numFmt w:val="lowerLetter"/>
      <w:suff w:val="tab"/>
      <w:lvlText w:val="%1."/>
      <w:rPr>
        <w:color w:val="3370ff"/>
      </w:rPr>
    </w:lvl>
  </w:abstractNum>
  <w:abstractNum w:abstractNumId="1007894">
    <w:lvl>
      <w:start w:val="4"/>
      <w:numFmt w:val="lowerLetter"/>
      <w:suff w:val="tab"/>
      <w:lvlText w:val="%1."/>
      <w:rPr>
        <w:color w:val="3370ff"/>
      </w:rPr>
    </w:lvl>
  </w:abstractNum>
  <w:abstractNum w:abstractNumId="1007895">
    <w:lvl>
      <w:start w:val="5"/>
      <w:numFmt w:val="lowerLetter"/>
      <w:suff w:val="tab"/>
      <w:lvlText w:val="%1."/>
      <w:rPr>
        <w:color w:val="3370ff"/>
      </w:rPr>
    </w:lvl>
  </w:abstractNum>
  <w:abstractNum w:abstractNumId="1007896">
    <w:lvl>
      <w:start w:val="6"/>
      <w:numFmt w:val="lowerLetter"/>
      <w:suff w:val="tab"/>
      <w:lvlText w:val="%1."/>
      <w:rPr>
        <w:color w:val="3370ff"/>
      </w:rPr>
    </w:lvl>
  </w:abstractNum>
  <w:abstractNum w:abstractNumId="1007897">
    <w:lvl>
      <w:start w:val="7"/>
      <w:numFmt w:val="lowerLetter"/>
      <w:suff w:val="tab"/>
      <w:lvlText w:val="%1."/>
      <w:rPr>
        <w:color w:val="3370ff"/>
      </w:rPr>
    </w:lvl>
  </w:abstractNum>
  <w:abstractNum w:abstractNumId="1007898">
    <w:lvl>
      <w:start w:val="2"/>
      <w:numFmt w:val="decimal"/>
      <w:suff w:val="tab"/>
      <w:lvlText w:val="%1."/>
      <w:rPr>
        <w:color w:val="3370ff"/>
      </w:rPr>
    </w:lvl>
  </w:abstractNum>
  <w:abstractNum w:abstractNumId="1007899">
    <w:lvl>
      <w:start w:val="1"/>
      <w:numFmt w:val="lowerLetter"/>
      <w:suff w:val="tab"/>
      <w:lvlText w:val="%1."/>
      <w:rPr>
        <w:color w:val="3370ff"/>
      </w:rPr>
    </w:lvl>
  </w:abstractNum>
  <w:abstractNum w:abstractNumId="1007900">
    <w:lvl>
      <w:start w:val="2"/>
      <w:numFmt w:val="lowerLetter"/>
      <w:suff w:val="tab"/>
      <w:lvlText w:val="%1."/>
      <w:rPr>
        <w:color w:val="3370ff"/>
      </w:rPr>
    </w:lvl>
  </w:abstractNum>
  <w:abstractNum w:abstractNumId="1007901">
    <w:lvl>
      <w:start w:val="3"/>
      <w:numFmt w:val="lowerLetter"/>
      <w:suff w:val="tab"/>
      <w:lvlText w:val="%1."/>
      <w:rPr>
        <w:color w:val="3370ff"/>
      </w:rPr>
    </w:lvl>
  </w:abstractNum>
  <w:abstractNum w:abstractNumId="1007902">
    <w:lvl>
      <w:start w:val="4"/>
      <w:numFmt w:val="lowerLetter"/>
      <w:suff w:val="tab"/>
      <w:lvlText w:val="%1."/>
      <w:rPr>
        <w:color w:val="3370ff"/>
      </w:rPr>
    </w:lvl>
  </w:abstractNum>
  <w:abstractNum w:abstractNumId="1007903">
    <w:lvl>
      <w:start w:val="7"/>
      <w:numFmt w:val="lowerRoman"/>
      <w:suff w:val="tab"/>
      <w:lvlText w:val="%1."/>
      <w:rPr>
        <w:color w:val="3370ff"/>
      </w:rPr>
    </w:lvl>
  </w:abstractNum>
  <w:abstractNum w:abstractNumId="1007904">
    <w:lvl>
      <w:start w:val="1"/>
      <w:numFmt w:val="decimal"/>
      <w:suff w:val="tab"/>
      <w:lvlText w:val="%1."/>
      <w:rPr>
        <w:color w:val="3370ff"/>
      </w:rPr>
    </w:lvl>
  </w:abstractNum>
  <w:abstractNum w:abstractNumId="1007905">
    <w:lvl>
      <w:start w:val="2"/>
      <w:numFmt w:val="decimal"/>
      <w:suff w:val="tab"/>
      <w:lvlText w:val="%1."/>
      <w:rPr>
        <w:color w:val="3370ff"/>
      </w:rPr>
    </w:lvl>
  </w:abstractNum>
  <w:abstractNum w:abstractNumId="1007906">
    <w:lvl>
      <w:start w:val="3"/>
      <w:numFmt w:val="decimal"/>
      <w:suff w:val="tab"/>
      <w:lvlText w:val="%1."/>
      <w:rPr>
        <w:color w:val="3370ff"/>
      </w:rPr>
    </w:lvl>
  </w:abstractNum>
  <w:abstractNum w:abstractNumId="1007907">
    <w:lvl>
      <w:start w:val="4"/>
      <w:numFmt w:val="decimal"/>
      <w:suff w:val="tab"/>
      <w:lvlText w:val="%1."/>
      <w:rPr>
        <w:color w:val="3370ff"/>
      </w:rPr>
    </w:lvl>
  </w:abstractNum>
  <w:abstractNum w:abstractNumId="1007908">
    <w:lvl>
      <w:start w:val="8"/>
      <w:numFmt w:val="lowerRoman"/>
      <w:suff w:val="tab"/>
      <w:lvlText w:val="%1."/>
      <w:rPr>
        <w:color w:val="3370ff"/>
      </w:rPr>
    </w:lvl>
  </w:abstractNum>
  <w:abstractNum w:abstractNumId="1007909">
    <w:lvl>
      <w:start w:val="1"/>
      <w:numFmt w:val="decimal"/>
      <w:suff w:val="tab"/>
      <w:lvlText w:val="%1."/>
      <w:rPr>
        <w:color w:val="3370ff"/>
      </w:rPr>
    </w:lvl>
  </w:abstractNum>
  <w:abstractNum w:abstractNumId="1007910">
    <w:lvl>
      <w:start w:val="2"/>
      <w:numFmt w:val="decimal"/>
      <w:suff w:val="tab"/>
      <w:lvlText w:val="%1."/>
      <w:rPr>
        <w:color w:val="3370ff"/>
      </w:rPr>
    </w:lvl>
  </w:abstractNum>
  <w:abstractNum w:abstractNumId="1007911">
    <w:lvl>
      <w:start w:val="9"/>
      <w:numFmt w:val="lowerRoman"/>
      <w:suff w:val="tab"/>
      <w:lvlText w:val="%1."/>
      <w:rPr>
        <w:color w:val="3370ff"/>
      </w:rPr>
    </w:lvl>
  </w:abstractNum>
  <w:abstractNum w:abstractNumId="1007912">
    <w:lvl>
      <w:start w:val="1"/>
      <w:numFmt w:val="decimal"/>
      <w:suff w:val="tab"/>
      <w:lvlText w:val="%1."/>
      <w:rPr>
        <w:color w:val="3370ff"/>
      </w:rPr>
    </w:lvl>
  </w:abstractNum>
  <w:abstractNum w:abstractNumId="1007913">
    <w:lvl>
      <w:start w:val="2"/>
      <w:numFmt w:val="decimal"/>
      <w:suff w:val="tab"/>
      <w:lvlText w:val="%1."/>
      <w:rPr>
        <w:color w:val="3370ff"/>
      </w:rPr>
    </w:lvl>
  </w:abstractNum>
  <w:abstractNum w:abstractNumId="1007914">
    <w:lvl>
      <w:start w:val="3"/>
      <w:numFmt w:val="decimal"/>
      <w:suff w:val="tab"/>
      <w:lvlText w:val="%1."/>
      <w:rPr>
        <w:color w:val="3370ff"/>
      </w:rPr>
    </w:lvl>
  </w:abstractNum>
  <w:abstractNum w:abstractNumId="1007915">
    <w:lvl>
      <w:start w:val="10"/>
      <w:numFmt w:val="lowerRoman"/>
      <w:suff w:val="tab"/>
      <w:lvlText w:val="%1."/>
      <w:rPr>
        <w:color w:val="3370ff"/>
      </w:rPr>
    </w:lvl>
  </w:abstractNum>
  <w:abstractNum w:abstractNumId="1007916">
    <w:lvl>
      <w:start w:val="11"/>
      <w:numFmt w:val="decimal"/>
      <w:suff w:val="tab"/>
      <w:lvlText w:val="%1."/>
      <w:rPr>
        <w:color w:val="3370ff"/>
      </w:rPr>
    </w:lvl>
  </w:abstractNum>
  <w:abstractNum w:abstractNumId="1007917">
    <w:lvl>
      <w:start w:val="1"/>
      <w:numFmt w:val="lowerLetter"/>
      <w:suff w:val="tab"/>
      <w:lvlText w:val="%1."/>
      <w:rPr>
        <w:color w:val="3370ff"/>
      </w:rPr>
    </w:lvl>
  </w:abstractNum>
  <w:abstractNum w:abstractNumId="1007918">
    <w:lvl>
      <w:start w:val="2"/>
      <w:numFmt w:val="lowerLetter"/>
      <w:suff w:val="tab"/>
      <w:lvlText w:val="%1."/>
      <w:rPr>
        <w:color w:val="3370ff"/>
      </w:rPr>
    </w:lvl>
  </w:abstractNum>
  <w:abstractNum w:abstractNumId="1007919">
    <w:lvl>
      <w:start w:val="3"/>
      <w:numFmt w:val="lowerLetter"/>
      <w:suff w:val="tab"/>
      <w:lvlText w:val="%1."/>
      <w:rPr>
        <w:color w:val="3370ff"/>
      </w:rPr>
    </w:lvl>
  </w:abstractNum>
  <w:abstractNum w:abstractNumId="1007920">
    <w:lvl>
      <w:start w:val="4"/>
      <w:numFmt w:val="lowerLetter"/>
      <w:suff w:val="tab"/>
      <w:lvlText w:val="%1."/>
      <w:rPr>
        <w:color w:val="3370ff"/>
      </w:rPr>
    </w:lvl>
  </w:abstractNum>
  <w:abstractNum w:abstractNumId="1007921">
    <w:lvl>
      <w:start w:val="12"/>
      <w:numFmt w:val="lowerRoman"/>
      <w:suff w:val="tab"/>
      <w:lvlText w:val="%1."/>
      <w:rPr>
        <w:color w:val="3370ff"/>
      </w:rPr>
    </w:lvl>
  </w:abstractNum>
  <w:abstractNum w:abstractNumId="1007922">
    <w:lvl>
      <w:start w:val="1"/>
      <w:numFmt w:val="decimal"/>
      <w:suff w:val="tab"/>
      <w:lvlText w:val="%1."/>
      <w:rPr>
        <w:color w:val="3370ff"/>
      </w:rPr>
    </w:lvl>
  </w:abstractNum>
  <w:abstractNum w:abstractNumId="1007923">
    <w:lvl>
      <w:start w:val="2"/>
      <w:numFmt w:val="decimal"/>
      <w:suff w:val="tab"/>
      <w:lvlText w:val="%1."/>
      <w:rPr>
        <w:color w:val="3370ff"/>
      </w:rPr>
    </w:lvl>
  </w:abstractNum>
  <w:abstractNum w:abstractNumId="1007924">
    <w:lvl>
      <w:start w:val="13"/>
      <w:numFmt w:val="lowerRoman"/>
      <w:suff w:val="tab"/>
      <w:lvlText w:val="%1."/>
      <w:rPr>
        <w:color w:val="3370ff"/>
      </w:rPr>
    </w:lvl>
  </w:abstractNum>
  <w:abstractNum w:abstractNumId="1007925">
    <w:lvl>
      <w:start w:val="1"/>
      <w:numFmt w:val="decimal"/>
      <w:suff w:val="tab"/>
      <w:lvlText w:val="%1."/>
      <w:rPr>
        <w:color w:val="3370ff"/>
      </w:rPr>
    </w:lvl>
  </w:abstractNum>
  <w:abstractNum w:abstractNumId="1007926">
    <w:lvl>
      <w:start w:val="2"/>
      <w:numFmt w:val="decimal"/>
      <w:suff w:val="tab"/>
      <w:lvlText w:val="%1."/>
      <w:rPr>
        <w:color w:val="3370ff"/>
      </w:rPr>
    </w:lvl>
  </w:abstractNum>
  <w:abstractNum w:abstractNumId="1007927">
    <w:lvl>
      <w:start w:val="3"/>
      <w:numFmt w:val="decimal"/>
      <w:suff w:val="tab"/>
      <w:lvlText w:val="%1."/>
      <w:rPr>
        <w:color w:val="3370ff"/>
      </w:rPr>
    </w:lvl>
  </w:abstractNum>
  <w:abstractNum w:abstractNumId="1007928">
    <w:lvl>
      <w:start w:val="4"/>
      <w:numFmt w:val="decimal"/>
      <w:suff w:val="tab"/>
      <w:lvlText w:val="%1."/>
      <w:rPr>
        <w:color w:val="3370ff"/>
      </w:rPr>
    </w:lvl>
  </w:abstractNum>
  <w:abstractNum w:abstractNumId="1007929">
    <w:lvl>
      <w:start w:val="5"/>
      <w:numFmt w:val="decimal"/>
      <w:suff w:val="tab"/>
      <w:lvlText w:val="%1."/>
      <w:rPr>
        <w:color w:val="3370ff"/>
      </w:rPr>
    </w:lvl>
  </w:abstractNum>
  <w:abstractNum w:abstractNumId="1007930">
    <w:lvl>
      <w:start w:val="6"/>
      <w:numFmt w:val="decimal"/>
      <w:suff w:val="tab"/>
      <w:lvlText w:val="%1."/>
      <w:rPr>
        <w:color w:val="3370ff"/>
      </w:rPr>
    </w:lvl>
  </w:abstractNum>
  <w:abstractNum w:abstractNumId="1007931">
    <w:lvl>
      <w:start w:val="7"/>
      <w:numFmt w:val="decimal"/>
      <w:suff w:val="tab"/>
      <w:lvlText w:val="%1."/>
      <w:rPr>
        <w:color w:val="3370ff"/>
      </w:rPr>
    </w:lvl>
  </w:abstractNum>
  <w:abstractNum w:abstractNumId="1007932">
    <w:lvl>
      <w:start w:val="1"/>
      <w:numFmt w:val="decimal"/>
      <w:suff w:val="tab"/>
      <w:lvlText w:val="%1."/>
      <w:rPr>
        <w:color w:val="3370ff"/>
      </w:rPr>
    </w:lvl>
  </w:abstractNum>
  <w:abstractNum w:abstractNumId="1007933">
    <w:lvl>
      <w:start w:val="2"/>
      <w:numFmt w:val="lowerLetter"/>
      <w:suff w:val="tab"/>
      <w:lvlText w:val="%1."/>
      <w:rPr>
        <w:color w:val="3370ff"/>
      </w:rPr>
    </w:lvl>
  </w:abstractNum>
  <w:abstractNum w:abstractNumId="1007934">
    <w:lvl>
      <w:start w:val="3"/>
      <w:numFmt w:val="lowerLetter"/>
      <w:suff w:val="tab"/>
      <w:lvlText w:val="%1."/>
      <w:rPr>
        <w:color w:val="3370ff"/>
      </w:rPr>
    </w:lvl>
  </w:abstractNum>
  <w:num w:numId="1">
    <w:abstractNumId w:val="1007862"/>
  </w:num>
  <w:num w:numId="2">
    <w:abstractNumId w:val="1007863"/>
  </w:num>
  <w:num w:numId="3">
    <w:abstractNumId w:val="1007864"/>
  </w:num>
  <w:num w:numId="4">
    <w:abstractNumId w:val="1007865"/>
  </w:num>
  <w:num w:numId="5">
    <w:abstractNumId w:val="1007866"/>
  </w:num>
  <w:num w:numId="6">
    <w:abstractNumId w:val="1007867"/>
  </w:num>
  <w:num w:numId="7">
    <w:abstractNumId w:val="1007868"/>
  </w:num>
  <w:num w:numId="8">
    <w:abstractNumId w:val="1007869"/>
  </w:num>
  <w:num w:numId="9">
    <w:abstractNumId w:val="1007870"/>
  </w:num>
  <w:num w:numId="10">
    <w:abstractNumId w:val="1007871"/>
  </w:num>
  <w:num w:numId="11">
    <w:abstractNumId w:val="1007872"/>
  </w:num>
  <w:num w:numId="12">
    <w:abstractNumId w:val="1007873"/>
  </w:num>
  <w:num w:numId="13">
    <w:abstractNumId w:val="1007874"/>
  </w:num>
  <w:num w:numId="14">
    <w:abstractNumId w:val="1007875"/>
  </w:num>
  <w:num w:numId="15">
    <w:abstractNumId w:val="1007876"/>
  </w:num>
  <w:num w:numId="16">
    <w:abstractNumId w:val="1007877"/>
  </w:num>
  <w:num w:numId="17">
    <w:abstractNumId w:val="1007878"/>
  </w:num>
  <w:num w:numId="18">
    <w:abstractNumId w:val="1007879"/>
  </w:num>
  <w:num w:numId="19">
    <w:abstractNumId w:val="1007880"/>
  </w:num>
  <w:num w:numId="20">
    <w:abstractNumId w:val="1007881"/>
  </w:num>
  <w:num w:numId="21">
    <w:abstractNumId w:val="1007882"/>
  </w:num>
  <w:num w:numId="22">
    <w:abstractNumId w:val="1007883"/>
  </w:num>
  <w:num w:numId="23">
    <w:abstractNumId w:val="1007884"/>
  </w:num>
  <w:num w:numId="24">
    <w:abstractNumId w:val="1007885"/>
  </w:num>
  <w:num w:numId="25">
    <w:abstractNumId w:val="1007886"/>
  </w:num>
  <w:num w:numId="26">
    <w:abstractNumId w:val="1007887"/>
  </w:num>
  <w:num w:numId="27">
    <w:abstractNumId w:val="1007888"/>
  </w:num>
  <w:num w:numId="28">
    <w:abstractNumId w:val="1007889"/>
  </w:num>
  <w:num w:numId="29">
    <w:abstractNumId w:val="1007890"/>
  </w:num>
  <w:num w:numId="30">
    <w:abstractNumId w:val="1007891"/>
  </w:num>
  <w:num w:numId="31">
    <w:abstractNumId w:val="1007892"/>
  </w:num>
  <w:num w:numId="32">
    <w:abstractNumId w:val="1007893"/>
  </w:num>
  <w:num w:numId="33">
    <w:abstractNumId w:val="1007894"/>
  </w:num>
  <w:num w:numId="34">
    <w:abstractNumId w:val="1007895"/>
  </w:num>
  <w:num w:numId="35">
    <w:abstractNumId w:val="1007896"/>
  </w:num>
  <w:num w:numId="36">
    <w:abstractNumId w:val="1007897"/>
  </w:num>
  <w:num w:numId="37">
    <w:abstractNumId w:val="1007898"/>
  </w:num>
  <w:num w:numId="38">
    <w:abstractNumId w:val="1007899"/>
  </w:num>
  <w:num w:numId="39">
    <w:abstractNumId w:val="1007900"/>
  </w:num>
  <w:num w:numId="40">
    <w:abstractNumId w:val="1007901"/>
  </w:num>
  <w:num w:numId="41">
    <w:abstractNumId w:val="1007902"/>
  </w:num>
  <w:num w:numId="42">
    <w:abstractNumId w:val="1007903"/>
  </w:num>
  <w:num w:numId="43">
    <w:abstractNumId w:val="1007904"/>
  </w:num>
  <w:num w:numId="44">
    <w:abstractNumId w:val="1007905"/>
  </w:num>
  <w:num w:numId="45">
    <w:abstractNumId w:val="1007906"/>
  </w:num>
  <w:num w:numId="46">
    <w:abstractNumId w:val="1007907"/>
  </w:num>
  <w:num w:numId="47">
    <w:abstractNumId w:val="1007908"/>
  </w:num>
  <w:num w:numId="48">
    <w:abstractNumId w:val="1007909"/>
  </w:num>
  <w:num w:numId="49">
    <w:abstractNumId w:val="1007910"/>
  </w:num>
  <w:num w:numId="50">
    <w:abstractNumId w:val="1007911"/>
  </w:num>
  <w:num w:numId="51">
    <w:abstractNumId w:val="1007912"/>
  </w:num>
  <w:num w:numId="52">
    <w:abstractNumId w:val="1007913"/>
  </w:num>
  <w:num w:numId="53">
    <w:abstractNumId w:val="1007914"/>
  </w:num>
  <w:num w:numId="54">
    <w:abstractNumId w:val="1007915"/>
  </w:num>
  <w:num w:numId="55">
    <w:abstractNumId w:val="1007916"/>
  </w:num>
  <w:num w:numId="56">
    <w:abstractNumId w:val="1007917"/>
  </w:num>
  <w:num w:numId="57">
    <w:abstractNumId w:val="1007918"/>
  </w:num>
  <w:num w:numId="58">
    <w:abstractNumId w:val="1007919"/>
  </w:num>
  <w:num w:numId="59">
    <w:abstractNumId w:val="1007920"/>
  </w:num>
  <w:num w:numId="60">
    <w:abstractNumId w:val="1007921"/>
  </w:num>
  <w:num w:numId="61">
    <w:abstractNumId w:val="1007922"/>
  </w:num>
  <w:num w:numId="62">
    <w:abstractNumId w:val="1007923"/>
  </w:num>
  <w:num w:numId="63">
    <w:abstractNumId w:val="1007924"/>
  </w:num>
  <w:num w:numId="64">
    <w:abstractNumId w:val="1007925"/>
  </w:num>
  <w:num w:numId="65">
    <w:abstractNumId w:val="1007926"/>
  </w:num>
  <w:num w:numId="66">
    <w:abstractNumId w:val="1007927"/>
  </w:num>
  <w:num w:numId="67">
    <w:abstractNumId w:val="1007928"/>
  </w:num>
  <w:num w:numId="68">
    <w:abstractNumId w:val="1007929"/>
  </w:num>
  <w:num w:numId="69">
    <w:abstractNumId w:val="1007930"/>
  </w:num>
  <w:num w:numId="70">
    <w:abstractNumId w:val="1007931"/>
  </w:num>
  <w:num w:numId="71">
    <w:abstractNumId w:val="1007932"/>
  </w:num>
  <w:num w:numId="72">
    <w:abstractNumId w:val="1007933"/>
  </w:num>
  <w:num w:numId="73">
    <w:abstractNumId w:val="100793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2025-12-10T07:55:34Z</dcterms:created>
  <dc:creator>Apache POI</dc:creator>
</cp:coreProperties>
</file>