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（单笔）KOL-Tomato Creator Agreement Template(NEW)</w:t>
      </w:r>
    </w:p>
    <w:p>
      <w:pPr>
        <w:pStyle w:val="1"/>
        <w:spacing w:before="380" w:after="140" w:line="288" w:lineRule="auto"/>
        <w:ind w:left="0"/>
        <w:jc w:val="center"/>
        <w:outlineLvl w:val="0"/>
      </w:pPr>
      <w:bookmarkStart w:name="heading_0" w:id="0"/>
      <w:r>
        <w:rPr>
          <w:rFonts w:eastAsia="等线" w:ascii="Arial" w:cs="Arial" w:hAnsi="Arial"/>
          <w:b w:val="true"/>
          <w:sz w:val="36"/>
        </w:rPr>
        <w:t>Tomato Creator Agreement</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Deliverables:</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0"/>
        <w:gridCol w:w="2040"/>
        <w:gridCol w:w="1230"/>
        <w:gridCol w:w="1230"/>
        <w:gridCol w:w="1260"/>
        <w:gridCol w:w="1290"/>
        <w:gridCol w:w="870"/>
      </w:tblGrid>
      <w:tr>
        <w:tc>
          <w:tcPr>
            <w:tcW w:w="48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See </w:t>
            </w:r>
            <w:r>
              <w:rPr>
                <w:rFonts w:eastAsia="等线" w:ascii="Arial" w:cs="Arial" w:hAnsi="Arial"/>
                <w:b w:val="true"/>
                <w:sz w:val="22"/>
              </w:rPr>
              <w:t>Appendix 1</w:t>
            </w:r>
            <w:r>
              <w:rPr>
                <w:rFonts w:eastAsia="等线" w:ascii="Arial" w:cs="Arial" w:hAnsi="Arial"/>
                <w:sz w:val="22"/>
              </w:rPr>
              <w:t xml:space="preserve"> for additional details on requirements of Deliverables.</w:t>
            </w:r>
          </w:p>
        </w:tc>
        <w:tc>
          <w:tcPr>
            <w:tcW w:w="2040" w:type="dxa"/>
            <w:hMerge w:val="continue"/>
            <w:tcMar>
              <w:top w:type="dxa" w:w="60"/>
              <w:left w:type="dxa" w:w="120"/>
              <w:bottom w:type="dxa" w:w="30"/>
              <w:right w:type="dxa" w:w="120"/>
            </w:tcMar>
          </w:tcPr>
          <w:p>
            <w:pPr>
              <w:spacing w:before="120" w:after="120" w:line="288" w:lineRule="auto"/>
              <w:ind w:left="0"/>
              <w:jc w:val="left"/>
            </w:pPr>
          </w:p>
        </w:tc>
        <w:tc>
          <w:tcPr>
            <w:tcW w:w="1230" w:type="dxa"/>
            <w:hMerge w:val="continue"/>
            <w:tcMar>
              <w:top w:type="dxa" w:w="60"/>
              <w:left w:type="dxa" w:w="120"/>
              <w:bottom w:type="dxa" w:w="30"/>
              <w:right w:type="dxa" w:w="120"/>
            </w:tcMar>
          </w:tcPr>
          <w:p>
            <w:pPr>
              <w:spacing w:before="120" w:after="120" w:line="288" w:lineRule="auto"/>
              <w:ind w:left="0"/>
              <w:jc w:val="left"/>
            </w:pPr>
          </w:p>
        </w:tc>
        <w:tc>
          <w:tcPr>
            <w:tcW w:w="1230" w:type="dxa"/>
            <w:hMerge w:val="continue"/>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Client/Sponsor:</w:t>
            </w:r>
          </w:p>
        </w:tc>
        <w:tc>
          <w:tcPr>
            <w:tcW w:w="2160" w:type="dxa"/>
            <w:hMerge w:val="restart"/>
            <w:tcMar>
              <w:top w:type="dxa" w:w="60"/>
              <w:left w:type="dxa" w:w="120"/>
              <w:bottom w:type="dxa" w:w="30"/>
              <w:right w:type="dxa" w:w="120"/>
            </w:tcMar>
          </w:tcPr>
          <w:p>
            <w:pPr>
              <w:spacing w:before="120" w:after="120" w:line="288" w:lineRule="auto"/>
              <w:ind w:left="0"/>
              <w:jc w:val="left"/>
            </w:pPr>
          </w:p>
        </w:tc>
        <w:tc>
          <w:tcPr>
            <w:tcW w:w="870" w:type="dxa"/>
            <w:hMerge w:val="continue"/>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Channel/Talent:</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Script Date: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Draft Date:</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Launch Date:</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Fee:</w:t>
            </w: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4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4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04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4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p>
        </w:tc>
        <w:tc>
          <w:tcPr>
            <w:tcW w:w="204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p>
        </w:tc>
        <w:tc>
          <w:tcPr>
            <w:tcW w:w="204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r>
      <w:tr>
        <w:tc>
          <w:tcPr>
            <w:tcW w:w="612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 xml:space="preserve">Payment is due </w:t>
            </w:r>
            <w:r>
              <w:rPr>
                <w:rFonts w:eastAsia="等线" w:ascii="Arial" w:cs="Arial" w:hAnsi="Arial"/>
                <w:b w:val="true"/>
                <w:i w:val="true"/>
                <w:sz w:val="22"/>
              </w:rPr>
              <w:t xml:space="preserve">20 days </w:t>
            </w:r>
            <w:r>
              <w:rPr>
                <w:rFonts w:eastAsia="等线" w:ascii="Arial" w:cs="Arial" w:hAnsi="Arial"/>
                <w:i w:val="true"/>
                <w:sz w:val="22"/>
              </w:rPr>
              <w:t xml:space="preserve">after completion of services and receipt of invoice. </w:t>
            </w:r>
            <w:r>
              <w:rPr>
                <w:rFonts w:eastAsia="等线" w:ascii="Arial" w:cs="Arial" w:hAnsi="Arial"/>
                <w:b w:val="true"/>
                <w:i w:val="true"/>
                <w:sz w:val="22"/>
              </w:rPr>
              <w:t>Payments via PayPal will incur a 5% service fee paid by Talent.</w:t>
            </w:r>
            <w:r>
              <w:rPr>
                <w:rFonts w:eastAsia="等线" w:ascii="Arial" w:cs="Arial" w:hAnsi="Arial"/>
                <w:i w:val="true"/>
                <w:sz w:val="22"/>
              </w:rPr>
              <w:t xml:space="preserve"> Bank wire transfers are not subject to this fee.</w:t>
            </w:r>
          </w:p>
        </w:tc>
        <w:tc>
          <w:tcPr>
            <w:tcW w:w="2040" w:type="dxa"/>
            <w:hMerge w:val="continue"/>
            <w:tcMar>
              <w:top w:type="dxa" w:w="60"/>
              <w:left w:type="dxa" w:w="120"/>
              <w:bottom w:type="dxa" w:w="30"/>
              <w:right w:type="dxa" w:w="120"/>
            </w:tcMar>
          </w:tcPr>
          <w:p>
            <w:pPr>
              <w:spacing w:before="120" w:after="120" w:line="288" w:lineRule="auto"/>
              <w:ind w:left="0"/>
              <w:jc w:val="left"/>
            </w:pPr>
          </w:p>
        </w:tc>
        <w:tc>
          <w:tcPr>
            <w:tcW w:w="1230" w:type="dxa"/>
            <w:hMerge w:val="continue"/>
            <w:tcMar>
              <w:top w:type="dxa" w:w="60"/>
              <w:left w:type="dxa" w:w="120"/>
              <w:bottom w:type="dxa" w:w="30"/>
              <w:right w:type="dxa" w:w="120"/>
            </w:tcMar>
          </w:tcPr>
          <w:p>
            <w:pPr>
              <w:spacing w:before="120" w:after="120" w:line="288" w:lineRule="auto"/>
              <w:ind w:left="0"/>
              <w:jc w:val="left"/>
            </w:pPr>
          </w:p>
        </w:tc>
        <w:tc>
          <w:tcPr>
            <w:tcW w:w="123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Total Fee:</w:t>
            </w:r>
          </w:p>
        </w:tc>
        <w:tc>
          <w:tcPr>
            <w:tcW w:w="87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 w:id="2"/>
      <w:r>
        <w:rPr>
          <w:rFonts w:eastAsia="等线" w:ascii="Arial" w:cs="Arial" w:hAnsi="Arial"/>
          <w:b w:val="true"/>
          <w:sz w:val="32"/>
        </w:rPr>
        <w:t>Promotional License:</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570"/>
        <w:gridCol w:w="510"/>
        <w:gridCol w:w="780"/>
        <w:gridCol w:w="1080"/>
        <w:gridCol w:w="735"/>
        <w:gridCol w:w="1620"/>
      </w:tblGrid>
      <w:tr>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Is Promotional License and its terms enforceable in this agreement? (YES/NO):</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Duration:</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N/A</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Region:</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Promotional License Terms: Talent</w:t>
            </w:r>
            <w:r>
              <w:rPr>
                <w:rFonts w:eastAsia="等线" w:ascii="Arial" w:cs="Arial" w:hAnsi="Arial"/>
                <w:sz w:val="22"/>
              </w:rPr>
              <w:t xml:space="preserve"> shall confer upon the </w:t>
            </w:r>
            <w:r>
              <w:rPr>
                <w:rFonts w:eastAsia="等线" w:ascii="Arial" w:cs="Arial" w:hAnsi="Arial"/>
                <w:b w:val="true"/>
                <w:sz w:val="22"/>
              </w:rPr>
              <w:t xml:space="preserve">Client </w:t>
            </w:r>
            <w:r>
              <w:rPr>
                <w:rFonts w:eastAsia="等线" w:ascii="Arial" w:cs="Arial" w:hAnsi="Arial"/>
                <w:sz w:val="22"/>
              </w:rPr>
              <w:t>and</w:t>
            </w:r>
            <w:r>
              <w:rPr>
                <w:rFonts w:eastAsia="等线" w:ascii="Arial" w:cs="Arial" w:hAnsi="Arial"/>
                <w:b w:val="true"/>
                <w:sz w:val="22"/>
              </w:rPr>
              <w:t xml:space="preserve"> BlueFocus</w:t>
            </w:r>
            <w:r>
              <w:rPr>
                <w:rFonts w:eastAsia="等线" w:ascii="Arial" w:cs="Arial" w:hAnsi="Arial"/>
                <w:sz w:val="22"/>
              </w:rPr>
              <w:t xml:space="preserve"> a limited, non-transferable, irrevocable, non-exclusive, royalty-free license to utilize the trademarks and any intellectual property rights created or employed by the Talent in the execution of the Service. This license is granted solely for the public promotion and marketing of the product(s) delineated in the Specification of Service, and is strictly confined to the Duration and Region defined above.</w:t>
            </w:r>
          </w:p>
        </w:tc>
        <w:tc>
          <w:tcPr>
            <w:tcW w:w="51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1080" w:type="dxa"/>
            <w:hMerge w:val="continue"/>
            <w:tcMar>
              <w:top w:type="dxa" w:w="60"/>
              <w:left w:type="dxa" w:w="120"/>
              <w:bottom w:type="dxa" w:w="30"/>
              <w:right w:type="dxa" w:w="120"/>
            </w:tcMar>
          </w:tcPr>
          <w:p>
            <w:pPr>
              <w:spacing w:before="120" w:after="120" w:line="288" w:lineRule="auto"/>
              <w:ind w:left="0"/>
              <w:jc w:val="left"/>
            </w:pPr>
          </w:p>
        </w:tc>
        <w:tc>
          <w:tcPr>
            <w:tcW w:w="735" w:type="dxa"/>
            <w:hMerge w:val="continue"/>
            <w:tcMar>
              <w:top w:type="dxa" w:w="60"/>
              <w:left w:type="dxa" w:w="120"/>
              <w:bottom w:type="dxa" w:w="30"/>
              <w:right w:type="dxa" w:w="120"/>
            </w:tcMar>
          </w:tcPr>
          <w:p>
            <w:pPr>
              <w:spacing w:before="120" w:after="120" w:line="288" w:lineRule="auto"/>
              <w:ind w:left="0"/>
              <w:jc w:val="left"/>
            </w:pPr>
          </w:p>
        </w:tc>
        <w:tc>
          <w:tcPr>
            <w:tcW w:w="162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Additional Info: </w:t>
            </w:r>
            <w:r>
              <w:rPr>
                <w:rFonts w:eastAsia="等线" w:ascii="Arial" w:cs="Arial" w:hAnsi="Arial"/>
                <w:sz w:val="22"/>
              </w:rPr>
              <w:t>None.</w:t>
            </w:r>
          </w:p>
        </w:tc>
        <w:tc>
          <w:tcPr>
            <w:tcW w:w="51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1080" w:type="dxa"/>
            <w:hMerge w:val="continue"/>
            <w:tcMar>
              <w:top w:type="dxa" w:w="60"/>
              <w:left w:type="dxa" w:w="120"/>
              <w:bottom w:type="dxa" w:w="30"/>
              <w:right w:type="dxa" w:w="120"/>
            </w:tcMar>
          </w:tcPr>
          <w:p>
            <w:pPr>
              <w:spacing w:before="120" w:after="120" w:line="288" w:lineRule="auto"/>
              <w:ind w:left="0"/>
              <w:jc w:val="left"/>
            </w:pPr>
          </w:p>
        </w:tc>
        <w:tc>
          <w:tcPr>
            <w:tcW w:w="735" w:type="dxa"/>
            <w:hMerge w:val="continue"/>
            <w:tcMar>
              <w:top w:type="dxa" w:w="60"/>
              <w:left w:type="dxa" w:w="120"/>
              <w:bottom w:type="dxa" w:w="30"/>
              <w:right w:type="dxa" w:w="120"/>
            </w:tcMar>
          </w:tcPr>
          <w:p>
            <w:pPr>
              <w:spacing w:before="120" w:after="120" w:line="288" w:lineRule="auto"/>
              <w:ind w:left="0"/>
              <w:jc w:val="left"/>
            </w:pPr>
          </w:p>
        </w:tc>
        <w:tc>
          <w:tcPr>
            <w:tcW w:w="162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2"/>
        <w:spacing w:before="320" w:after="120" w:line="288" w:lineRule="auto"/>
        <w:ind w:left="0"/>
        <w:jc w:val="left"/>
        <w:outlineLvl w:val="1"/>
      </w:pPr>
      <w:bookmarkStart w:name="heading_3" w:id="3"/>
      <w:r>
        <w:rPr>
          <w:rFonts w:eastAsia="等线" w:ascii="Arial" w:cs="Arial" w:hAnsi="Arial"/>
          <w:b w:val="true"/>
          <w:sz w:val="32"/>
        </w:rPr>
        <w:t>Parties:</w:t>
      </w:r>
      <w:bookmarkEnd w:id="3"/>
    </w:p>
    <w:p>
      <w:pPr>
        <w:spacing w:before="120" w:after="120" w:line="288" w:lineRule="auto"/>
        <w:ind w:left="0" w:firstLine="0"/>
        <w:jc w:val="left"/>
      </w:pPr>
      <w:r>
        <w:rPr>
          <w:rFonts w:eastAsia="等线" w:ascii="Arial" w:cs="Arial" w:hAnsi="Arial"/>
          <w:sz w:val="22"/>
        </w:rPr>
        <w:t xml:space="preserve">Party (hereinafter </w:t>
      </w:r>
      <w:r>
        <w:rPr>
          <w:rFonts w:eastAsia="等线" w:ascii="Arial" w:cs="Arial" w:hAnsi="Arial"/>
          <w:b w:val="true"/>
          <w:sz w:val="22"/>
        </w:rPr>
        <w:t>BlueFocus)</w:t>
      </w:r>
      <w:r>
        <w:rPr>
          <w:rFonts w:eastAsia="等线" w:ascii="Arial" w:cs="Arial" w:hAnsi="Arial"/>
          <w:sz w:val="22"/>
        </w:rPr>
        <w:t>_______________________</w:t>
      </w:r>
      <w:r>
        <w:rPr>
          <w:rFonts w:eastAsia="等线" w:ascii="Arial" w:cs="Arial" w:hAnsi="Arial"/>
          <w:b w:val="true"/>
          <w:sz w:val="22"/>
        </w:rPr>
        <w:t xml:space="preserve"> </w:t>
      </w:r>
    </w:p>
    <w:p>
      <w:pPr>
        <w:spacing w:before="120" w:after="120" w:line="288" w:lineRule="auto"/>
        <w:ind w:left="0" w:firstLine="0"/>
        <w:jc w:val="left"/>
      </w:pPr>
      <w:r>
        <w:rPr>
          <w:rFonts w:eastAsia="等线" w:ascii="Arial" w:cs="Arial" w:hAnsi="Arial"/>
          <w:sz w:val="22"/>
        </w:rPr>
        <w:t xml:space="preserve">Name: Tomato Interactive Limited </w:t>
      </w:r>
      <w:r>
        <w:rPr>
          <w:rFonts w:eastAsia="等线" w:ascii="Arial" w:cs="Arial" w:hAnsi="Arial"/>
          <w:b w:val="true"/>
          <w:sz w:val="22"/>
        </w:rPr>
        <w:t xml:space="preserve"> BlueFocus Signature</w:t>
      </w:r>
    </w:p>
    <w:p>
      <w:pPr>
        <w:spacing w:before="120" w:after="120" w:line="288" w:lineRule="auto"/>
        <w:ind w:left="0" w:firstLine="0"/>
        <w:jc w:val="left"/>
      </w:pPr>
      <w:r>
        <w:rPr>
          <w:rFonts w:eastAsia="等线" w:ascii="Arial" w:cs="Arial" w:hAnsi="Arial"/>
          <w:sz w:val="22"/>
        </w:rPr>
        <w:t>Representative: Jiao Li</w:t>
      </w:r>
    </w:p>
    <w:p>
      <w:pPr>
        <w:spacing w:before="120" w:after="120" w:line="288" w:lineRule="auto"/>
        <w:ind w:left="0" w:firstLine="0"/>
        <w:jc w:val="left"/>
      </w:pPr>
      <w:r>
        <w:rPr>
          <w:rFonts w:eastAsia="等线" w:ascii="Arial" w:cs="Arial" w:hAnsi="Arial"/>
          <w:sz w:val="22"/>
        </w:rPr>
        <w:t>Address: 11/F, 12/F &amp; Rooftop, 133 Wai Yip Street _______________________</w:t>
      </w:r>
    </w:p>
    <w:p>
      <w:pPr>
        <w:spacing w:before="120" w:after="120" w:line="288" w:lineRule="auto"/>
        <w:ind w:left="0" w:firstLine="0"/>
        <w:jc w:val="left"/>
      </w:pPr>
      <w:r>
        <w:rPr>
          <w:rFonts w:eastAsia="等线" w:ascii="Arial" w:cs="Arial" w:hAnsi="Arial"/>
          <w:sz w:val="22"/>
        </w:rPr>
        <w:t>Kwun Tong, Kowloon, Hong Kong</w:t>
      </w:r>
      <w:r>
        <w:rPr>
          <w:rFonts w:eastAsia="等线" w:ascii="Arial" w:cs="Arial" w:hAnsi="Arial"/>
          <w:b w:val="true"/>
          <w:sz w:val="22"/>
        </w:rPr>
        <w:t>Date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Party (hereinafter </w:t>
      </w:r>
      <w:r>
        <w:rPr>
          <w:rFonts w:eastAsia="等线" w:ascii="Arial" w:cs="Arial" w:hAnsi="Arial"/>
          <w:b w:val="true"/>
          <w:sz w:val="22"/>
        </w:rPr>
        <w:t>Talent</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Name: ____________________________________________________________________________</w:t>
      </w:r>
    </w:p>
    <w:p>
      <w:pPr>
        <w:spacing w:before="120" w:after="120" w:line="288" w:lineRule="auto"/>
        <w:ind w:left="0" w:firstLine="0"/>
        <w:jc w:val="left"/>
      </w:pPr>
      <w:r>
        <w:rPr>
          <w:rFonts w:eastAsia="等线" w:ascii="Arial" w:cs="Arial" w:hAnsi="Arial"/>
          <w:sz w:val="22"/>
        </w:rPr>
        <w:t>Representative (if party is an entity): _____________________________</w:t>
      </w:r>
      <w:r>
        <w:rPr>
          <w:rFonts w:eastAsia="等线" w:ascii="Arial" w:cs="Arial" w:hAnsi="Arial"/>
          <w:b w:val="true"/>
          <w:sz w:val="22"/>
        </w:rPr>
        <w:t>Talent Signature</w:t>
      </w:r>
    </w:p>
    <w:p>
      <w:pPr>
        <w:spacing w:before="120" w:after="120" w:line="288" w:lineRule="auto"/>
        <w:ind w:left="0" w:firstLine="0"/>
        <w:jc w:val="left"/>
      </w:pPr>
      <w:r>
        <w:rPr>
          <w:rFonts w:eastAsia="等线" w:ascii="Arial" w:cs="Arial" w:hAnsi="Arial"/>
          <w:sz w:val="22"/>
        </w:rPr>
        <w:t>Email: _____________________________________________________</w:t>
      </w:r>
    </w:p>
    <w:p>
      <w:pPr>
        <w:spacing w:before="120" w:after="120" w:line="288" w:lineRule="auto"/>
        <w:ind w:left="0" w:firstLine="0"/>
        <w:jc w:val="left"/>
      </w:pPr>
      <w:r>
        <w:rPr>
          <w:rFonts w:eastAsia="等线" w:ascii="Arial" w:cs="Arial" w:hAnsi="Arial"/>
          <w:sz w:val="22"/>
        </w:rPr>
        <w:t>Address: __________________________________________________________________________</w:t>
      </w:r>
    </w:p>
    <w:p>
      <w:pPr>
        <w:spacing w:before="120" w:after="120" w:line="288" w:lineRule="auto"/>
        <w:ind w:left="0" w:firstLine="0"/>
        <w:jc w:val="left"/>
      </w:pPr>
      <w:r>
        <w:rPr>
          <w:rFonts w:eastAsia="等线" w:ascii="Arial" w:cs="Arial" w:hAnsi="Arial"/>
          <w:sz w:val="22"/>
        </w:rPr>
        <w:t>___________________________________________________________</w:t>
      </w:r>
      <w:r>
        <w:rPr>
          <w:rFonts w:eastAsia="等线" w:ascii="Arial" w:cs="Arial" w:hAnsi="Arial"/>
          <w:b w:val="true"/>
          <w:sz w:val="22"/>
        </w:rPr>
        <w:t>Date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Party (hereinafter </w:t>
      </w:r>
      <w:r>
        <w:rPr>
          <w:rFonts w:eastAsia="等线" w:ascii="Arial" w:cs="Arial" w:hAnsi="Arial"/>
          <w:b w:val="true"/>
          <w:sz w:val="22"/>
        </w:rPr>
        <w:t>Talent Agency)</w:t>
      </w:r>
    </w:p>
    <w:p>
      <w:pPr>
        <w:spacing w:before="120" w:after="120" w:line="288" w:lineRule="auto"/>
        <w:ind w:left="0" w:firstLine="0"/>
        <w:jc w:val="left"/>
      </w:pPr>
      <w:r>
        <w:rPr>
          <w:rFonts w:eastAsia="等线" w:ascii="Arial" w:cs="Arial" w:hAnsi="Arial"/>
          <w:sz w:val="22"/>
        </w:rPr>
        <w:t>Name: ____________________________________________________________________________</w:t>
      </w:r>
    </w:p>
    <w:p>
      <w:pPr>
        <w:spacing w:before="120" w:after="120" w:line="288" w:lineRule="auto"/>
        <w:ind w:left="0" w:firstLine="0"/>
        <w:jc w:val="left"/>
      </w:pPr>
      <w:r>
        <w:rPr>
          <w:rFonts w:eastAsia="等线" w:ascii="Arial" w:cs="Arial" w:hAnsi="Arial"/>
          <w:sz w:val="22"/>
        </w:rPr>
        <w:t>Representative: ______________________________________________</w:t>
      </w:r>
      <w:r>
        <w:rPr>
          <w:rFonts w:eastAsia="等线" w:ascii="Arial" w:cs="Arial" w:hAnsi="Arial"/>
          <w:b w:val="true"/>
          <w:sz w:val="22"/>
        </w:rPr>
        <w:t>Talent Agency Signature</w:t>
      </w:r>
    </w:p>
    <w:p>
      <w:pPr>
        <w:spacing w:before="120" w:after="120" w:line="288" w:lineRule="auto"/>
        <w:ind w:left="0" w:firstLine="0"/>
        <w:jc w:val="left"/>
      </w:pPr>
      <w:r>
        <w:rPr>
          <w:rFonts w:eastAsia="等线" w:ascii="Arial" w:cs="Arial" w:hAnsi="Arial"/>
          <w:sz w:val="22"/>
        </w:rPr>
        <w:t>Email: _____________________________________________________</w:t>
      </w:r>
    </w:p>
    <w:p>
      <w:pPr>
        <w:spacing w:before="120" w:after="120" w:line="288" w:lineRule="auto"/>
        <w:ind w:left="0" w:firstLine="0"/>
        <w:jc w:val="left"/>
      </w:pPr>
      <w:r>
        <w:rPr>
          <w:rFonts w:eastAsia="等线" w:ascii="Arial" w:cs="Arial" w:hAnsi="Arial"/>
          <w:sz w:val="22"/>
        </w:rPr>
        <w:t>Address: __________________________________________________________________________</w:t>
      </w:r>
    </w:p>
    <w:p>
      <w:pPr>
        <w:spacing w:before="120" w:after="120" w:line="288" w:lineRule="auto"/>
        <w:ind w:left="0" w:firstLine="0"/>
        <w:jc w:val="left"/>
      </w:pPr>
      <w:r>
        <w:rPr>
          <w:rFonts w:eastAsia="等线" w:ascii="Arial" w:cs="Arial" w:hAnsi="Arial"/>
          <w:sz w:val="22"/>
        </w:rPr>
        <w:t>___________________________________________________________</w:t>
      </w:r>
      <w:r>
        <w:rPr>
          <w:rFonts w:eastAsia="等线" w:ascii="Arial" w:cs="Arial" w:hAnsi="Arial"/>
          <w:b w:val="true"/>
          <w:sz w:val="22"/>
        </w:rPr>
        <w:t>Date</w:t>
      </w:r>
    </w:p>
    <w:p>
      <w:pPr>
        <w:pStyle w:val="2"/>
        <w:spacing w:before="320" w:after="120" w:line="288" w:lineRule="auto"/>
        <w:ind w:left="0"/>
        <w:jc w:val="left"/>
        <w:outlineLvl w:val="1"/>
      </w:pPr>
      <w:bookmarkStart w:name="heading_4" w:id="4"/>
      <w:r>
        <w:rPr>
          <w:rFonts w:eastAsia="等线" w:ascii="Arial" w:cs="Arial" w:hAnsi="Arial"/>
          <w:b w:val="true"/>
          <w:sz w:val="32"/>
        </w:rPr>
        <w:t>Terms of Agreement:</w:t>
      </w:r>
      <w:bookmarkEnd w:id="4"/>
    </w:p>
    <w:p>
      <w:pPr>
        <w:spacing w:before="120" w:after="120" w:line="288" w:lineRule="auto"/>
        <w:ind w:left="0" w:firstLine="0"/>
        <w:jc w:val="left"/>
      </w:pPr>
      <w:r>
        <w:rPr>
          <w:rFonts w:eastAsia="等线" w:ascii="Arial" w:cs="Arial" w:hAnsi="Arial"/>
          <w:sz w:val="22"/>
        </w:rPr>
        <w:t xml:space="preserve">The parties to this agreement, </w:t>
      </w:r>
      <w:r>
        <w:rPr>
          <w:rFonts w:eastAsia="等线" w:ascii="Arial" w:cs="Arial" w:hAnsi="Arial"/>
          <w:b w:val="true"/>
          <w:sz w:val="22"/>
        </w:rPr>
        <w:t>BlueFocus</w:t>
      </w:r>
      <w:r>
        <w:rPr>
          <w:rFonts w:eastAsia="等线" w:ascii="Arial" w:cs="Arial" w:hAnsi="Arial"/>
          <w:sz w:val="22"/>
        </w:rPr>
        <w:t xml:space="preserve"> and </w:t>
      </w:r>
      <w:r>
        <w:rPr>
          <w:rFonts w:eastAsia="等线" w:ascii="Arial" w:cs="Arial" w:hAnsi="Arial"/>
          <w:b w:val="true"/>
          <w:sz w:val="22"/>
        </w:rPr>
        <w:t>Talent</w:t>
      </w:r>
      <w:r>
        <w:rPr>
          <w:rFonts w:eastAsia="等线" w:ascii="Arial" w:cs="Arial" w:hAnsi="Arial"/>
          <w:sz w:val="22"/>
        </w:rPr>
        <w:t>, shall hereafter be referred to individually as a "</w:t>
      </w:r>
      <w:r>
        <w:rPr>
          <w:rFonts w:eastAsia="等线" w:ascii="Arial" w:cs="Arial" w:hAnsi="Arial"/>
          <w:b w:val="true"/>
          <w:sz w:val="22"/>
        </w:rPr>
        <w:t>Party</w:t>
      </w:r>
      <w:r>
        <w:rPr>
          <w:rFonts w:eastAsia="等线" w:ascii="Arial" w:cs="Arial" w:hAnsi="Arial"/>
          <w:sz w:val="22"/>
        </w:rPr>
        <w:t>" and collectively as the "</w:t>
      </w:r>
      <w:r>
        <w:rPr>
          <w:rFonts w:eastAsia="等线" w:ascii="Arial" w:cs="Arial" w:hAnsi="Arial"/>
          <w:b w:val="true"/>
          <w:sz w:val="22"/>
        </w:rPr>
        <w:t>Parties</w:t>
      </w:r>
      <w:r>
        <w:rPr>
          <w:rFonts w:eastAsia="等线" w:ascii="Arial" w:cs="Arial" w:hAnsi="Arial"/>
          <w:sz w:val="22"/>
        </w:rPr>
        <w:t>".</w:t>
      </w:r>
    </w:p>
    <w:p>
      <w:pPr>
        <w:spacing w:before="120" w:after="120" w:line="288" w:lineRule="auto"/>
        <w:ind w:left="0" w:firstLine="0"/>
        <w:jc w:val="left"/>
      </w:pPr>
    </w:p>
    <w:p>
      <w:pPr>
        <w:numPr>
          <w:numId w:val="1"/>
        </w:numPr>
        <w:spacing w:before="120" w:after="120" w:line="288" w:lineRule="auto"/>
        <w:ind w:left="0"/>
        <w:jc w:val="left"/>
      </w:pPr>
      <w:r>
        <w:rPr>
          <w:rFonts w:eastAsia="等线" w:ascii="Arial" w:cs="Arial" w:hAnsi="Arial"/>
          <w:b w:val="true"/>
          <w:sz w:val="22"/>
        </w:rPr>
        <w:t>Obligations of BlueFocus</w:t>
      </w:r>
    </w:p>
    <w:p>
      <w:pPr>
        <w:numPr>
          <w:numId w:val="2"/>
        </w:numPr>
        <w:spacing w:before="120" w:after="120" w:line="288" w:lineRule="auto"/>
        <w:ind w:left="453"/>
        <w:jc w:val="left"/>
      </w:pPr>
      <w:r>
        <w:rPr>
          <w:rFonts w:eastAsia="等线" w:ascii="Arial" w:cs="Arial" w:hAnsi="Arial"/>
          <w:b w:val="true"/>
          <w:sz w:val="22"/>
        </w:rPr>
        <w:t>BlueFocus</w:t>
      </w:r>
      <w:r>
        <w:rPr>
          <w:rFonts w:eastAsia="等线" w:ascii="Arial" w:cs="Arial" w:hAnsi="Arial"/>
          <w:sz w:val="22"/>
        </w:rPr>
        <w:t xml:space="preserve"> shall diligently answer any inquiries and supply all necessary materials to enable the </w:t>
      </w:r>
      <w:r>
        <w:rPr>
          <w:rFonts w:eastAsia="等线" w:ascii="Arial" w:cs="Arial" w:hAnsi="Arial"/>
          <w:b w:val="true"/>
          <w:sz w:val="22"/>
        </w:rPr>
        <w:t>Talent</w:t>
      </w:r>
      <w:r>
        <w:rPr>
          <w:rFonts w:eastAsia="等线" w:ascii="Arial" w:cs="Arial" w:hAnsi="Arial"/>
          <w:sz w:val="22"/>
        </w:rPr>
        <w:t xml:space="preserve"> to effectively perform their obligations laid out in this agreement and shall generally collaborate in good faith with the </w:t>
      </w:r>
      <w:r>
        <w:rPr>
          <w:rFonts w:eastAsia="等线" w:ascii="Arial" w:cs="Arial" w:hAnsi="Arial"/>
          <w:b w:val="true"/>
          <w:sz w:val="22"/>
        </w:rPr>
        <w:t>Talent</w:t>
      </w:r>
      <w:r>
        <w:rPr>
          <w:rFonts w:eastAsia="等线" w:ascii="Arial" w:cs="Arial" w:hAnsi="Arial"/>
          <w:sz w:val="22"/>
        </w:rPr>
        <w:t xml:space="preserve"> towards the successful execution of those obligations.</w:t>
      </w:r>
    </w:p>
    <w:p>
      <w:pPr>
        <w:numPr>
          <w:numId w:val="3"/>
        </w:numPr>
        <w:spacing w:before="120" w:after="120" w:line="288" w:lineRule="auto"/>
        <w:ind w:left="0"/>
        <w:jc w:val="left"/>
      </w:pPr>
      <w:r>
        <w:rPr>
          <w:rFonts w:eastAsia="等线" w:ascii="Arial" w:cs="Arial" w:hAnsi="Arial"/>
          <w:b w:val="true"/>
          <w:sz w:val="22"/>
        </w:rPr>
        <w:t>Obligations of the Talent</w:t>
      </w:r>
    </w:p>
    <w:p>
      <w:pPr>
        <w:numPr>
          <w:numId w:val="4"/>
        </w:numPr>
        <w:spacing w:before="120" w:after="120" w:line="288" w:lineRule="auto"/>
        <w:ind w:left="453"/>
        <w:jc w:val="left"/>
      </w:pPr>
      <w:r>
        <w:rPr>
          <w:rFonts w:eastAsia="等线" w:ascii="Arial" w:cs="Arial" w:hAnsi="Arial"/>
          <w:sz w:val="22"/>
        </w:rPr>
        <w:t xml:space="preserve">The </w:t>
      </w:r>
      <w:r>
        <w:rPr>
          <w:rFonts w:eastAsia="等线" w:ascii="Arial" w:cs="Arial" w:hAnsi="Arial"/>
          <w:b w:val="true"/>
          <w:sz w:val="22"/>
        </w:rPr>
        <w:t>Talent</w:t>
      </w:r>
      <w:r>
        <w:rPr>
          <w:rFonts w:eastAsia="等线" w:ascii="Arial" w:cs="Arial" w:hAnsi="Arial"/>
          <w:sz w:val="22"/>
        </w:rPr>
        <w:t xml:space="preserve"> shall execute the services (hereinafter "the Service"), as further delineated in </w:t>
      </w:r>
      <w:r>
        <w:rPr>
          <w:rFonts w:eastAsia="等线" w:ascii="Arial" w:cs="Arial" w:hAnsi="Arial"/>
          <w:b w:val="true"/>
          <w:sz w:val="22"/>
        </w:rPr>
        <w:t>Appendix 1</w:t>
      </w:r>
      <w:r>
        <w:rPr>
          <w:rFonts w:eastAsia="等线" w:ascii="Arial" w:cs="Arial" w:hAnsi="Arial"/>
          <w:sz w:val="22"/>
        </w:rPr>
        <w:t>.</w:t>
      </w:r>
    </w:p>
    <w:p>
      <w:pPr>
        <w:numPr>
          <w:numId w:val="5"/>
        </w:numPr>
        <w:spacing w:before="120" w:after="120" w:line="288" w:lineRule="auto"/>
        <w:ind w:left="453"/>
        <w:jc w:val="left"/>
      </w:pPr>
      <w:r>
        <w:rPr>
          <w:rFonts w:eastAsia="等线" w:ascii="Arial" w:cs="Arial" w:hAnsi="Arial"/>
          <w:sz w:val="22"/>
        </w:rPr>
        <w:t>The Talent agrees to refrain from publishing, posting, or endorsing any physically, socially, politically, or morally provocative or objectionable content, as determined at the sole discretion of BlueFocus, without prior written consent that could potentially harm or bring into disrepute the reputation of BlueFocus or the principle.</w:t>
      </w:r>
    </w:p>
    <w:p>
      <w:pPr>
        <w:numPr>
          <w:numId w:val="6"/>
        </w:numPr>
        <w:spacing w:before="120" w:after="120" w:line="288" w:lineRule="auto"/>
        <w:ind w:left="453"/>
        <w:jc w:val="left"/>
      </w:pPr>
      <w:r>
        <w:rPr>
          <w:rFonts w:eastAsia="等线" w:ascii="Arial" w:cs="Arial" w:hAnsi="Arial"/>
          <w:sz w:val="22"/>
        </w:rPr>
        <w:t xml:space="preserve">All Services performed shall be expressly identified as completed on behalf of </w:t>
      </w:r>
      <w:r>
        <w:rPr>
          <w:rFonts w:eastAsia="等线" w:ascii="Arial" w:cs="Arial" w:hAnsi="Arial"/>
          <w:b w:val="true"/>
          <w:sz w:val="22"/>
        </w:rPr>
        <w:t xml:space="preserve">BlueFocus' </w:t>
      </w:r>
      <w:r>
        <w:rPr>
          <w:rFonts w:eastAsia="等线" w:ascii="Arial" w:cs="Arial" w:hAnsi="Arial"/>
          <w:sz w:val="22"/>
        </w:rPr>
        <w:t>client, for remuneration, and be clearly labeled as advertisements in a manner sufficient to meet the controlling regulatory standards for such material.</w:t>
      </w:r>
    </w:p>
    <w:p>
      <w:pPr>
        <w:numPr>
          <w:numId w:val="7"/>
        </w:numPr>
        <w:spacing w:before="120" w:after="120" w:line="288" w:lineRule="auto"/>
        <w:ind w:left="0"/>
        <w:jc w:val="left"/>
      </w:pPr>
      <w:r>
        <w:rPr>
          <w:rFonts w:eastAsia="等线" w:ascii="Arial" w:cs="Arial" w:hAnsi="Arial"/>
          <w:b w:val="true"/>
          <w:sz w:val="22"/>
        </w:rPr>
        <w:t>Intellectual Property Rights</w:t>
      </w:r>
    </w:p>
    <w:p>
      <w:pPr>
        <w:numPr>
          <w:numId w:val="8"/>
        </w:numPr>
        <w:spacing w:before="120" w:after="120" w:line="288" w:lineRule="auto"/>
        <w:ind w:left="453"/>
        <w:jc w:val="left"/>
      </w:pPr>
      <w:r>
        <w:rPr>
          <w:rFonts w:eastAsia="等线" w:ascii="Arial" w:cs="Arial" w:hAnsi="Arial"/>
          <w:sz w:val="22"/>
        </w:rPr>
        <w:t xml:space="preserve">To facilitate the </w:t>
      </w:r>
      <w:r>
        <w:rPr>
          <w:rFonts w:eastAsia="等线" w:ascii="Arial" w:cs="Arial" w:hAnsi="Arial"/>
          <w:b w:val="true"/>
          <w:sz w:val="22"/>
        </w:rPr>
        <w:t xml:space="preserve">Talent's </w:t>
      </w:r>
      <w:r>
        <w:rPr>
          <w:rFonts w:eastAsia="等线" w:ascii="Arial" w:cs="Arial" w:hAnsi="Arial"/>
          <w:sz w:val="22"/>
        </w:rPr>
        <w:t xml:space="preserve">fulfillment of the Service under this Agreement, the </w:t>
      </w:r>
      <w:r>
        <w:rPr>
          <w:rFonts w:eastAsia="等线" w:ascii="Arial" w:cs="Arial" w:hAnsi="Arial"/>
          <w:b w:val="true"/>
          <w:sz w:val="22"/>
        </w:rPr>
        <w:t xml:space="preserve">Talent </w:t>
      </w:r>
      <w:r>
        <w:rPr>
          <w:rFonts w:eastAsia="等线" w:ascii="Arial" w:cs="Arial" w:hAnsi="Arial"/>
          <w:sz w:val="22"/>
        </w:rPr>
        <w:t xml:space="preserve">is hereby conferred a limited, non-transferable, revocable, non-exclusive, global, royalty-free license to utilize the trademarks and associated intellectual property rights of Client, </w:t>
      </w:r>
      <w:r>
        <w:rPr>
          <w:rFonts w:eastAsia="等线" w:ascii="Arial" w:cs="Arial" w:hAnsi="Arial"/>
          <w:b w:val="true"/>
          <w:sz w:val="22"/>
        </w:rPr>
        <w:t xml:space="preserve">BlueFocus </w:t>
      </w:r>
      <w:r>
        <w:rPr>
          <w:rFonts w:eastAsia="等线" w:ascii="Arial" w:cs="Arial" w:hAnsi="Arial"/>
          <w:sz w:val="22"/>
        </w:rPr>
        <w:t>or its Client, strictly for the Agreement Term and solely for the provision of the Service.</w:t>
      </w:r>
    </w:p>
    <w:p>
      <w:pPr>
        <w:numPr>
          <w:numId w:val="9"/>
        </w:numPr>
        <w:spacing w:before="120" w:after="120" w:line="288" w:lineRule="auto"/>
        <w:ind w:left="453"/>
        <w:jc w:val="left"/>
      </w:pPr>
      <w:r>
        <w:rPr>
          <w:rFonts w:eastAsia="等线" w:ascii="Arial" w:cs="Arial" w:hAnsi="Arial"/>
          <w:sz w:val="22"/>
        </w:rPr>
        <w:t>BlueFocus acknowledges and agrees that, aside from any Client or BlueFocus materials and/or assets provided to Talent for inclusion in the deliverables to be created and posted by Talent hereunder (“Deliverables”), Talent owns all right, title and interest to copyrights, trademarks, and other proprietary and intellectual property rights embodied in the Deliverables and/or any other content created by Talent hereunder, and any elements thereof, as well as any materials Talent provides to Client or BlueFocus in connection with the Services.</w:t>
      </w:r>
    </w:p>
    <w:p>
      <w:pPr>
        <w:numPr>
          <w:numId w:val="10"/>
        </w:numPr>
        <w:spacing w:before="120" w:after="120" w:line="288" w:lineRule="auto"/>
        <w:ind w:left="453"/>
        <w:jc w:val="left"/>
      </w:pPr>
      <w:r>
        <w:rPr>
          <w:rFonts w:eastAsia="等线" w:ascii="Arial" w:cs="Arial" w:hAnsi="Arial"/>
          <w:sz w:val="22"/>
        </w:rPr>
        <w:t>Except for the licenses previously stipulated, nothing within this Agreement shall be interpreted as a transfer, assignment, or licensing of any intellectual property between the Parties or the conferment of any other rights among the Parties.</w:t>
      </w:r>
    </w:p>
    <w:p>
      <w:pPr>
        <w:numPr>
          <w:numId w:val="11"/>
        </w:numPr>
        <w:spacing w:before="120" w:after="120" w:line="288" w:lineRule="auto"/>
        <w:ind w:left="0"/>
        <w:jc w:val="left"/>
      </w:pPr>
      <w:r>
        <w:rPr>
          <w:rFonts w:eastAsia="等线" w:ascii="Arial" w:cs="Arial" w:hAnsi="Arial"/>
          <w:b w:val="true"/>
          <w:sz w:val="22"/>
        </w:rPr>
        <w:t>Confidentiality</w:t>
      </w:r>
    </w:p>
    <w:p>
      <w:pPr>
        <w:numPr>
          <w:numId w:val="12"/>
        </w:numPr>
        <w:spacing w:before="120" w:after="120" w:line="288" w:lineRule="auto"/>
        <w:ind w:left="453"/>
        <w:jc w:val="left"/>
      </w:pPr>
      <w:r>
        <w:rPr>
          <w:rFonts w:eastAsia="等线" w:ascii="Arial" w:cs="Arial" w:hAnsi="Arial"/>
          <w:sz w:val="22"/>
        </w:rPr>
        <w:t>Both Parties commit to keeping all shared Confidential Information (as defined below) confidential during and post the Agreement Term. 'Confidential Information' includes all information shared under this Agreement, except publicly known information, information already possessed before receiving it under this Agreement, information received from third parties without restriction, and information required to be disclosed by law.</w:t>
      </w:r>
    </w:p>
    <w:p>
      <w:pPr>
        <w:numPr>
          <w:numId w:val="13"/>
        </w:numPr>
        <w:spacing w:before="120" w:after="120" w:line="288" w:lineRule="auto"/>
        <w:ind w:left="0"/>
        <w:jc w:val="left"/>
      </w:pPr>
      <w:r>
        <w:rPr>
          <w:rFonts w:eastAsia="等线" w:ascii="Arial" w:cs="Arial" w:hAnsi="Arial"/>
          <w:b w:val="true"/>
          <w:sz w:val="22"/>
        </w:rPr>
        <w:t>Limitation of Liability</w:t>
      </w:r>
    </w:p>
    <w:p>
      <w:pPr>
        <w:numPr>
          <w:numId w:val="14"/>
        </w:numPr>
        <w:spacing w:before="120" w:after="120" w:line="288" w:lineRule="auto"/>
        <w:ind w:left="453"/>
        <w:jc w:val="left"/>
      </w:pPr>
      <w:r>
        <w:rPr>
          <w:rFonts w:eastAsia="等线" w:ascii="Arial" w:cs="Arial" w:hAnsi="Arial"/>
          <w:sz w:val="22"/>
        </w:rPr>
        <w:t>Neither Party shall be liable for indirect, consequential, special, punitive, or exemplary damages, including lost profits or opportunities, due to this Agreement. The Talent will indemnify BlueFocus against claims for any injury or harm suffered during service provision, except for harm caused by BlueFocus' gross negligence or willful misconduct. This indemnification persists post-termination. The total liability under this Agreement is capped at the fees paid by BlueFocus to the Talent.</w:t>
      </w:r>
    </w:p>
    <w:p>
      <w:pPr>
        <w:numPr>
          <w:numId w:val="15"/>
        </w:numPr>
        <w:spacing w:before="120" w:after="120" w:line="288" w:lineRule="auto"/>
        <w:ind w:left="0"/>
        <w:jc w:val="left"/>
      </w:pPr>
      <w:r>
        <w:rPr>
          <w:rFonts w:eastAsia="等线" w:ascii="Arial" w:cs="Arial" w:hAnsi="Arial"/>
          <w:b w:val="true"/>
          <w:sz w:val="22"/>
        </w:rPr>
        <w:t>Term and Termination</w:t>
      </w:r>
    </w:p>
    <w:p>
      <w:pPr>
        <w:numPr>
          <w:numId w:val="16"/>
        </w:numPr>
        <w:spacing w:before="120" w:after="120" w:line="288" w:lineRule="auto"/>
        <w:ind w:left="453"/>
        <w:jc w:val="left"/>
      </w:pPr>
      <w:r>
        <w:rPr>
          <w:rFonts w:eastAsia="等线" w:ascii="Arial" w:cs="Arial" w:hAnsi="Arial"/>
          <w:sz w:val="22"/>
        </w:rPr>
        <w:t>This Agreement becomes effective upon signature by both Parties and remains valid until the conclusion of the completion of Talent’s Services (“Term”).</w:t>
      </w:r>
    </w:p>
    <w:p>
      <w:pPr>
        <w:numPr>
          <w:numId w:val="17"/>
        </w:numPr>
        <w:spacing w:before="120" w:after="120" w:line="288" w:lineRule="auto"/>
        <w:ind w:left="453"/>
        <w:jc w:val="left"/>
      </w:pPr>
      <w:r>
        <w:rPr>
          <w:rFonts w:eastAsia="等线" w:ascii="Arial" w:cs="Arial" w:hAnsi="Arial"/>
          <w:sz w:val="22"/>
        </w:rPr>
        <w:t>Nevertheless, either Party retains the right to terminate this Agreement with immediate effect by providing the other Party with written notice, if the other Party:</w:t>
      </w:r>
    </w:p>
    <w:p>
      <w:pPr>
        <w:numPr>
          <w:numId w:val="18"/>
        </w:numPr>
        <w:spacing w:before="120" w:after="120" w:line="288" w:lineRule="auto"/>
        <w:ind w:left="907"/>
        <w:jc w:val="left"/>
      </w:pPr>
      <w:r>
        <w:rPr>
          <w:rFonts w:eastAsia="等线" w:ascii="Arial" w:cs="Arial" w:hAnsi="Arial"/>
          <w:sz w:val="22"/>
        </w:rPr>
        <w:t xml:space="preserve">Fails to fulfill any of its obligations under this Agreement, provided that such failure has significant importance to the non-breaching Party and, unless otherwise specified in </w:t>
      </w:r>
      <w:r>
        <w:rPr>
          <w:rFonts w:eastAsia="等线" w:ascii="Arial" w:cs="Arial" w:hAnsi="Arial"/>
          <w:b w:val="true"/>
          <w:sz w:val="22"/>
        </w:rPr>
        <w:t>Appendix 1</w:t>
      </w:r>
      <w:r>
        <w:rPr>
          <w:rFonts w:eastAsia="等线" w:ascii="Arial" w:cs="Arial" w:hAnsi="Arial"/>
          <w:sz w:val="22"/>
        </w:rPr>
        <w:t>, the breaching Party has failed to rectify the situation within seven (7) days following the breach; or</w:t>
      </w:r>
    </w:p>
    <w:p>
      <w:pPr>
        <w:numPr>
          <w:numId w:val="19"/>
        </w:numPr>
        <w:spacing w:before="120" w:after="120" w:line="288" w:lineRule="auto"/>
        <w:ind w:left="907"/>
        <w:jc w:val="left"/>
      </w:pPr>
      <w:r>
        <w:rPr>
          <w:rFonts w:eastAsia="等线" w:ascii="Arial" w:cs="Arial" w:hAnsi="Arial"/>
          <w:sz w:val="22"/>
        </w:rPr>
        <w:t>Suspends its payments, is the subject of a bankruptcy petition, enters into liquidation, or is otherwise deemed to be insolvent.</w:t>
      </w:r>
    </w:p>
    <w:p>
      <w:pPr>
        <w:numPr>
          <w:numId w:val="20"/>
        </w:numPr>
        <w:spacing w:before="120" w:after="120" w:line="288" w:lineRule="auto"/>
        <w:ind w:left="453"/>
        <w:jc w:val="left"/>
      </w:pPr>
      <w:r>
        <w:rPr>
          <w:rFonts w:eastAsia="等线" w:ascii="Arial" w:cs="Arial" w:hAnsi="Arial"/>
          <w:sz w:val="22"/>
        </w:rPr>
        <w:t xml:space="preserve">A Party may also terminate this Agreement immediately, without notice, if the other Party, its shareholders, directors, or senior officers, commit any act which could reasonably be deemed immoral, deceptive, scandalous, or obscene, or which could harm, tarnish, damage or otherwise negatively impact the reputation and goodwill of such Party. However, </w:t>
      </w:r>
      <w:r>
        <w:rPr>
          <w:rFonts w:eastAsia="等线" w:ascii="Arial" w:cs="Arial" w:hAnsi="Arial"/>
          <w:b w:val="true"/>
          <w:sz w:val="22"/>
        </w:rPr>
        <w:t>BlueFocus</w:t>
      </w:r>
      <w:r>
        <w:rPr>
          <w:rFonts w:eastAsia="等线" w:ascii="Arial" w:cs="Arial" w:hAnsi="Arial"/>
          <w:sz w:val="22"/>
        </w:rPr>
        <w:t xml:space="preserve"> acknowledges that the </w:t>
      </w:r>
      <w:r>
        <w:rPr>
          <w:rFonts w:eastAsia="等线" w:ascii="Arial" w:cs="Arial" w:hAnsi="Arial"/>
          <w:b w:val="true"/>
          <w:sz w:val="22"/>
        </w:rPr>
        <w:t>Talent</w:t>
      </w:r>
      <w:r>
        <w:rPr>
          <w:rFonts w:eastAsia="等线" w:ascii="Arial" w:cs="Arial" w:hAnsi="Arial"/>
          <w:sz w:val="22"/>
        </w:rPr>
        <w:t xml:space="preserve"> maintains a public persona that includes a specific conduct and use of vernacular expressions, meaning all actions should be assessed in context, considering the </w:t>
      </w:r>
      <w:r>
        <w:rPr>
          <w:rFonts w:eastAsia="等线" w:ascii="Arial" w:cs="Arial" w:hAnsi="Arial"/>
          <w:b w:val="true"/>
          <w:sz w:val="22"/>
        </w:rPr>
        <w:t>Talent's</w:t>
      </w:r>
      <w:r>
        <w:rPr>
          <w:rFonts w:eastAsia="等线" w:ascii="Arial" w:cs="Arial" w:hAnsi="Arial"/>
          <w:sz w:val="22"/>
        </w:rPr>
        <w:t xml:space="preserve"> regular and normal way of conduct.</w:t>
      </w:r>
    </w:p>
    <w:p>
      <w:pPr>
        <w:numPr>
          <w:numId w:val="21"/>
        </w:numPr>
        <w:spacing w:before="120" w:after="120" w:line="288" w:lineRule="auto"/>
        <w:ind w:left="0"/>
        <w:jc w:val="left"/>
      </w:pPr>
      <w:r>
        <w:rPr>
          <w:rFonts w:eastAsia="等线" w:ascii="Arial" w:cs="Arial" w:hAnsi="Arial"/>
          <w:b w:val="true"/>
          <w:sz w:val="22"/>
        </w:rPr>
        <w:t>Miscellaneous</w:t>
      </w:r>
    </w:p>
    <w:p>
      <w:pPr>
        <w:numPr>
          <w:numId w:val="22"/>
        </w:numPr>
        <w:spacing w:before="120" w:after="120" w:line="288" w:lineRule="auto"/>
        <w:ind w:left="453"/>
        <w:jc w:val="left"/>
      </w:pPr>
      <w:r>
        <w:rPr>
          <w:rFonts w:eastAsia="等线" w:ascii="Arial" w:cs="Arial" w:hAnsi="Arial"/>
          <w:sz w:val="22"/>
        </w:rPr>
        <w:t>The Parties act as independent contractors, and nothing in this Agreement shall be construed as forming a partnership or employment relationship between them, or as making any Party the agent of another Party for any purpose.</w:t>
      </w:r>
    </w:p>
    <w:p>
      <w:pPr>
        <w:numPr>
          <w:numId w:val="23"/>
        </w:numPr>
        <w:spacing w:before="120" w:after="120" w:line="288" w:lineRule="auto"/>
        <w:ind w:left="453"/>
        <w:jc w:val="left"/>
      </w:pPr>
      <w:r>
        <w:rPr>
          <w:rFonts w:eastAsia="等线" w:ascii="Arial" w:cs="Arial" w:hAnsi="Arial"/>
          <w:sz w:val="22"/>
        </w:rPr>
        <w:t>This Agreement embodies the entire understanding of the Parties with respect to its subject matter and supersedes all other prior or contemporaneous understandings, whether written or oral. Except for those contained herein, no other promises, terms, conditions, or obligations, oral or written, express or implied, exist, save for those mutually agreed in writing between the Parties subsequent to the execution of this Agreement or amended except by written instruments signed by the Parties.</w:t>
      </w:r>
    </w:p>
    <w:p>
      <w:pPr>
        <w:numPr>
          <w:numId w:val="24"/>
        </w:numPr>
        <w:spacing w:before="120" w:after="120" w:line="288" w:lineRule="auto"/>
        <w:ind w:left="453"/>
        <w:jc w:val="left"/>
      </w:pPr>
      <w:r>
        <w:rPr>
          <w:rFonts w:eastAsia="等线" w:ascii="Arial" w:cs="Arial" w:hAnsi="Arial"/>
          <w:sz w:val="22"/>
        </w:rPr>
        <w:t>For the avoidance of doubt, neither Party may assign this Agreement without the prior written consent of the other Party.</w:t>
      </w:r>
    </w:p>
    <w:p>
      <w:pPr>
        <w:numPr>
          <w:numId w:val="25"/>
        </w:numPr>
        <w:spacing w:before="120" w:after="120" w:line="288" w:lineRule="auto"/>
        <w:ind w:left="453"/>
        <w:jc w:val="left"/>
      </w:pPr>
      <w:r>
        <w:rPr>
          <w:rFonts w:eastAsia="等线" w:ascii="Arial" w:cs="Arial" w:hAnsi="Arial"/>
          <w:sz w:val="22"/>
        </w:rPr>
        <w:t>Obligations intended by their nature to survive the end of the Term shall persist following the termination of this Agreement.</w:t>
      </w:r>
    </w:p>
    <w:p>
      <w:pPr>
        <w:numPr>
          <w:numId w:val="26"/>
        </w:numPr>
        <w:spacing w:before="120" w:after="120" w:line="288" w:lineRule="auto"/>
        <w:ind w:left="453"/>
        <w:jc w:val="left"/>
      </w:pPr>
      <w:r>
        <w:rPr>
          <w:rFonts w:eastAsia="等线" w:ascii="Arial" w:cs="Arial" w:hAnsi="Arial"/>
          <w:sz w:val="22"/>
        </w:rPr>
        <w:t>If any provision of this Agreement is held to be invalid, illegal, or unenforceable, the remaining provisions of this Agreement will remain in full force and effect.</w:t>
      </w:r>
    </w:p>
    <w:p>
      <w:pPr>
        <w:numPr>
          <w:numId w:val="27"/>
        </w:numPr>
        <w:spacing w:before="120" w:after="120" w:line="288" w:lineRule="auto"/>
        <w:ind w:left="453"/>
        <w:jc w:val="left"/>
      </w:pPr>
      <w:r>
        <w:rPr>
          <w:rFonts w:eastAsia="等线" w:ascii="Arial" w:cs="Arial" w:hAnsi="Arial"/>
          <w:sz w:val="22"/>
        </w:rPr>
        <w:t>This Agreement may be executed and delivered by electronic means, including scanned copies transmitted via email or other electronic communication methods. The scanned signatures and seals of both parties shall be deemed equivalent to original signatures and seals for all purposes. A scanned version of this Agreement shall have the same legal effect and enforceability as the original Agreement.</w:t>
      </w:r>
    </w:p>
    <w:p>
      <w:pPr>
        <w:numPr>
          <w:numId w:val="28"/>
        </w:numPr>
        <w:spacing w:before="120" w:after="120" w:line="288" w:lineRule="auto"/>
        <w:ind w:left="0"/>
        <w:jc w:val="left"/>
      </w:pPr>
      <w:r>
        <w:rPr>
          <w:rFonts w:eastAsia="等线" w:ascii="Arial" w:cs="Arial" w:hAnsi="Arial"/>
          <w:b w:val="true"/>
          <w:sz w:val="22"/>
        </w:rPr>
        <w:t>Governing Law and Dispute Resolution</w:t>
      </w:r>
    </w:p>
    <w:p>
      <w:pPr>
        <w:numPr>
          <w:numId w:val="29"/>
        </w:numPr>
        <w:spacing w:before="120" w:after="120" w:line="288" w:lineRule="auto"/>
        <w:ind w:left="453"/>
        <w:jc w:val="left"/>
      </w:pPr>
      <w:r>
        <w:rPr>
          <w:rFonts w:eastAsia="等线" w:ascii="Arial" w:cs="Arial" w:hAnsi="Arial"/>
          <w:sz w:val="22"/>
        </w:rPr>
        <w:t xml:space="preserve">This agreement and any disputes arising out of it shall be governed by the laws of </w:t>
      </w:r>
      <w:commentRangeStart w:id="1"/>
      <w:r>
        <w:rPr>
          <w:rFonts w:eastAsia="等线" w:ascii="Arial" w:cs="Arial" w:hAnsi="Arial"/>
          <w:sz w:val="22"/>
        </w:rPr>
        <w:t xml:space="preserve">Hong Kong. </w:t>
      </w:r>
      <w:commentRangeEnd w:id="1"/>
      <w:r>
        <w:commentReference w:id="1"/>
      </w:r>
    </w:p>
    <w:p>
      <w:pPr>
        <w:numPr>
          <w:numId w:val="30"/>
        </w:numPr>
        <w:spacing w:before="120" w:after="120" w:line="288" w:lineRule="auto"/>
        <w:ind w:left="453"/>
        <w:jc w:val="left"/>
      </w:pPr>
      <w:r>
        <w:rPr>
          <w:rFonts w:eastAsia="等线" w:ascii="Arial" w:cs="Arial" w:hAnsi="Arial"/>
          <w:sz w:val="22"/>
        </w:rPr>
        <w:t xml:space="preserve">Any dispute, controversy, difference, or claim arising out of or relating to this contract, including the existence, validity, interpretation, performance, breach, or termination thereof or any dispute regarding non-contractual obligations arising out of or relating to it shall be referred to and finally resolved by arbitration administered by the </w:t>
      </w:r>
      <w:commentRangeStart w:id="2"/>
      <w:r>
        <w:rPr>
          <w:rFonts w:eastAsia="等线" w:ascii="Arial" w:cs="Arial" w:hAnsi="Arial"/>
          <w:b w:val="true"/>
          <w:sz w:val="22"/>
        </w:rPr>
        <w:t>Hong Kong International Arbitration Centre</w:t>
      </w:r>
      <w:r>
        <w:rPr>
          <w:rFonts w:eastAsia="等线" w:ascii="Arial" w:cs="Arial" w:hAnsi="Arial"/>
          <w:sz w:val="22"/>
        </w:rPr>
        <w:t xml:space="preserve"> (HKIAC) under the HKIAC Administered Arbitration Rules</w:t>
      </w:r>
      <w:commentRangeEnd w:id="2"/>
      <w:r>
        <w:commentReference w:id="2"/>
      </w:r>
      <w:r>
        <w:rPr>
          <w:rFonts w:eastAsia="等线" w:ascii="Arial" w:cs="Arial" w:hAnsi="Arial"/>
          <w:sz w:val="22"/>
        </w:rPr>
        <w:t xml:space="preserve"> in effect when the Notice of Arbitration is submitted. The seat of arbitration shall be Hong Kong, and the arbitration proceedings shall be conducted in English.</w:t>
      </w:r>
    </w:p>
    <w:p>
      <w:pPr>
        <w:pStyle w:val="2"/>
        <w:spacing w:before="320" w:after="120" w:line="288" w:lineRule="auto"/>
        <w:ind w:left="0"/>
        <w:jc w:val="center"/>
        <w:outlineLvl w:val="1"/>
      </w:pPr>
      <w:bookmarkStart w:name="heading_5" w:id="5"/>
      <w:r>
        <w:rPr>
          <w:rFonts w:eastAsia="等线" w:ascii="Arial" w:cs="Arial" w:hAnsi="Arial"/>
          <w:b w:val="true"/>
          <w:sz w:val="32"/>
        </w:rPr>
        <w:t>Specification of the Service</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General Guidelines:</w:t>
      </w:r>
      <w:bookmarkEnd w:id="6"/>
    </w:p>
    <w:p>
      <w:pPr>
        <w:numPr>
          <w:numId w:val="31"/>
        </w:numPr>
        <w:spacing w:before="120" w:after="120" w:line="288" w:lineRule="auto"/>
        <w:ind w:left="0"/>
        <w:jc w:val="left"/>
      </w:pPr>
      <w:r>
        <w:rPr>
          <w:rFonts w:eastAsia="等线" w:ascii="Arial" w:cs="Arial" w:hAnsi="Arial"/>
          <w:sz w:val="22"/>
        </w:rPr>
        <w:t>Any modifications to this Section pertaining to General Guidelines or Content Guidelines may be affected only once both parties have formally agreed to them in writing.</w:t>
      </w:r>
    </w:p>
    <w:p>
      <w:pPr>
        <w:numPr>
          <w:numId w:val="32"/>
        </w:numPr>
        <w:spacing w:before="120" w:after="120" w:line="288" w:lineRule="auto"/>
        <w:ind w:left="0"/>
        <w:jc w:val="left"/>
      </w:pPr>
      <w:r>
        <w:rPr>
          <w:rFonts w:eastAsia="等线" w:ascii="Arial" w:cs="Arial" w:hAnsi="Arial"/>
          <w:sz w:val="22"/>
        </w:rPr>
        <w:t>The Talent will ensure that all deliverables fully adhere to the "General Guidelines" and “Content Guidelines”. This extends to any modifications or additional material for these guidelines provided to Talent in writing.</w:t>
      </w:r>
    </w:p>
    <w:p>
      <w:pPr>
        <w:numPr>
          <w:numId w:val="33"/>
        </w:numPr>
        <w:spacing w:before="120" w:after="120" w:line="288" w:lineRule="auto"/>
        <w:ind w:left="0"/>
        <w:jc w:val="left"/>
      </w:pPr>
      <w:r>
        <w:rPr>
          <w:rFonts w:eastAsia="等线" w:ascii="Arial" w:cs="Arial" w:hAnsi="Arial"/>
          <w:sz w:val="22"/>
        </w:rPr>
        <w:t>The quality standard of the deliverables must match or surpass the quality evident in the Talent's recent posts at the time the sponsorship agreement is enacted.</w:t>
      </w:r>
    </w:p>
    <w:p>
      <w:pPr>
        <w:numPr>
          <w:numId w:val="34"/>
        </w:numPr>
        <w:spacing w:before="120" w:after="120" w:line="288" w:lineRule="auto"/>
        <w:ind w:left="0"/>
        <w:jc w:val="left"/>
      </w:pPr>
      <w:r>
        <w:rPr>
          <w:rFonts w:eastAsia="等线" w:ascii="Arial" w:cs="Arial" w:hAnsi="Arial"/>
          <w:sz w:val="22"/>
        </w:rPr>
        <w:t>The deliverables' content (in totality if part of a greater whole) should portray the product(s) in a favorable manner and inspire the audience to purchase the product. Additionally, it should not include any socially, morally, physically, or politically provocative or objectionable material without prior consent from BlueFocus.</w:t>
      </w:r>
    </w:p>
    <w:p>
      <w:pPr>
        <w:numPr>
          <w:numId w:val="35"/>
        </w:numPr>
        <w:spacing w:before="120" w:after="120" w:line="288" w:lineRule="auto"/>
        <w:ind w:left="0"/>
        <w:jc w:val="left"/>
      </w:pPr>
      <w:r>
        <w:rPr>
          <w:rFonts w:eastAsia="等线" w:ascii="Arial" w:cs="Arial" w:hAnsi="Arial"/>
          <w:sz w:val="22"/>
        </w:rPr>
        <w:t>Talent will refrain from endorsing, highlighting, or promoting other brands, particularly products which may be considered competitors, in any of the deliverables provided by Talent unless otherwise agreed to by both parties in writing.</w:t>
      </w:r>
    </w:p>
    <w:p>
      <w:pPr>
        <w:numPr>
          <w:numId w:val="36"/>
        </w:numPr>
        <w:spacing w:before="120" w:after="120" w:line="288" w:lineRule="auto"/>
        <w:ind w:left="0"/>
        <w:jc w:val="left"/>
      </w:pPr>
      <w:r>
        <w:rPr>
          <w:rFonts w:eastAsia="等线" w:ascii="Arial" w:cs="Arial" w:hAnsi="Arial"/>
          <w:sz w:val="22"/>
        </w:rPr>
        <w:t>The Client reserves the right to request one round of revisions following the draft review if the content is deemed to be unsatisfactory. Any subsequent revisions will be necessitated only by a material factual error in the resultant video. If any of the Deliverables provided by the Talent are deemed to have significantly deviated from the requirements set forth in the Specifications of Service, the failure to properly cure the issue will be considered a material breach under section 6.b.i of the Agreement.</w:t>
      </w:r>
    </w:p>
    <w:p>
      <w:pPr>
        <w:spacing w:before="120" w:after="120" w:line="288" w:lineRule="auto"/>
        <w:ind w:left="0" w:firstLine="0"/>
        <w:jc w:val="left"/>
      </w:pPr>
      <w:r>
        <w:rPr>
          <w:rFonts w:eastAsia="等线" w:ascii="Arial" w:cs="Arial" w:hAnsi="Arial"/>
          <w:sz w:val="22"/>
        </w:rPr>
        <w:br/>
      </w:r>
      <w:r>
        <w:rPr>
          <w:rFonts w:eastAsia="等线" w:ascii="Arial" w:cs="Arial" w:hAnsi="Arial"/>
          <w:b w:val="true"/>
          <w:sz w:val="22"/>
        </w:rPr>
        <w:t>Modifications to the services provided can be made if both parties agree to the modifications in writing.</w:t>
      </w: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20"/>
        <w:gridCol w:w="3150"/>
        <w:gridCol w:w="3210"/>
      </w:tblGrid>
      <w:tr>
        <w:tc>
          <w:tcPr>
            <w:tcW w:w="1920" w:type="dxa"/>
            <w:tcMar>
              <w:top w:type="dxa" w:w="60"/>
              <w:left w:type="dxa" w:w="120"/>
              <w:bottom w:type="dxa" w:w="30"/>
              <w:right w:type="dxa" w:w="120"/>
            </w:tcMar>
          </w:tcPr>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Deliverable #1</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Deliverable #2</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w:t>
            </w:r>
          </w:p>
        </w:tc>
        <w:tc>
          <w:tcPr>
            <w:tcW w:w="3150" w:type="dxa"/>
            <w:tcMar>
              <w:top w:type="dxa" w:w="60"/>
              <w:left w:type="dxa" w:w="120"/>
              <w:bottom w:type="dxa" w:w="30"/>
              <w:right w:type="dxa" w:w="120"/>
            </w:tcMar>
          </w:tcPr>
          <w:p>
            <w:pPr>
              <w:spacing w:before="120" w:after="120" w:line="288" w:lineRule="auto"/>
              <w:ind w:left="0"/>
              <w:jc w:val="left"/>
            </w:pPr>
          </w:p>
        </w:tc>
        <w:tc>
          <w:tcPr>
            <w:tcW w:w="3210" w:type="dxa"/>
            <w:tcMar>
              <w:top w:type="dxa" w:w="60"/>
              <w:left w:type="dxa" w:w="120"/>
              <w:bottom w:type="dxa" w:w="30"/>
              <w:right w:type="dxa" w:w="120"/>
            </w:tcMar>
          </w:tcPr>
          <w:p>
            <w:pPr>
              <w:spacing w:before="120" w:after="120" w:line="288" w:lineRule="auto"/>
              <w:ind w:left="0"/>
              <w:jc w:val="left"/>
            </w:pP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Channel:</w:t>
            </w:r>
          </w:p>
        </w:tc>
        <w:tc>
          <w:tcPr>
            <w:tcW w:w="3150" w:type="dxa"/>
            <w:tcMar>
              <w:top w:type="dxa" w:w="60"/>
              <w:left w:type="dxa" w:w="120"/>
              <w:bottom w:type="dxa" w:w="30"/>
              <w:right w:type="dxa" w:w="120"/>
            </w:tcMar>
          </w:tcPr>
          <w:p>
            <w:pPr>
              <w:spacing w:before="120" w:after="120" w:line="288" w:lineRule="auto"/>
              <w:ind w:left="0"/>
              <w:jc w:val="left"/>
            </w:pP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w:t>
            </w:r>
          </w:p>
        </w:tc>
        <w:tc>
          <w:tcPr>
            <w:tcW w:w="3150" w:type="dxa"/>
            <w:tcMar>
              <w:top w:type="dxa" w:w="60"/>
              <w:left w:type="dxa" w:w="120"/>
              <w:bottom w:type="dxa" w:w="30"/>
              <w:right w:type="dxa" w:w="120"/>
            </w:tcMar>
          </w:tcPr>
          <w:p>
            <w:pPr>
              <w:spacing w:before="120" w:after="120" w:line="288" w:lineRule="auto"/>
              <w:ind w:left="0"/>
              <w:jc w:val="left"/>
            </w:pP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Script Due:</w:t>
            </w:r>
          </w:p>
        </w:tc>
        <w:tc>
          <w:tcPr>
            <w:tcW w:w="3150" w:type="dxa"/>
            <w:tcMar>
              <w:top w:type="dxa" w:w="60"/>
              <w:left w:type="dxa" w:w="120"/>
              <w:bottom w:type="dxa" w:w="30"/>
              <w:right w:type="dxa" w:w="120"/>
            </w:tcMar>
          </w:tcPr>
          <w:p>
            <w:pPr>
              <w:spacing w:before="120" w:after="120" w:line="288" w:lineRule="auto"/>
              <w:ind w:left="0"/>
              <w:jc w:val="left"/>
            </w:pP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Due:</w:t>
            </w:r>
          </w:p>
        </w:tc>
        <w:tc>
          <w:tcPr>
            <w:tcW w:w="3150" w:type="dxa"/>
            <w:tcMar>
              <w:top w:type="dxa" w:w="60"/>
              <w:left w:type="dxa" w:w="120"/>
              <w:bottom w:type="dxa" w:w="30"/>
              <w:right w:type="dxa" w:w="120"/>
            </w:tcMar>
          </w:tcPr>
          <w:p>
            <w:pPr>
              <w:spacing w:before="120" w:after="120" w:line="288" w:lineRule="auto"/>
              <w:ind w:left="0"/>
              <w:jc w:val="left"/>
            </w:pP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 Public:</w:t>
            </w:r>
          </w:p>
        </w:tc>
        <w:tc>
          <w:tcPr>
            <w:tcW w:w="3150" w:type="dxa"/>
            <w:tcMar>
              <w:top w:type="dxa" w:w="60"/>
              <w:left w:type="dxa" w:w="120"/>
              <w:bottom w:type="dxa" w:w="30"/>
              <w:right w:type="dxa" w:w="120"/>
            </w:tcMar>
          </w:tcPr>
          <w:p>
            <w:pPr>
              <w:spacing w:before="120" w:after="120" w:line="288" w:lineRule="auto"/>
              <w:ind w:left="0"/>
              <w:jc w:val="left"/>
            </w:pP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bl>
    <w:p>
      <w:pPr>
        <w:pStyle w:val="3"/>
        <w:spacing w:before="300" w:after="120" w:line="288" w:lineRule="auto"/>
        <w:ind w:left="0"/>
        <w:jc w:val="left"/>
        <w:outlineLvl w:val="2"/>
      </w:pPr>
      <w:bookmarkStart w:name="heading_7" w:id="7"/>
      <w:r>
        <w:rPr>
          <w:rFonts w:eastAsia="等线" w:ascii="Arial" w:cs="Arial" w:hAnsi="Arial"/>
          <w:b w:val="true"/>
          <w:sz w:val="30"/>
        </w:rPr>
        <w:t>Content Guidelines:</w:t>
      </w:r>
      <w:bookmarkEnd w:id="7"/>
    </w:p>
    <w:p>
      <w:pPr>
        <w:spacing w:before="120" w:after="120" w:line="288" w:lineRule="auto"/>
        <w:ind w:left="0" w:firstLine="0"/>
        <w:jc w:val="left"/>
      </w:pPr>
      <w:r>
        <w:rPr>
          <w:rFonts w:eastAsia="等线" w:ascii="Arial" w:cs="Arial" w:hAnsi="Arial"/>
          <w:sz w:val="22"/>
        </w:rPr>
        <w:t>The creative brief for the Service is the document titled “[Insert name of document]”. It is located here: [Insert URL Link].</w:t>
        <w:br/>
        <w:br/>
      </w:r>
      <w:r>
        <w:rPr>
          <w:rFonts w:eastAsia="等线" w:ascii="Arial" w:cs="Arial" w:hAnsi="Arial"/>
          <w:sz w:val="22"/>
        </w:rPr>
        <w:t>Modifications to the creative brief or additional instructions for the Service may be provided in writing via email or, if lines of communications are established between the parties, the chosen instant messaging service.</w:t>
      </w:r>
    </w:p>
    <w:sectPr>
      <w:footerReference w:type="default" r:id="rId3"/>
      <w:headerReference w:type="default" r:id="rId6"/>
      <w:pgSz w:orient="portrait" w:h="16840" w:w="11905"/>
    </w:sectPr>
  </w:body>
</w:document>
</file>

<file path=word/comments.xml><?xml version="1.0" encoding="utf-8"?>
<w:comments xmlns:w="http://schemas.openxmlformats.org/wordprocessingml/2006/main">
  <w:comment w:id="1" w:date="2025-11-27T00:32:00.000+08:00" w:author="Vicky Xu">
    <w:p>
      <w:r>
        <w:t>Singapore</w:t>
      </w:r>
    </w:p>
  </w:comment>
  <w:comment w:id="2" w:date="2025-11-27T00:32:13.000+08:00" w:author="Vicky Xu">
    <w:p>
      <w:r>
        <w:t>SG</w:t>
      </w:r>
    </w:p>
  </w:comment>
</w:comments>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09136">
    <w:lvl>
      <w:start w:val="1"/>
      <w:numFmt w:val="decimal"/>
      <w:suff w:val="tab"/>
      <w:lvlText w:val="%1."/>
      <w:rPr>
        <w:color w:val="3370ff"/>
      </w:rPr>
    </w:lvl>
  </w:abstractNum>
  <w:abstractNum w:abstractNumId="709137">
    <w:lvl>
      <w:start w:val="1"/>
      <w:numFmt w:val="lowerLetter"/>
      <w:suff w:val="tab"/>
      <w:lvlText w:val="%1."/>
      <w:rPr>
        <w:color w:val="3370ff"/>
      </w:rPr>
    </w:lvl>
  </w:abstractNum>
  <w:abstractNum w:abstractNumId="709138">
    <w:lvl>
      <w:start w:val="2"/>
      <w:numFmt w:val="decimal"/>
      <w:suff w:val="tab"/>
      <w:lvlText w:val="%1."/>
      <w:rPr>
        <w:color w:val="3370ff"/>
      </w:rPr>
    </w:lvl>
  </w:abstractNum>
  <w:abstractNum w:abstractNumId="709139">
    <w:lvl>
      <w:start w:val="1"/>
      <w:numFmt w:val="lowerLetter"/>
      <w:suff w:val="tab"/>
      <w:lvlText w:val="%1."/>
      <w:rPr>
        <w:color w:val="3370ff"/>
      </w:rPr>
    </w:lvl>
  </w:abstractNum>
  <w:abstractNum w:abstractNumId="709140">
    <w:lvl>
      <w:start w:val="2"/>
      <w:numFmt w:val="lowerLetter"/>
      <w:suff w:val="tab"/>
      <w:lvlText w:val="%1."/>
      <w:rPr>
        <w:color w:val="3370ff"/>
      </w:rPr>
    </w:lvl>
  </w:abstractNum>
  <w:abstractNum w:abstractNumId="709141">
    <w:lvl>
      <w:start w:val="3"/>
      <w:numFmt w:val="lowerLetter"/>
      <w:suff w:val="tab"/>
      <w:lvlText w:val="%1."/>
      <w:rPr>
        <w:color w:val="3370ff"/>
      </w:rPr>
    </w:lvl>
  </w:abstractNum>
  <w:abstractNum w:abstractNumId="709142">
    <w:lvl>
      <w:start w:val="3"/>
      <w:numFmt w:val="decimal"/>
      <w:suff w:val="tab"/>
      <w:lvlText w:val="%1."/>
      <w:rPr>
        <w:color w:val="3370ff"/>
      </w:rPr>
    </w:lvl>
  </w:abstractNum>
  <w:abstractNum w:abstractNumId="709143">
    <w:lvl>
      <w:start w:val="1"/>
      <w:numFmt w:val="lowerLetter"/>
      <w:suff w:val="tab"/>
      <w:lvlText w:val="%1."/>
      <w:rPr>
        <w:color w:val="3370ff"/>
      </w:rPr>
    </w:lvl>
  </w:abstractNum>
  <w:abstractNum w:abstractNumId="709144">
    <w:lvl>
      <w:start w:val="2"/>
      <w:numFmt w:val="lowerLetter"/>
      <w:suff w:val="tab"/>
      <w:lvlText w:val="%1."/>
      <w:rPr>
        <w:color w:val="3370ff"/>
      </w:rPr>
    </w:lvl>
  </w:abstractNum>
  <w:abstractNum w:abstractNumId="709145">
    <w:lvl>
      <w:start w:val="3"/>
      <w:numFmt w:val="lowerLetter"/>
      <w:suff w:val="tab"/>
      <w:lvlText w:val="%1."/>
      <w:rPr>
        <w:color w:val="3370ff"/>
      </w:rPr>
    </w:lvl>
  </w:abstractNum>
  <w:abstractNum w:abstractNumId="709146">
    <w:lvl>
      <w:start w:val="4"/>
      <w:numFmt w:val="decimal"/>
      <w:suff w:val="tab"/>
      <w:lvlText w:val="%1."/>
      <w:rPr>
        <w:color w:val="3370ff"/>
      </w:rPr>
    </w:lvl>
  </w:abstractNum>
  <w:abstractNum w:abstractNumId="709147">
    <w:lvl>
      <w:start w:val="1"/>
      <w:numFmt w:val="lowerLetter"/>
      <w:suff w:val="tab"/>
      <w:lvlText w:val="%1."/>
      <w:rPr>
        <w:color w:val="3370ff"/>
      </w:rPr>
    </w:lvl>
  </w:abstractNum>
  <w:abstractNum w:abstractNumId="709148">
    <w:lvl>
      <w:start w:val="5"/>
      <w:numFmt w:val="decimal"/>
      <w:suff w:val="tab"/>
      <w:lvlText w:val="%1."/>
      <w:rPr>
        <w:color w:val="3370ff"/>
      </w:rPr>
    </w:lvl>
  </w:abstractNum>
  <w:abstractNum w:abstractNumId="709149">
    <w:lvl>
      <w:start w:val="1"/>
      <w:numFmt w:val="lowerLetter"/>
      <w:suff w:val="tab"/>
      <w:lvlText w:val="%1."/>
      <w:rPr>
        <w:color w:val="3370ff"/>
      </w:rPr>
    </w:lvl>
  </w:abstractNum>
  <w:abstractNum w:abstractNumId="709150">
    <w:lvl>
      <w:start w:val="6"/>
      <w:numFmt w:val="decimal"/>
      <w:suff w:val="tab"/>
      <w:lvlText w:val="%1."/>
      <w:rPr>
        <w:color w:val="3370ff"/>
      </w:rPr>
    </w:lvl>
  </w:abstractNum>
  <w:abstractNum w:abstractNumId="709151">
    <w:lvl>
      <w:start w:val="1"/>
      <w:numFmt w:val="lowerLetter"/>
      <w:suff w:val="tab"/>
      <w:lvlText w:val="%1."/>
      <w:rPr>
        <w:color w:val="3370ff"/>
      </w:rPr>
    </w:lvl>
  </w:abstractNum>
  <w:abstractNum w:abstractNumId="709152">
    <w:lvl>
      <w:start w:val="2"/>
      <w:numFmt w:val="lowerLetter"/>
      <w:suff w:val="tab"/>
      <w:lvlText w:val="%1."/>
      <w:rPr>
        <w:color w:val="3370ff"/>
      </w:rPr>
    </w:lvl>
  </w:abstractNum>
  <w:abstractNum w:abstractNumId="709153">
    <w:lvl>
      <w:start w:val="1"/>
      <w:numFmt w:val="lowerRoman"/>
      <w:suff w:val="tab"/>
      <w:lvlText w:val="%1."/>
      <w:rPr>
        <w:color w:val="3370ff"/>
      </w:rPr>
    </w:lvl>
  </w:abstractNum>
  <w:abstractNum w:abstractNumId="709154">
    <w:lvl>
      <w:start w:val="2"/>
      <w:numFmt w:val="lowerRoman"/>
      <w:suff w:val="tab"/>
      <w:lvlText w:val="%1."/>
      <w:rPr>
        <w:color w:val="3370ff"/>
      </w:rPr>
    </w:lvl>
  </w:abstractNum>
  <w:abstractNum w:abstractNumId="709155">
    <w:lvl>
      <w:start w:val="3"/>
      <w:numFmt w:val="lowerLetter"/>
      <w:suff w:val="tab"/>
      <w:lvlText w:val="%1."/>
      <w:rPr>
        <w:color w:val="3370ff"/>
      </w:rPr>
    </w:lvl>
  </w:abstractNum>
  <w:abstractNum w:abstractNumId="709156">
    <w:lvl>
      <w:start w:val="7"/>
      <w:numFmt w:val="decimal"/>
      <w:suff w:val="tab"/>
      <w:lvlText w:val="%1."/>
      <w:rPr>
        <w:color w:val="3370ff"/>
      </w:rPr>
    </w:lvl>
  </w:abstractNum>
  <w:abstractNum w:abstractNumId="709157">
    <w:lvl>
      <w:start w:val="1"/>
      <w:numFmt w:val="lowerLetter"/>
      <w:suff w:val="tab"/>
      <w:lvlText w:val="%1."/>
      <w:rPr>
        <w:color w:val="3370ff"/>
      </w:rPr>
    </w:lvl>
  </w:abstractNum>
  <w:abstractNum w:abstractNumId="709158">
    <w:lvl>
      <w:start w:val="2"/>
      <w:numFmt w:val="lowerLetter"/>
      <w:suff w:val="tab"/>
      <w:lvlText w:val="%1."/>
      <w:rPr>
        <w:color w:val="3370ff"/>
      </w:rPr>
    </w:lvl>
  </w:abstractNum>
  <w:abstractNum w:abstractNumId="709159">
    <w:lvl>
      <w:start w:val="3"/>
      <w:numFmt w:val="lowerLetter"/>
      <w:suff w:val="tab"/>
      <w:lvlText w:val="%1."/>
      <w:rPr>
        <w:color w:val="3370ff"/>
      </w:rPr>
    </w:lvl>
  </w:abstractNum>
  <w:abstractNum w:abstractNumId="709160">
    <w:lvl>
      <w:start w:val="4"/>
      <w:numFmt w:val="lowerLetter"/>
      <w:suff w:val="tab"/>
      <w:lvlText w:val="%1."/>
      <w:rPr>
        <w:color w:val="3370ff"/>
      </w:rPr>
    </w:lvl>
  </w:abstractNum>
  <w:abstractNum w:abstractNumId="709161">
    <w:lvl>
      <w:start w:val="5"/>
      <w:numFmt w:val="lowerLetter"/>
      <w:suff w:val="tab"/>
      <w:lvlText w:val="%1."/>
      <w:rPr>
        <w:color w:val="3370ff"/>
      </w:rPr>
    </w:lvl>
  </w:abstractNum>
  <w:abstractNum w:abstractNumId="709162">
    <w:lvl>
      <w:start w:val="6"/>
      <w:numFmt w:val="lowerLetter"/>
      <w:suff w:val="tab"/>
      <w:lvlText w:val="%1."/>
      <w:rPr>
        <w:color w:val="3370ff"/>
      </w:rPr>
    </w:lvl>
  </w:abstractNum>
  <w:abstractNum w:abstractNumId="709163">
    <w:lvl>
      <w:start w:val="8"/>
      <w:numFmt w:val="decimal"/>
      <w:suff w:val="tab"/>
      <w:lvlText w:val="%1."/>
      <w:rPr>
        <w:color w:val="3370ff"/>
      </w:rPr>
    </w:lvl>
  </w:abstractNum>
  <w:abstractNum w:abstractNumId="709164">
    <w:lvl>
      <w:start w:val="1"/>
      <w:numFmt w:val="lowerLetter"/>
      <w:suff w:val="tab"/>
      <w:lvlText w:val="%1."/>
      <w:rPr>
        <w:color w:val="3370ff"/>
      </w:rPr>
    </w:lvl>
  </w:abstractNum>
  <w:abstractNum w:abstractNumId="709165">
    <w:lvl>
      <w:start w:val="2"/>
      <w:numFmt w:val="lowerLetter"/>
      <w:suff w:val="tab"/>
      <w:lvlText w:val="%1."/>
      <w:rPr>
        <w:color w:val="3370ff"/>
      </w:rPr>
    </w:lvl>
  </w:abstractNum>
  <w:abstractNum w:abstractNumId="709166">
    <w:lvl>
      <w:start w:val="1"/>
      <w:numFmt w:val="decimal"/>
      <w:suff w:val="tab"/>
      <w:lvlText w:val="%1."/>
      <w:rPr>
        <w:color w:val="3370ff"/>
      </w:rPr>
    </w:lvl>
  </w:abstractNum>
  <w:abstractNum w:abstractNumId="709167">
    <w:lvl>
      <w:start w:val="2"/>
      <w:numFmt w:val="decimal"/>
      <w:suff w:val="tab"/>
      <w:lvlText w:val="%1."/>
      <w:rPr>
        <w:color w:val="3370ff"/>
      </w:rPr>
    </w:lvl>
  </w:abstractNum>
  <w:abstractNum w:abstractNumId="709168">
    <w:lvl>
      <w:start w:val="3"/>
      <w:numFmt w:val="decimal"/>
      <w:suff w:val="tab"/>
      <w:lvlText w:val="%1."/>
      <w:rPr>
        <w:color w:val="3370ff"/>
      </w:rPr>
    </w:lvl>
  </w:abstractNum>
  <w:abstractNum w:abstractNumId="709169">
    <w:lvl>
      <w:start w:val="4"/>
      <w:numFmt w:val="decimal"/>
      <w:suff w:val="tab"/>
      <w:lvlText w:val="%1."/>
      <w:rPr>
        <w:color w:val="3370ff"/>
      </w:rPr>
    </w:lvl>
  </w:abstractNum>
  <w:abstractNum w:abstractNumId="709170">
    <w:lvl>
      <w:start w:val="5"/>
      <w:numFmt w:val="decimal"/>
      <w:suff w:val="tab"/>
      <w:lvlText w:val="%1."/>
      <w:rPr>
        <w:color w:val="3370ff"/>
      </w:rPr>
    </w:lvl>
  </w:abstractNum>
  <w:abstractNum w:abstractNumId="709171">
    <w:lvl>
      <w:start w:val="6"/>
      <w:numFmt w:val="decimal"/>
      <w:suff w:val="tab"/>
      <w:lvlText w:val="%1."/>
      <w:rPr>
        <w:color w:val="3370ff"/>
      </w:rPr>
    </w:lvl>
  </w:abstractNum>
  <w:num w:numId="1">
    <w:abstractNumId w:val="709136"/>
  </w:num>
  <w:num w:numId="2">
    <w:abstractNumId w:val="709137"/>
  </w:num>
  <w:num w:numId="3">
    <w:abstractNumId w:val="709138"/>
  </w:num>
  <w:num w:numId="4">
    <w:abstractNumId w:val="709139"/>
  </w:num>
  <w:num w:numId="5">
    <w:abstractNumId w:val="709140"/>
  </w:num>
  <w:num w:numId="6">
    <w:abstractNumId w:val="709141"/>
  </w:num>
  <w:num w:numId="7">
    <w:abstractNumId w:val="709142"/>
  </w:num>
  <w:num w:numId="8">
    <w:abstractNumId w:val="709143"/>
  </w:num>
  <w:num w:numId="9">
    <w:abstractNumId w:val="709144"/>
  </w:num>
  <w:num w:numId="10">
    <w:abstractNumId w:val="709145"/>
  </w:num>
  <w:num w:numId="11">
    <w:abstractNumId w:val="709146"/>
  </w:num>
  <w:num w:numId="12">
    <w:abstractNumId w:val="709147"/>
  </w:num>
  <w:num w:numId="13">
    <w:abstractNumId w:val="709148"/>
  </w:num>
  <w:num w:numId="14">
    <w:abstractNumId w:val="709149"/>
  </w:num>
  <w:num w:numId="15">
    <w:abstractNumId w:val="709150"/>
  </w:num>
  <w:num w:numId="16">
    <w:abstractNumId w:val="709151"/>
  </w:num>
  <w:num w:numId="17">
    <w:abstractNumId w:val="709152"/>
  </w:num>
  <w:num w:numId="18">
    <w:abstractNumId w:val="709153"/>
  </w:num>
  <w:num w:numId="19">
    <w:abstractNumId w:val="709154"/>
  </w:num>
  <w:num w:numId="20">
    <w:abstractNumId w:val="709155"/>
  </w:num>
  <w:num w:numId="21">
    <w:abstractNumId w:val="709156"/>
  </w:num>
  <w:num w:numId="22">
    <w:abstractNumId w:val="709157"/>
  </w:num>
  <w:num w:numId="23">
    <w:abstractNumId w:val="709158"/>
  </w:num>
  <w:num w:numId="24">
    <w:abstractNumId w:val="709159"/>
  </w:num>
  <w:num w:numId="25">
    <w:abstractNumId w:val="709160"/>
  </w:num>
  <w:num w:numId="26">
    <w:abstractNumId w:val="709161"/>
  </w:num>
  <w:num w:numId="27">
    <w:abstractNumId w:val="709162"/>
  </w:num>
  <w:num w:numId="28">
    <w:abstractNumId w:val="709163"/>
  </w:num>
  <w:num w:numId="29">
    <w:abstractNumId w:val="709164"/>
  </w:num>
  <w:num w:numId="30">
    <w:abstractNumId w:val="709165"/>
  </w:num>
  <w:num w:numId="31">
    <w:abstractNumId w:val="709166"/>
  </w:num>
  <w:num w:numId="32">
    <w:abstractNumId w:val="709167"/>
  </w:num>
  <w:num w:numId="33">
    <w:abstractNumId w:val="709168"/>
  </w:num>
  <w:num w:numId="34">
    <w:abstractNumId w:val="709169"/>
  </w:num>
  <w:num w:numId="35">
    <w:abstractNumId w:val="709170"/>
  </w:num>
  <w:num w:numId="36">
    <w:abstractNumId w:val="70917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comments.xml" Type="http://schemas.openxmlformats.org/officeDocument/2006/relationships/comments"/><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2025-12-10T07:38:44Z</dcterms:created>
  <dc:creator>Apache POI</dc:creator>
</cp:coreProperties>
</file>