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【修订0427】【供应商向】虚拟人或虚拟空间项目制作协议</w:t>
      </w:r>
    </w:p>
    <w:p>
      <w:pPr>
        <w:spacing w:before="120" w:after="120" w:line="288" w:lineRule="auto"/>
        <w:ind w:left="0" w:firstLine="0"/>
        <w:jc w:val="center"/>
      </w:pPr>
      <w:r>
        <w:rPr>
          <w:rFonts w:eastAsia="等线" w:ascii="Arial" w:cs="Arial" w:hAnsi="Arial"/>
          <w:b w:val="true"/>
          <w:sz w:val="22"/>
        </w:rPr>
        <w:t>虚拟人项目制作协议</w:t>
      </w:r>
    </w:p>
    <w:p>
      <w:pPr>
        <w:spacing w:before="120" w:after="120" w:line="288" w:lineRule="auto"/>
        <w:ind w:left="0" w:firstLine="0"/>
        <w:jc w:val="right"/>
      </w:pPr>
      <w:r>
        <w:rPr>
          <w:rFonts w:eastAsia="等线" w:ascii="Arial" w:cs="Arial" w:hAnsi="Arial"/>
          <w:b w:val="true"/>
          <w:sz w:val="22"/>
        </w:rPr>
        <w:t xml:space="preserve">   </w:t>
      </w:r>
      <w:r>
        <w:rPr>
          <w:rFonts w:eastAsia="等线" w:ascii="Arial" w:cs="Arial" w:hAnsi="Arial"/>
          <w:sz w:val="22"/>
        </w:rPr>
        <w:t xml:space="preserve">          </w:t>
      </w:r>
    </w:p>
    <w:p>
      <w:pPr>
        <w:spacing w:before="120" w:after="120" w:line="288" w:lineRule="auto"/>
        <w:ind w:left="0" w:firstLine="0"/>
        <w:jc w:val="right"/>
      </w:pPr>
      <w:r>
        <w:rPr>
          <w:rFonts w:eastAsia="等线" w:ascii="Arial" w:cs="Arial" w:hAnsi="Arial"/>
          <w:sz w:val="22"/>
        </w:rPr>
        <w:t>合同编号：</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甲方： 【我方主体】</w:t>
      </w:r>
    </w:p>
    <w:p>
      <w:pPr>
        <w:spacing w:before="120" w:after="120" w:line="288" w:lineRule="auto"/>
        <w:ind w:left="0" w:firstLine="0"/>
        <w:jc w:val="left"/>
      </w:pPr>
      <w:r>
        <w:rPr>
          <w:rFonts w:eastAsia="等线" w:ascii="Arial" w:cs="Arial" w:hAnsi="Arial"/>
          <w:sz w:val="22"/>
        </w:rPr>
        <w:t>法定代表人：</w:t>
      </w:r>
    </w:p>
    <w:p>
      <w:pPr>
        <w:spacing w:before="120" w:after="120" w:line="288" w:lineRule="auto"/>
        <w:ind w:left="0" w:firstLine="0"/>
        <w:jc w:val="left"/>
      </w:pPr>
      <w:r>
        <w:rPr>
          <w:rFonts w:eastAsia="等线" w:ascii="Arial" w:cs="Arial" w:hAnsi="Arial"/>
          <w:sz w:val="22"/>
        </w:rPr>
        <w:t>通讯地址：</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乙方：【】</w:t>
      </w:r>
    </w:p>
    <w:p>
      <w:pPr>
        <w:spacing w:before="120" w:after="120" w:line="288" w:lineRule="auto"/>
        <w:ind w:left="0" w:firstLine="0"/>
        <w:jc w:val="left"/>
      </w:pPr>
      <w:r>
        <w:rPr>
          <w:rFonts w:eastAsia="等线" w:ascii="Arial" w:cs="Arial" w:hAnsi="Arial"/>
          <w:sz w:val="22"/>
        </w:rPr>
        <w:t>地址：</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甲乙双方经友好协商，本着平等、自愿的原则，根据《中华人民共和国民法典》等相关法律法规，就乙方为甲方提供【</w:t>
      </w:r>
      <w:r>
        <w:rPr>
          <w:rFonts w:eastAsia="等线" w:ascii="Arial" w:cs="Arial" w:hAnsi="Arial"/>
          <w:sz w:val="22"/>
          <w:u w:val="single"/>
        </w:rPr>
        <w:t>虚拟人制作 服务</w:t>
      </w:r>
      <w:r>
        <w:rPr>
          <w:rFonts w:eastAsia="等线" w:ascii="Arial" w:cs="Arial" w:hAnsi="Arial"/>
          <w:sz w:val="22"/>
        </w:rPr>
        <w:t>】事宜达成如下约定，以资共同遵守：</w:t>
      </w:r>
    </w:p>
    <w:p>
      <w:pPr>
        <w:spacing w:before="120" w:after="120" w:line="288" w:lineRule="auto"/>
        <w:ind w:left="0" w:firstLine="0"/>
        <w:jc w:val="left"/>
      </w:pPr>
    </w:p>
    <w:p>
      <w:pPr>
        <w:numPr>
          <w:numId w:val="1"/>
        </w:numPr>
        <w:spacing w:before="120" w:after="120" w:line="288" w:lineRule="auto"/>
        <w:ind w:left="453"/>
        <w:jc w:val="left"/>
      </w:pPr>
      <w:r>
        <w:rPr>
          <w:rFonts w:eastAsia="等线" w:ascii="Arial" w:cs="Arial" w:hAnsi="Arial"/>
          <w:b w:val="true"/>
          <w:sz w:val="22"/>
        </w:rPr>
        <w:t>服务内容</w:t>
      </w:r>
    </w:p>
    <w:p>
      <w:pPr>
        <w:numPr>
          <w:numId w:val="2"/>
        </w:numPr>
        <w:spacing w:before="120" w:after="120" w:line="288" w:lineRule="auto"/>
        <w:ind w:left="907"/>
        <w:jc w:val="left"/>
      </w:pPr>
      <w:r>
        <w:rPr>
          <w:rFonts w:eastAsia="等线" w:ascii="Arial" w:cs="Arial" w:hAnsi="Arial"/>
          <w:sz w:val="22"/>
        </w:rPr>
        <w:t>制作内容：</w:t>
      </w:r>
    </w:p>
    <w:p>
      <w:pPr>
        <w:spacing w:before="120" w:after="120" w:line="288" w:lineRule="auto"/>
        <w:ind w:left="0" w:firstLine="420"/>
        <w:jc w:val="left"/>
      </w:pPr>
      <w:r>
        <w:rPr>
          <w:rFonts w:eastAsia="等线" w:ascii="Arial" w:cs="Arial" w:hAnsi="Arial"/>
          <w:sz w:val="22"/>
        </w:rPr>
        <w:t>乙方作为服务方，根据甲方的执行单（如有）及需求，为甲方提供虚拟人制作服务，包括人物建模、表情制作、毛发制作、动画、动作、互动装置、骨骼绑定，虚拟人数据等打包文件以及延展角色造型、服饰造型，角色优化，模型制作等服务。除前述内容外，甲方还可通过书面或者电子邮件方式对于制作内容提出优化细化要求。</w:t>
      </w:r>
    </w:p>
    <w:p>
      <w:pPr>
        <w:numPr>
          <w:numId w:val="3"/>
        </w:numPr>
        <w:spacing w:before="120" w:after="120" w:line="288" w:lineRule="auto"/>
        <w:ind w:left="0"/>
        <w:jc w:val="left"/>
      </w:pPr>
      <w:r>
        <w:rPr>
          <w:rFonts w:eastAsia="等线" w:ascii="Arial" w:cs="Arial" w:hAnsi="Arial"/>
          <w:sz w:val="22"/>
        </w:rPr>
        <w:t>合作期限：自【】年【】月【】日起至【】年【】月【】日止。</w:t>
      </w:r>
    </w:p>
    <w:p>
      <w:pPr>
        <w:numPr>
          <w:numId w:val="4"/>
        </w:numPr>
        <w:spacing w:before="120" w:after="120" w:line="288" w:lineRule="auto"/>
        <w:ind w:left="0"/>
        <w:jc w:val="left"/>
      </w:pPr>
      <w:r>
        <w:rPr>
          <w:rFonts w:eastAsia="等线" w:ascii="Arial" w:cs="Arial" w:hAnsi="Arial"/>
          <w:sz w:val="22"/>
        </w:rPr>
        <w:t>交付时间：【】</w:t>
      </w:r>
    </w:p>
    <w:p>
      <w:pPr>
        <w:numPr>
          <w:numId w:val="5"/>
        </w:numPr>
        <w:spacing w:before="120" w:after="120" w:line="288" w:lineRule="auto"/>
        <w:ind w:left="0"/>
        <w:jc w:val="left"/>
      </w:pPr>
      <w:r>
        <w:rPr>
          <w:rFonts w:eastAsia="等线" w:ascii="Arial" w:cs="Arial" w:hAnsi="Arial"/>
          <w:sz w:val="22"/>
        </w:rPr>
        <w:t>交付内容：【】</w:t>
      </w:r>
    </w:p>
    <w:p>
      <w:pPr>
        <w:numPr>
          <w:numId w:val="6"/>
        </w:numPr>
        <w:spacing w:before="120" w:after="120" w:line="288" w:lineRule="auto"/>
        <w:ind w:left="453"/>
        <w:jc w:val="left"/>
      </w:pPr>
      <w:r>
        <w:rPr>
          <w:rFonts w:eastAsia="等线" w:ascii="Arial" w:cs="Arial" w:hAnsi="Arial"/>
          <w:b w:val="true"/>
          <w:sz w:val="22"/>
        </w:rPr>
        <w:t>交付及验收：</w:t>
      </w:r>
    </w:p>
    <w:p>
      <w:pPr>
        <w:numPr>
          <w:numId w:val="7"/>
        </w:numPr>
        <w:spacing w:before="120" w:after="120" w:line="288" w:lineRule="auto"/>
        <w:ind w:left="907"/>
        <w:jc w:val="left"/>
      </w:pPr>
      <w:r>
        <w:rPr>
          <w:rFonts w:eastAsia="等线" w:ascii="Arial" w:cs="Arial" w:hAnsi="Arial"/>
          <w:sz w:val="22"/>
        </w:rPr>
        <w:t>成果交付：乙方完成的服务成果，包括但不限于研发过程材料、阶段性成果以及最终成果等，应全部交付给甲方。乙方向甲方提交的本项目中技术服务成果形式应该包括但不限于产品设计、工艺规程、标准文稿、图纸、论文、报告、计算机软件等输出物。</w:t>
      </w:r>
    </w:p>
    <w:p>
      <w:pPr>
        <w:numPr>
          <w:numId w:val="8"/>
        </w:numPr>
        <w:spacing w:before="120" w:after="120" w:line="288" w:lineRule="auto"/>
        <w:ind w:left="907"/>
        <w:jc w:val="left"/>
      </w:pPr>
      <w:r>
        <w:rPr>
          <w:rFonts w:eastAsia="等线" w:ascii="Arial" w:cs="Arial" w:hAnsi="Arial"/>
          <w:sz w:val="22"/>
        </w:rPr>
        <w:t>交付方式：乙方应按本合同约定交付时间将本项目全部成果及底稿文件发送至甲方指定邮箱。交付成果如涉及到计算机软件的，乙方应当向甲方提供载有软件的存储介质（光盘、软件加密卡）、源代码、产品操作手册（电子版）、描述软件流程、算法、设计思想的软件设计文档等相关材料。</w:t>
      </w:r>
    </w:p>
    <w:p>
      <w:pPr>
        <w:numPr>
          <w:numId w:val="9"/>
        </w:numPr>
        <w:spacing w:before="120" w:after="120" w:line="288" w:lineRule="auto"/>
        <w:ind w:left="907"/>
        <w:jc w:val="left"/>
      </w:pPr>
      <w:r>
        <w:rPr>
          <w:rFonts w:eastAsia="等线" w:ascii="Arial" w:cs="Arial" w:hAnsi="Arial"/>
          <w:sz w:val="22"/>
        </w:rPr>
        <w:t>验收标准：甲方有权对乙方提出具体的项目服务需求，并对乙方服务的完成质量进行验收，本项目的验收标准为本协议附件《审核标准》列明的应交付的文件及应达到的技术指标和参数。</w:t>
      </w:r>
    </w:p>
    <w:p>
      <w:pPr>
        <w:numPr>
          <w:numId w:val="10"/>
        </w:numPr>
        <w:spacing w:before="120" w:after="120" w:line="288" w:lineRule="auto"/>
        <w:ind w:left="907"/>
        <w:jc w:val="left"/>
      </w:pPr>
      <w:r>
        <w:rPr>
          <w:rFonts w:eastAsia="等线" w:ascii="Arial" w:cs="Arial" w:hAnsi="Arial"/>
          <w:sz w:val="22"/>
        </w:rPr>
        <w:t>验收方式：本项目的验收工作由甲方项目负责人指定的技术及业务人员进行，甲方对本合同项下全部服务、产品、各阶段及最终成果的验收意见通过甲方指定联系人发出并抄送采购部两个邮箱（邮箱地址见本合同第【11】条）的形式发出，甲方其他工作人员的邮件、微信等形式的沟通记录均非甲方确认的验收方式，不具备验收确认的效力。</w:t>
      </w:r>
    </w:p>
    <w:p>
      <w:pPr>
        <w:numPr>
          <w:numId w:val="11"/>
        </w:numPr>
        <w:spacing w:before="120" w:after="120" w:line="288" w:lineRule="auto"/>
        <w:ind w:left="907"/>
        <w:jc w:val="left"/>
      </w:pPr>
      <w:r>
        <w:rPr>
          <w:rFonts w:eastAsia="等线" w:ascii="Arial" w:cs="Arial" w:hAnsi="Arial"/>
          <w:sz w:val="22"/>
        </w:rPr>
        <w:t>验收异议期限：乙方知悉并确认，甲方采购部有权在收到联系人出具的验收意见后15个工作日内提出合理异议，甲方采购部提出异议的，双方重新组织验收，验收结果与验收完成节点均以重新验收后，甲方采购部出具最终验收意见的内容与时间为准。甲方采购部无正当理由逾期未提出异议的，视为对联系人出具的验收意见无异议。</w:t>
      </w:r>
    </w:p>
    <w:p>
      <w:pPr>
        <w:numPr>
          <w:numId w:val="12"/>
        </w:numPr>
        <w:spacing w:before="120" w:after="120" w:line="288" w:lineRule="auto"/>
        <w:ind w:left="453"/>
        <w:jc w:val="left"/>
      </w:pPr>
      <w:r>
        <w:rPr>
          <w:rFonts w:eastAsia="等线" w:ascii="Arial" w:cs="Arial" w:hAnsi="Arial"/>
          <w:b w:val="true"/>
          <w:sz w:val="22"/>
        </w:rPr>
        <w:t>质量保证</w:t>
      </w:r>
    </w:p>
    <w:p>
      <w:pPr>
        <w:numPr>
          <w:numId w:val="13"/>
        </w:numPr>
        <w:spacing w:before="120" w:after="120" w:line="288" w:lineRule="auto"/>
        <w:ind w:left="907"/>
        <w:jc w:val="left"/>
      </w:pPr>
      <w:r>
        <w:rPr>
          <w:rFonts w:eastAsia="等线" w:ascii="Arial" w:cs="Arial" w:hAnsi="Arial"/>
          <w:sz w:val="22"/>
        </w:rPr>
        <w:t>本协议的质量保证期/免费保修期（保证期）为【一（1）】年（自甲方对乙方最终成果书面验收合格之日起计算）。</w:t>
      </w:r>
    </w:p>
    <w:p>
      <w:pPr>
        <w:numPr>
          <w:numId w:val="14"/>
        </w:numPr>
        <w:spacing w:before="120" w:after="120" w:line="288" w:lineRule="auto"/>
        <w:ind w:left="907"/>
        <w:jc w:val="left"/>
      </w:pPr>
      <w:r>
        <w:rPr>
          <w:rFonts w:eastAsia="等线" w:ascii="Arial" w:cs="Arial" w:hAnsi="Arial"/>
          <w:sz w:val="22"/>
        </w:rPr>
        <w:t>在保证期内，乙方应按照本合同及附件【售后服务标准】向甲方提供免费的技术支持服务以及实时升级服务，保证乙方所交付技术成果处于最新版本且符合本次采购目的。保证期内，甲方或甲方客户发现乙方提供的服务成果质量缺陷的，乙方应当在甲方指定的时间内自负费用负责返工或者采取补救措施。</w:t>
      </w:r>
    </w:p>
    <w:p>
      <w:pPr>
        <w:numPr>
          <w:numId w:val="15"/>
        </w:numPr>
        <w:spacing w:before="120" w:after="120" w:line="288" w:lineRule="auto"/>
        <w:ind w:left="907"/>
        <w:jc w:val="left"/>
      </w:pPr>
      <w:r>
        <w:rPr>
          <w:rFonts w:eastAsia="等线" w:ascii="Arial" w:cs="Arial" w:hAnsi="Arial"/>
          <w:sz w:val="22"/>
        </w:rPr>
        <w:t>前款所称“质量缺陷”，是指乙方提供的服务成果不能满足甲方在本协议中约定或本次采购标的标准、用途、功能要求以及性能等。</w:t>
      </w:r>
    </w:p>
    <w:p>
      <w:pPr>
        <w:numPr>
          <w:numId w:val="16"/>
        </w:numPr>
        <w:spacing w:before="120" w:after="120" w:line="288" w:lineRule="auto"/>
        <w:ind w:left="907"/>
        <w:jc w:val="left"/>
      </w:pPr>
      <w:r>
        <w:rPr>
          <w:rFonts w:eastAsia="等线" w:ascii="Arial" w:cs="Arial" w:hAnsi="Arial"/>
          <w:sz w:val="22"/>
        </w:rPr>
        <w:t>保证期满后，如甲方需要，乙方应以合理的价格向甲方提供技术支持及升级服务，双方另行签订技术服务协议。</w:t>
      </w:r>
    </w:p>
    <w:p>
      <w:pPr>
        <w:numPr>
          <w:numId w:val="17"/>
        </w:numPr>
        <w:spacing w:before="120" w:after="120" w:line="288" w:lineRule="auto"/>
        <w:ind w:left="453"/>
        <w:jc w:val="left"/>
      </w:pPr>
      <w:r>
        <w:rPr>
          <w:rFonts w:eastAsia="等线" w:ascii="Arial" w:cs="Arial" w:hAnsi="Arial"/>
          <w:b w:val="true"/>
          <w:sz w:val="22"/>
        </w:rPr>
        <w:t>服务费用及支付方式</w:t>
      </w:r>
    </w:p>
    <w:p>
      <w:pPr>
        <w:numPr>
          <w:numId w:val="18"/>
        </w:numPr>
        <w:spacing w:before="120" w:after="120" w:line="288" w:lineRule="auto"/>
        <w:ind w:left="907"/>
        <w:jc w:val="left"/>
      </w:pPr>
      <w:r>
        <w:rPr>
          <w:rFonts w:eastAsia="等线" w:ascii="Arial" w:cs="Arial" w:hAnsi="Arial"/>
          <w:sz w:val="22"/>
        </w:rPr>
        <w:t>本协议项下的制作费用总额为RMB【】元（大写：【】元），其中，不含税金额【】元，税金【】元，甲方按照以下</w:t>
      </w:r>
      <w:r>
        <w:rPr>
          <w:rFonts w:eastAsia="等线" w:ascii="Arial" w:cs="Arial" w:hAnsi="Arial"/>
          <w:b w:val="true"/>
          <w:sz w:val="22"/>
        </w:rPr>
        <w:t>第（）种方式</w:t>
      </w:r>
      <w:r>
        <w:rPr>
          <w:rFonts w:eastAsia="等线" w:ascii="Arial" w:cs="Arial" w:hAnsi="Arial"/>
          <w:sz w:val="22"/>
        </w:rPr>
        <w:t>向乙方支付：</w:t>
      </w:r>
    </w:p>
    <w:p>
      <w:pPr>
        <w:numPr>
          <w:numId w:val="19"/>
        </w:numPr>
        <w:spacing w:before="120" w:after="120" w:line="288" w:lineRule="auto"/>
        <w:ind w:left="1360"/>
        <w:jc w:val="left"/>
      </w:pPr>
      <w:r>
        <w:rPr>
          <w:rFonts w:eastAsia="等线" w:ascii="Arial" w:cs="Arial" w:hAnsi="Arial"/>
          <w:b w:val="true"/>
          <w:sz w:val="22"/>
        </w:rPr>
        <w:t>全额预付款：</w:t>
      </w:r>
      <w:r>
        <w:rPr>
          <w:rFonts w:eastAsia="等线" w:ascii="Arial" w:cs="Arial" w:hAnsi="Arial"/>
          <w:sz w:val="22"/>
        </w:rPr>
        <w:t>甲方应当在本协议生效之日起【】个工作日内支付协议总金额的100%即RMB【】元（大写：【】元），其中，不含税金额【】元，税金【】元；</w:t>
      </w:r>
    </w:p>
    <w:p>
      <w:pPr>
        <w:numPr>
          <w:numId w:val="20"/>
        </w:numPr>
        <w:spacing w:before="120" w:after="120" w:line="288" w:lineRule="auto"/>
        <w:ind w:left="1360"/>
        <w:jc w:val="left"/>
      </w:pPr>
      <w:r>
        <w:rPr>
          <w:rFonts w:eastAsia="等线" w:ascii="Arial" w:cs="Arial" w:hAnsi="Arial"/>
          <w:b w:val="true"/>
          <w:sz w:val="22"/>
        </w:rPr>
        <w:t>分阶段付款：</w:t>
      </w:r>
    </w:p>
    <w:p>
      <w:pPr>
        <w:numPr>
          <w:numId w:val="21"/>
        </w:numPr>
        <w:spacing w:before="120" w:after="120" w:line="288" w:lineRule="auto"/>
        <w:ind w:left="0"/>
        <w:jc w:val="left"/>
      </w:pPr>
      <w:r>
        <w:rPr>
          <w:rFonts w:eastAsia="等线" w:ascii="Arial" w:cs="Arial" w:hAnsi="Arial"/>
          <w:sz w:val="22"/>
        </w:rPr>
        <w:t>甲方应当在本协议生效之日起【】个工作日内支付协议总金额的【】%即RMB【】元（大写：【】元），其中，不含税金额【】元，税金【】元；</w:t>
      </w:r>
    </w:p>
    <w:p>
      <w:pPr>
        <w:numPr>
          <w:numId w:val="22"/>
        </w:numPr>
        <w:spacing w:before="120" w:after="120" w:line="288" w:lineRule="auto"/>
        <w:ind w:left="0"/>
        <w:jc w:val="left"/>
      </w:pPr>
      <w:r>
        <w:rPr>
          <w:rFonts w:eastAsia="等线" w:ascii="Arial" w:cs="Arial" w:hAnsi="Arial"/>
          <w:sz w:val="22"/>
        </w:rPr>
        <w:t>在收到乙方应于【】年【】月【】日提交的交付物且验收通过后支付协议总金额的【】%，即RMB【】元（大写：【】元），其中，不含税金额【】元，税金【】元。</w:t>
      </w:r>
    </w:p>
    <w:p>
      <w:pPr>
        <w:numPr>
          <w:numId w:val="23"/>
        </w:numPr>
        <w:spacing w:before="120" w:after="120" w:line="288" w:lineRule="auto"/>
        <w:ind w:left="0"/>
        <w:jc w:val="left"/>
      </w:pPr>
      <w:r>
        <w:rPr>
          <w:rFonts w:eastAsia="等线" w:ascii="Arial" w:cs="Arial" w:hAnsi="Arial"/>
          <w:sz w:val="22"/>
        </w:rPr>
        <w:t>在乙方保证期届满之日起【 】个工作日内支付剩余费用即质保金即RMB【】元（大写：【】元），其中，不含税金额【】元，税金【】元。</w:t>
      </w:r>
    </w:p>
    <w:p>
      <w:pPr>
        <w:numPr>
          <w:numId w:val="24"/>
        </w:numPr>
        <w:spacing w:before="120" w:after="120" w:line="288" w:lineRule="auto"/>
        <w:ind w:left="0"/>
        <w:jc w:val="left"/>
      </w:pPr>
      <w:r>
        <w:rPr>
          <w:rFonts w:eastAsia="等线" w:ascii="Arial" w:cs="Arial" w:hAnsi="Arial"/>
          <w:b w:val="true"/>
          <w:sz w:val="22"/>
        </w:rPr>
        <w:t>验收后付款：</w:t>
      </w:r>
    </w:p>
    <w:p>
      <w:pPr>
        <w:numPr>
          <w:numId w:val="25"/>
        </w:numPr>
        <w:spacing w:before="120" w:after="120" w:line="288" w:lineRule="auto"/>
        <w:ind w:left="0"/>
        <w:jc w:val="left"/>
      </w:pPr>
      <w:r>
        <w:rPr>
          <w:rFonts w:eastAsia="等线" w:ascii="Arial" w:cs="Arial" w:hAnsi="Arial"/>
          <w:sz w:val="22"/>
        </w:rPr>
        <w:t>甲方在收到乙方按本合同约定时间提交的【各阶段性成果以及最终成果】并全部验收通过后支付协议总金额的【】%即RMB【】元（大写：【】元），其中，不含税金额【】元，税金【】元；</w:t>
      </w:r>
    </w:p>
    <w:p>
      <w:pPr>
        <w:numPr>
          <w:numId w:val="26"/>
        </w:numPr>
        <w:spacing w:before="120" w:after="120" w:line="288" w:lineRule="auto"/>
        <w:ind w:left="0"/>
        <w:jc w:val="left"/>
      </w:pPr>
      <w:r>
        <w:rPr>
          <w:rFonts w:eastAsia="等线" w:ascii="Arial" w:cs="Arial" w:hAnsi="Arial"/>
          <w:sz w:val="22"/>
        </w:rPr>
        <w:t>在乙方保证期届满之日起【 】个工作日内支付剩余费用即质保金即RMB【】元（大写：【】元），其中，不含税金额【】元，税金【】元。</w:t>
      </w:r>
    </w:p>
    <w:p>
      <w:pPr>
        <w:numPr>
          <w:numId w:val="27"/>
        </w:numPr>
        <w:spacing w:before="120" w:after="120" w:line="288" w:lineRule="auto"/>
        <w:ind w:left="0"/>
        <w:jc w:val="left"/>
      </w:pPr>
      <w:r>
        <w:rPr>
          <w:rFonts w:eastAsia="等线" w:ascii="Arial" w:cs="Arial" w:hAnsi="Arial"/>
          <w:sz w:val="22"/>
        </w:rPr>
        <w:t>如双方在本合同下另行签署《执行确认单》或补充协议的，除非双方特别说明相应费用是由甲方另行支付以外，本协议条约定的费用已包含了乙方制作虚拟人的成本、乙方演员（如有）服务费用、乙方演员在本协议所涉虚拟人中的肖像在全球范围内以任意形式永久使用的费用以及甲方对视频和相应照片的永久使用费等（如有），除此之外就本协议的完全履行甲方无需再向乙方或乙方演员支付其他费用。</w:t>
      </w:r>
    </w:p>
    <w:p>
      <w:pPr>
        <w:numPr>
          <w:numId w:val="28"/>
        </w:numPr>
        <w:spacing w:before="120" w:after="120" w:line="288" w:lineRule="auto"/>
        <w:ind w:left="0"/>
        <w:jc w:val="left"/>
      </w:pPr>
      <w:r>
        <w:rPr>
          <w:rFonts w:eastAsia="等线" w:ascii="Arial" w:cs="Arial" w:hAnsi="Arial"/>
          <w:sz w:val="22"/>
        </w:rPr>
        <w:t>甲方应当以【银行转账】的形式将上述费用支付至乙方指定的以下账号：</w:t>
      </w:r>
    </w:p>
    <w:p>
      <w:pPr>
        <w:spacing w:before="120" w:after="120" w:line="288" w:lineRule="auto"/>
        <w:ind w:left="0" w:firstLine="420"/>
        <w:jc w:val="left"/>
      </w:pPr>
      <w:r>
        <w:rPr>
          <w:rFonts w:eastAsia="等线" w:ascii="Arial" w:cs="Arial" w:hAnsi="Arial"/>
          <w:sz w:val="22"/>
        </w:rPr>
        <w:t>账户名称：</w:t>
      </w:r>
    </w:p>
    <w:p>
      <w:pPr>
        <w:spacing w:before="120" w:after="120" w:line="288" w:lineRule="auto"/>
        <w:ind w:left="0" w:firstLine="420"/>
        <w:jc w:val="left"/>
      </w:pPr>
      <w:r>
        <w:rPr>
          <w:rFonts w:eastAsia="等线" w:ascii="Arial" w:cs="Arial" w:hAnsi="Arial"/>
          <w:sz w:val="22"/>
        </w:rPr>
        <w:t>银行账号：</w:t>
      </w:r>
    </w:p>
    <w:p>
      <w:pPr>
        <w:spacing w:before="120" w:after="120" w:line="288" w:lineRule="auto"/>
        <w:ind w:left="0" w:firstLine="420"/>
        <w:jc w:val="left"/>
      </w:pPr>
      <w:r>
        <w:rPr>
          <w:rFonts w:eastAsia="等线" w:ascii="Arial" w:cs="Arial" w:hAnsi="Arial"/>
          <w:sz w:val="22"/>
        </w:rPr>
        <w:t>开户银行：</w:t>
      </w:r>
    </w:p>
    <w:p>
      <w:pPr>
        <w:spacing w:before="120" w:after="120" w:line="288" w:lineRule="auto"/>
        <w:ind w:left="0" w:firstLine="420"/>
        <w:jc w:val="left"/>
      </w:pPr>
      <w:r>
        <w:rPr>
          <w:rFonts w:eastAsia="等线" w:ascii="Arial" w:cs="Arial" w:hAnsi="Arial"/>
          <w:sz w:val="22"/>
        </w:rPr>
        <w:t>乙方如需变更收款账户需至少提前7个工作日以书面形式通知甲方，否则甲方有权继续向上述账户付款且视为甲方已履行支付义务，如因此导致乙方损失的由乙方自行承担。</w:t>
      </w:r>
    </w:p>
    <w:p>
      <w:pPr>
        <w:numPr>
          <w:numId w:val="29"/>
        </w:numPr>
        <w:spacing w:before="120" w:after="120" w:line="288" w:lineRule="auto"/>
        <w:ind w:left="0"/>
        <w:jc w:val="left"/>
      </w:pPr>
      <w:r>
        <w:rPr>
          <w:rFonts w:eastAsia="等线" w:ascii="Arial" w:cs="Arial" w:hAnsi="Arial"/>
          <w:sz w:val="22"/>
        </w:rPr>
        <w:t>发票</w:t>
      </w:r>
    </w:p>
    <w:p>
      <w:pPr>
        <w:numPr>
          <w:numId w:val="30"/>
        </w:numPr>
        <w:spacing w:before="120" w:after="120" w:line="288" w:lineRule="auto"/>
        <w:ind w:left="453"/>
        <w:jc w:val="left"/>
      </w:pPr>
      <w:r>
        <w:rPr>
          <w:rFonts w:eastAsia="等线" w:ascii="Arial" w:cs="Arial" w:hAnsi="Arial"/>
          <w:sz w:val="22"/>
        </w:rPr>
        <w:t>无论甲方选择哪种结算/付款方式，乙方均应在甲方付款前【15】个工作日提供符合甲方要求且与应付金额等额的合法有效增值税专用发票，如乙方未能及时提供合格发票的，甲方有权延迟付款并不承担任何责任，且乙方不得以此为由拒绝或迟延履行本合同及各订单约定的履行义务。</w:t>
      </w:r>
    </w:p>
    <w:p>
      <w:pPr>
        <w:numPr>
          <w:numId w:val="31"/>
        </w:numPr>
        <w:spacing w:before="120" w:after="120" w:line="288" w:lineRule="auto"/>
        <w:ind w:left="453"/>
        <w:jc w:val="left"/>
      </w:pPr>
      <w:r>
        <w:rPr>
          <w:rFonts w:eastAsia="等线" w:ascii="Arial" w:cs="Arial" w:hAnsi="Arial"/>
          <w:sz w:val="22"/>
        </w:rPr>
        <w:t>甲方开票要求及信息以订单约定为准。</w:t>
      </w:r>
    </w:p>
    <w:p>
      <w:pPr>
        <w:numPr>
          <w:numId w:val="32"/>
        </w:numPr>
        <w:spacing w:before="120" w:after="120" w:line="288" w:lineRule="auto"/>
        <w:ind w:left="453"/>
        <w:jc w:val="left"/>
      </w:pPr>
      <w:r>
        <w:rPr>
          <w:rFonts w:eastAsia="等线" w:ascii="Arial" w:cs="Arial" w:hAnsi="Arial"/>
          <w:sz w:val="22"/>
        </w:rPr>
        <w:t>发票合规：若乙方发票被税务机关、有关部门认定为不合规发票导致甲方因该发票被有关部门调查的，乙方除需要按照相应金额重新给甲方开具相应合规发票外，还应承担因此给甲方造成的罚款、滞纳金及其他所有损失，并支付甲方合同金额30%的违约金。</w:t>
      </w:r>
    </w:p>
    <w:p>
      <w:pPr>
        <w:numPr>
          <w:numId w:val="33"/>
        </w:numPr>
        <w:spacing w:before="120" w:after="120" w:line="288" w:lineRule="auto"/>
        <w:ind w:left="453"/>
        <w:jc w:val="left"/>
      </w:pPr>
      <w:r>
        <w:rPr>
          <w:rFonts w:eastAsia="等线" w:ascii="Arial" w:cs="Arial" w:hAnsi="Arial"/>
          <w:b w:val="true"/>
          <w:sz w:val="22"/>
        </w:rPr>
        <w:t>权利与义务</w:t>
      </w:r>
    </w:p>
    <w:p>
      <w:pPr>
        <w:numPr>
          <w:numId w:val="34"/>
        </w:numPr>
        <w:spacing w:before="120" w:after="120" w:line="288" w:lineRule="auto"/>
        <w:ind w:left="907"/>
        <w:jc w:val="left"/>
      </w:pPr>
      <w:r>
        <w:rPr>
          <w:rFonts w:eastAsia="等线" w:ascii="Arial" w:cs="Arial" w:hAnsi="Arial"/>
          <w:b w:val="true"/>
          <w:sz w:val="22"/>
        </w:rPr>
        <w:t>甲方的权利义务</w:t>
      </w:r>
    </w:p>
    <w:p>
      <w:pPr>
        <w:numPr>
          <w:numId w:val="35"/>
        </w:numPr>
        <w:spacing w:before="120" w:after="120" w:line="288" w:lineRule="auto"/>
        <w:ind w:left="1360"/>
        <w:jc w:val="left"/>
      </w:pPr>
      <w:r>
        <w:rPr>
          <w:rFonts w:eastAsia="等线" w:ascii="Arial" w:cs="Arial" w:hAnsi="Arial"/>
          <w:sz w:val="22"/>
        </w:rPr>
        <w:t>甲方有权在本合同执行过程中随时对乙方的服务、各项阶段性及最终成果进行监督，提出修改建议与意见，乙方在收到甲方修改通知后【2】日内按照甲方意见修改完毕。若乙方拒不修改、修改仍不符合甲方要求【2】次以上或修改将导致协议无法按期履行完毕的，甲方有权要求乙方按照本合同第7.3、7.4条等条款承担相应的违约责任。</w:t>
      </w:r>
    </w:p>
    <w:p>
      <w:pPr>
        <w:numPr>
          <w:numId w:val="36"/>
        </w:numPr>
        <w:spacing w:before="120" w:after="120" w:line="288" w:lineRule="auto"/>
        <w:ind w:left="1360"/>
        <w:jc w:val="left"/>
      </w:pPr>
      <w:r>
        <w:rPr>
          <w:rFonts w:eastAsia="等线" w:ascii="Arial" w:cs="Arial" w:hAnsi="Arial"/>
          <w:sz w:val="22"/>
        </w:rPr>
        <w:t>甲方有权要求乙方按照本合同第1.3条【及附件】中的交付时间交付各阶段成果及最终成果，并对乙方提交的成果按照双方事先书面确认的验收标准进行验收。验收通过后，甲方及甲方客户有权获得并使用各项成果。甲方对乙方提交的服务、产品（包括其设计内容）的审核验收行为，仅为形式审核，不代表免除乙方应保证其服务、交付物无瑕疵的义务，甲方对乙方提供服务的形式或方式确认的不代表甲方对此承担任何责任。</w:t>
      </w:r>
    </w:p>
    <w:p>
      <w:pPr>
        <w:numPr>
          <w:numId w:val="37"/>
        </w:numPr>
        <w:spacing w:before="120" w:after="120" w:line="288" w:lineRule="auto"/>
        <w:ind w:left="1360"/>
        <w:jc w:val="left"/>
      </w:pPr>
      <w:r>
        <w:rPr>
          <w:rFonts w:eastAsia="等线" w:ascii="Arial" w:cs="Arial" w:hAnsi="Arial"/>
          <w:sz w:val="22"/>
        </w:rPr>
        <w:t>甲方应按照本协议约定对乙方提供产品、服务进行必要的人员、场地配合，向乙方提供本次服务必须的资料、信息等。乙方为提供服务而需要甲方进行包括但不限于提供数据、素材、图纸、软件、场地、人员等在内的配合的，应当提前【15】个工作日书面告知甲方，甲方应根据乙方需求及必要性及时提供。甲方若未配合提供，乙方应及时与甲方联系人沟通。</w:t>
      </w:r>
    </w:p>
    <w:p>
      <w:pPr>
        <w:numPr>
          <w:numId w:val="38"/>
        </w:numPr>
        <w:spacing w:before="120" w:after="120" w:line="288" w:lineRule="auto"/>
        <w:ind w:left="1360"/>
        <w:jc w:val="left"/>
      </w:pPr>
      <w:r>
        <w:rPr>
          <w:rFonts w:eastAsia="等线" w:ascii="Arial" w:cs="Arial" w:hAnsi="Arial"/>
          <w:sz w:val="22"/>
        </w:rPr>
        <w:t>甲方应按本协议约定向乙方按时、足额的支付服务费用，乙方接受甲方的付款即视为双方达成变更付款日期的合议。</w:t>
      </w:r>
    </w:p>
    <w:p>
      <w:pPr>
        <w:numPr>
          <w:numId w:val="39"/>
        </w:numPr>
        <w:spacing w:before="120" w:after="120" w:line="288" w:lineRule="auto"/>
        <w:ind w:left="1360"/>
        <w:jc w:val="left"/>
      </w:pPr>
      <w:r>
        <w:rPr>
          <w:rFonts w:eastAsia="等线" w:ascii="Arial" w:cs="Arial" w:hAnsi="Arial"/>
          <w:sz w:val="22"/>
        </w:rPr>
        <w:t xml:space="preserve">甲方有权根据自身的业务需求随时调整、变更、终止本协议项下全部或部分向乙方变更相应所需的服务，包括增加、中止、退订相应服务等，双方根据实际履行情况进行结算。 </w:t>
      </w:r>
    </w:p>
    <w:p>
      <w:pPr>
        <w:numPr>
          <w:numId w:val="40"/>
        </w:numPr>
        <w:spacing w:before="120" w:after="120" w:line="288" w:lineRule="auto"/>
        <w:ind w:left="1360"/>
        <w:jc w:val="left"/>
      </w:pPr>
      <w:r>
        <w:rPr>
          <w:rFonts w:eastAsia="等线" w:ascii="Arial" w:cs="Arial" w:hAnsi="Arial"/>
          <w:sz w:val="22"/>
        </w:rPr>
        <w:t>本合同的签订并不表示一方向对方做任何意义上的排他性承诺，在不影响本合同及已签署执行单（如有）执行的条件下，甲方仍然有权向任何第三方购买相同或类似的服务。</w:t>
      </w:r>
    </w:p>
    <w:p>
      <w:pPr>
        <w:numPr>
          <w:numId w:val="41"/>
        </w:numPr>
        <w:spacing w:before="120" w:after="120" w:line="288" w:lineRule="auto"/>
        <w:ind w:left="1360"/>
        <w:jc w:val="left"/>
      </w:pPr>
      <w:r>
        <w:rPr>
          <w:rFonts w:eastAsia="等线" w:ascii="Arial" w:cs="Arial" w:hAnsi="Arial"/>
          <w:sz w:val="22"/>
        </w:rPr>
        <w:t>甲方有权随时指定、变更本合同及/或相关执行单（如有）的项目负责人/联系人，项目负责人/联系人发生变更的，甲方应通过原项目负责人/原联系人发送变更通知邮件或邮寄/邮件发送盖章版变更通知的形式告知乙方，通知自到达乙方之日起生效。</w:t>
      </w:r>
    </w:p>
    <w:p>
      <w:pPr>
        <w:numPr>
          <w:numId w:val="42"/>
        </w:numPr>
        <w:spacing w:before="120" w:after="120" w:line="288" w:lineRule="auto"/>
        <w:ind w:left="907"/>
        <w:jc w:val="left"/>
      </w:pPr>
      <w:r>
        <w:rPr>
          <w:rFonts w:eastAsia="等线" w:ascii="Arial" w:cs="Arial" w:hAnsi="Arial"/>
          <w:b w:val="true"/>
          <w:sz w:val="22"/>
        </w:rPr>
        <w:t>乙方的权利义务</w:t>
      </w:r>
    </w:p>
    <w:p>
      <w:pPr>
        <w:numPr>
          <w:numId w:val="43"/>
        </w:numPr>
        <w:spacing w:before="120" w:after="120" w:line="288" w:lineRule="auto"/>
        <w:ind w:left="1360"/>
        <w:jc w:val="left"/>
      </w:pPr>
      <w:r>
        <w:rPr>
          <w:rFonts w:eastAsia="等线" w:ascii="Arial" w:cs="Arial" w:hAnsi="Arial"/>
          <w:sz w:val="22"/>
        </w:rPr>
        <w:t>乙方需按本协议规定的条件提供相关产品或设施供甲方使用，并确保相关设备的配置以及条件满足甲方的使用需求，否则甲方有权单方终止协议；若因此给甲方造成损失的，乙方应当承担赔偿责任。</w:t>
      </w:r>
    </w:p>
    <w:p>
      <w:pPr>
        <w:numPr>
          <w:numId w:val="44"/>
        </w:numPr>
        <w:spacing w:before="120" w:after="120" w:line="288" w:lineRule="auto"/>
        <w:ind w:left="1360"/>
        <w:jc w:val="left"/>
      </w:pPr>
      <w:r>
        <w:rPr>
          <w:rFonts w:eastAsia="等线" w:ascii="Arial" w:cs="Arial" w:hAnsi="Arial"/>
          <w:sz w:val="22"/>
        </w:rPr>
        <w:t>乙方承诺并保证签署本合同之前或同时签署并遵守《供应商诚信和公平承诺书》。</w:t>
      </w:r>
    </w:p>
    <w:p>
      <w:pPr>
        <w:numPr>
          <w:numId w:val="45"/>
        </w:numPr>
        <w:spacing w:before="120" w:after="120" w:line="288" w:lineRule="auto"/>
        <w:ind w:left="1360"/>
        <w:jc w:val="left"/>
      </w:pPr>
      <w:r>
        <w:rPr>
          <w:rFonts w:eastAsia="等线" w:ascii="Arial" w:cs="Arial" w:hAnsi="Arial"/>
          <w:sz w:val="22"/>
        </w:rPr>
        <w:t>对甲方提出的要求中不符合法律、法规的内容，乙方有权要求甲方修改，在甲方做出修改前，乙方有权拒绝继续制作。</w:t>
      </w:r>
    </w:p>
    <w:p>
      <w:pPr>
        <w:numPr>
          <w:numId w:val="46"/>
        </w:numPr>
        <w:spacing w:before="120" w:after="120" w:line="288" w:lineRule="auto"/>
        <w:ind w:left="1360"/>
        <w:jc w:val="left"/>
      </w:pPr>
      <w:r>
        <w:rPr>
          <w:rFonts w:eastAsia="等线" w:ascii="Arial" w:cs="Arial" w:hAnsi="Arial"/>
          <w:sz w:val="22"/>
        </w:rPr>
        <w:t>虚拟人制作所需要的演员（除甲方自身提供外）、场地、道具、服装、器材等全部由乙方自行负责并负担相应费用，并由乙方负责包括演员、工作人员等在内的全体人员的人身及财产安全，如因执行本协议发生的任何人身、财产损害，均由乙方自行承担全部责任，如甲方因此遭受任何损失的，乙方还应承担赔偿责任。</w:t>
      </w:r>
    </w:p>
    <w:p>
      <w:pPr>
        <w:numPr>
          <w:numId w:val="47"/>
        </w:numPr>
        <w:spacing w:before="120" w:after="120" w:line="288" w:lineRule="auto"/>
        <w:ind w:left="1360"/>
        <w:jc w:val="left"/>
      </w:pPr>
      <w:r>
        <w:rPr>
          <w:rFonts w:eastAsia="等线" w:ascii="Arial" w:cs="Arial" w:hAnsi="Arial"/>
          <w:sz w:val="22"/>
        </w:rPr>
        <w:t>乙方应按本协议约定及甲方要求的期限与《审核标准》向甲方交付本协议规定的成果文件，并向甲方指定的技术人员免费提供原理和技术上的指导与咨询，使甲方指定人员能正确熟练地使用项目相关技术。乙方应配合甲方完成产品/服务的验收，提供相应的售后服务及质量保证服务。</w:t>
      </w:r>
    </w:p>
    <w:p>
      <w:pPr>
        <w:numPr>
          <w:numId w:val="48"/>
        </w:numPr>
        <w:spacing w:before="120" w:after="120" w:line="288" w:lineRule="auto"/>
        <w:ind w:left="1360"/>
        <w:jc w:val="left"/>
      </w:pPr>
      <w:r>
        <w:rPr>
          <w:rFonts w:eastAsia="等线" w:ascii="Arial" w:cs="Arial" w:hAnsi="Arial"/>
          <w:sz w:val="22"/>
        </w:rPr>
        <w:t>未经甲方事先书面同意，自甲乙双方开始洽商合作之日起，至双方终结合作关系之日后半年内，乙方不得与甲方的客户直接或间接联系或合作。</w:t>
      </w:r>
    </w:p>
    <w:p>
      <w:pPr>
        <w:numPr>
          <w:numId w:val="49"/>
        </w:numPr>
        <w:spacing w:before="120" w:after="120" w:line="288" w:lineRule="auto"/>
        <w:ind w:left="1360"/>
        <w:jc w:val="left"/>
      </w:pPr>
      <w:r>
        <w:rPr>
          <w:rFonts w:eastAsia="等线" w:ascii="Arial" w:cs="Arial" w:hAnsi="Arial"/>
          <w:sz w:val="22"/>
        </w:rPr>
        <w:t>未经甲方事前书面同意，乙方在本协议项下所有权利和义务不可全部或者部分转让给第三方。在甲方书面许可的情况下，乙方使用分包商也并不解除乙方在本协议项下应当履行的义务，乙方应对分包商行为承担连带责任，并且乙方应保证在本协议下承担的义务和责任同样适用于分包商。</w:t>
      </w:r>
    </w:p>
    <w:p>
      <w:pPr>
        <w:numPr>
          <w:numId w:val="50"/>
        </w:numPr>
        <w:spacing w:before="120" w:after="120" w:line="288" w:lineRule="auto"/>
        <w:ind w:left="1360"/>
        <w:jc w:val="left"/>
      </w:pPr>
      <w:r>
        <w:rPr>
          <w:rFonts w:eastAsia="等线" w:ascii="Arial" w:cs="Arial" w:hAnsi="Arial"/>
          <w:sz w:val="22"/>
        </w:rPr>
        <w:t>乙方在改变本协议项下约定的制作环节（含内容、交付时间等），须事先征得甲方的书面同意。</w:t>
      </w:r>
    </w:p>
    <w:p>
      <w:pPr>
        <w:numPr>
          <w:numId w:val="51"/>
        </w:numPr>
        <w:spacing w:before="120" w:after="120" w:line="288" w:lineRule="auto"/>
        <w:ind w:left="1360"/>
        <w:jc w:val="left"/>
      </w:pPr>
      <w:r>
        <w:rPr>
          <w:rFonts w:eastAsia="等线" w:ascii="Arial" w:cs="Arial" w:hAnsi="Arial"/>
          <w:sz w:val="22"/>
        </w:rPr>
        <w:t>乙方应妥善保管甲方向乙方提供的素材（包括但不限于必要的项目规划、活动、产品、技术信息及行业概况等资料），并仅以完成本协议项下服务的目的使用素材。如乙方或乙方员工未经甲方事先书面同意超出提供本协议项下服务之目的使用素材，或向第三方以任何方式泄露素材，甲方有权要求乙方采取一切措施停止违约行为，包括但不限于撤回向第三方提供的素材，并按10000元/件素材承担违约责任并赔偿甲方实际损失（以金额较高者为准）。</w:t>
      </w:r>
    </w:p>
    <w:p>
      <w:pPr>
        <w:numPr>
          <w:numId w:val="52"/>
        </w:numPr>
        <w:spacing w:before="120" w:after="120" w:line="288" w:lineRule="auto"/>
        <w:ind w:left="1360"/>
        <w:jc w:val="left"/>
      </w:pPr>
      <w:r>
        <w:rPr>
          <w:rFonts w:eastAsia="等线" w:ascii="Arial" w:cs="Arial" w:hAnsi="Arial"/>
          <w:sz w:val="22"/>
        </w:rPr>
        <w:t>乙方承诺提供给甲方制作服务及成品不违反现行的法律法规，不侵犯任何第三方的合法权益，不含有任何病毒、木马、恶意代码/软件，也不违反乙方与第三方的保密义务或有关知识产权协议。且乙方拥有提供该服务及成品所需生产资料的完整所有权、使用权、知识产权以及其他合法权益，保证乙方服务的合法性，甲方不会因为商业利用本协议服务成果导致侵犯第三方的任何权利。</w:t>
      </w:r>
    </w:p>
    <w:p>
      <w:pPr>
        <w:numPr>
          <w:numId w:val="53"/>
        </w:numPr>
        <w:spacing w:before="120" w:after="120" w:line="288" w:lineRule="auto"/>
        <w:ind w:left="1360"/>
        <w:jc w:val="left"/>
      </w:pPr>
      <w:r>
        <w:rPr>
          <w:rFonts w:eastAsia="等线" w:ascii="Arial" w:cs="Arial" w:hAnsi="Arial"/>
          <w:sz w:val="22"/>
        </w:rPr>
        <w:t>如因本合同的履行导致与第三方之间产生任何投诉、诉讼、行政调查或其他纠纷的：</w:t>
      </w:r>
    </w:p>
    <w:p>
      <w:pPr>
        <w:numPr>
          <w:numId w:val="54"/>
        </w:numPr>
        <w:spacing w:before="120" w:after="120" w:line="288" w:lineRule="auto"/>
        <w:ind w:left="1814"/>
        <w:jc w:val="left"/>
      </w:pPr>
      <w:r>
        <w:rPr>
          <w:rFonts w:eastAsia="等线" w:ascii="Arial" w:cs="Arial" w:hAnsi="Arial"/>
          <w:sz w:val="22"/>
        </w:rPr>
        <w:t>乙方应在得知相关情况后立即将详细情况书面通知甲方，并应积极与第三方沟通，在甲方要求的情况下组织甲方参与到上述纠纷的解决程序中；</w:t>
      </w:r>
    </w:p>
    <w:p>
      <w:pPr>
        <w:numPr>
          <w:numId w:val="55"/>
        </w:numPr>
        <w:spacing w:before="120" w:after="120" w:line="288" w:lineRule="auto"/>
        <w:ind w:left="1814"/>
        <w:jc w:val="left"/>
      </w:pPr>
      <w:r>
        <w:rPr>
          <w:rFonts w:eastAsia="等线" w:ascii="Arial" w:cs="Arial" w:hAnsi="Arial"/>
          <w:sz w:val="22"/>
        </w:rPr>
        <w:t>在前述投诉、诉讼、调查或其他纠纷期间，甲方有权中止合作并在纠纷、调查期结束后决定是否继续合作。因上述情况导致甲方决定中止或终止合作的，不视为甲方违约，甲方无需对此承担任何责任。</w:t>
      </w:r>
    </w:p>
    <w:p>
      <w:pPr>
        <w:numPr>
          <w:numId w:val="56"/>
        </w:numPr>
        <w:spacing w:before="120" w:after="120" w:line="288" w:lineRule="auto"/>
        <w:ind w:left="1814"/>
        <w:jc w:val="left"/>
      </w:pPr>
      <w:r>
        <w:rPr>
          <w:rFonts w:eastAsia="等线" w:ascii="Arial" w:cs="Arial" w:hAnsi="Arial"/>
          <w:sz w:val="22"/>
        </w:rPr>
        <w:t>乙方应立即采取包括起诉、应诉、上诉以及申诉在内的一切措施保护甲方的利益，以便甲方免于承担因乙方所提供的服务或可交付物侵权而引起的对第三方的侵权责任以及行政处罚，但在未取得甲方书面同意的情况下，不得根据自行确定的处理思路参与诉讼、仲裁或谈判，不得就纠纷事项与第三方达成任何和解意见，不得向第三方支付包括但不限于任何违约金、赔偿金、罚金，或对第三方进行其他任何形式的补偿。否则，无论该纠纷事项是否因甲方过错导致，甲方均不对该事项承担任何责任；同时，乙方无权就其向第三方支付的任何费用向甲方进行追偿，且乙方亦无权就因该等纠纷遭受的任何损失要求甲方赔偿。</w:t>
      </w:r>
    </w:p>
    <w:p>
      <w:pPr>
        <w:numPr>
          <w:numId w:val="57"/>
        </w:numPr>
        <w:spacing w:before="120" w:after="120" w:line="288" w:lineRule="auto"/>
        <w:ind w:left="1360"/>
        <w:jc w:val="left"/>
      </w:pPr>
      <w:r>
        <w:rPr>
          <w:rFonts w:eastAsia="等线" w:ascii="Arial" w:cs="Arial" w:hAnsi="Arial"/>
          <w:sz w:val="22"/>
        </w:rPr>
        <w:t>乙方知悉并同意甲方就各项目的验收流程及付款方式，且有权知悉并获得终端客户的相关信息（如有）。如因终端客户未付款或未足额付款，乙方同意无条件免除甲方对应款项的全部付款义务。若客户按比例核减了费用，乙方同意甲方同等比例核减该部分费用并无条件免除甲方对核减部分款项的付款义务。</w:t>
      </w:r>
    </w:p>
    <w:p>
      <w:pPr>
        <w:numPr>
          <w:numId w:val="58"/>
        </w:numPr>
        <w:spacing w:before="120" w:after="120" w:line="288" w:lineRule="auto"/>
        <w:ind w:left="1360"/>
        <w:jc w:val="left"/>
      </w:pPr>
      <w:r>
        <w:rPr>
          <w:rFonts w:eastAsia="等线" w:ascii="Arial" w:cs="Arial" w:hAnsi="Arial"/>
          <w:sz w:val="22"/>
        </w:rPr>
        <w:t>乙方知悉并确认甲方指定联系人仅有权按本合同约定的流程、方式进行下单、验收，且甲方采购部有权对联系人所下执行单或所出具的验收意见提出异议并有权单方解除执行单、出具最终验收意见。甲方指定联系人未按本合同约定方式或其他非甲方指定联系人以任何方式与乙方进行下单或验收的，均不能代表甲方真实的意思表示，即甲方对该种情况下所下执行单或验收成果均不予认可并有权拒绝付款。乙方发现前述情况的，应立刻书面告知甲方，否则，乙方应自负因此遭受的任何损失。</w:t>
      </w:r>
    </w:p>
    <w:p>
      <w:pPr>
        <w:numPr>
          <w:numId w:val="59"/>
        </w:numPr>
        <w:spacing w:before="120" w:after="120" w:line="288" w:lineRule="auto"/>
        <w:ind w:left="453"/>
        <w:jc w:val="left"/>
      </w:pPr>
      <w:r>
        <w:rPr>
          <w:rFonts w:eastAsia="等线" w:ascii="Arial" w:cs="Arial" w:hAnsi="Arial"/>
          <w:b w:val="true"/>
          <w:sz w:val="22"/>
        </w:rPr>
        <w:t>知识产权及保密责任</w:t>
      </w:r>
    </w:p>
    <w:p>
      <w:pPr>
        <w:numPr>
          <w:numId w:val="60"/>
        </w:numPr>
        <w:spacing w:before="120" w:after="120" w:line="288" w:lineRule="auto"/>
        <w:ind w:left="907"/>
        <w:jc w:val="left"/>
      </w:pPr>
      <w:r>
        <w:rPr>
          <w:rFonts w:eastAsia="等线" w:ascii="Arial" w:cs="Arial" w:hAnsi="Arial"/>
          <w:sz w:val="22"/>
        </w:rPr>
        <w:t>本协议中任何条款都不能被解释为一方对另一方明示或默示地授予任何知识产权的许可。双方承诺尊重并保护对方的知识产权，不得在依据本协议或双方另行约定的许可范围之外使用对方知识产权，包括但不限于，对方的任何商号、服务商标、品牌和商标。</w:t>
      </w:r>
    </w:p>
    <w:p>
      <w:pPr>
        <w:numPr>
          <w:numId w:val="61"/>
        </w:numPr>
        <w:spacing w:before="120" w:after="120" w:line="288" w:lineRule="auto"/>
        <w:ind w:left="907"/>
        <w:jc w:val="left"/>
      </w:pPr>
      <w:r>
        <w:rPr>
          <w:rFonts w:eastAsia="等线" w:ascii="Arial" w:cs="Arial" w:hAnsi="Arial"/>
          <w:sz w:val="22"/>
        </w:rPr>
        <w:t>本协议中约定，甲方及甲方客户自有产品、提供的所有文件资料（包括但不限于素材、数据、信息等）经甲方确认包装后植入到乙方提供的虚拟角色中，上述产品、文件资料的所有权完全归甲方及甲方客户所有，乙方不得超出本协议规定范围使用且应保证上述产品、文件资料的安全。乙方在协议存续期及协议结束后不得擅自使用甲方及甲方客户产品及文件资料任何版权内容并应用于任何场合。</w:t>
      </w:r>
    </w:p>
    <w:p>
      <w:pPr>
        <w:numPr>
          <w:numId w:val="62"/>
        </w:numPr>
        <w:spacing w:before="120" w:after="120" w:line="288" w:lineRule="auto"/>
        <w:ind w:left="907"/>
        <w:jc w:val="left"/>
      </w:pPr>
      <w:r>
        <w:rPr>
          <w:rFonts w:eastAsia="等线" w:ascii="Arial" w:cs="Arial" w:hAnsi="Arial"/>
          <w:sz w:val="22"/>
        </w:rPr>
        <w:t>双方对乙方依据本协议所完成的技术服务成果（包括但不限于虚拟人及其相关成果、交易链路、数字资产以及前述内容的底层技术应用，延伸拓展功能，虚拟角色在软件程序架构上修改等）的归属约定如下：本协议所产生的前景知识产权，包括但不限于虚拟人及其衍生出的一切版权、专利权、专利申请权、技术秘密等，归甲方所有，乙方不得私自以自己或第三人名义提出权利申请、注册或备案等。未经甲方事先书面许可，乙方（包括乙方参与项目的工作人员）不得商业利用本协议所涉技术服务成果，也不得将该技术服务成果前景知识产权以任何方式许可、转让或交换给任何第三方（包括乙方单位中与本项目无关的人员）</w:t>
      </w:r>
    </w:p>
    <w:p>
      <w:pPr>
        <w:numPr>
          <w:numId w:val="63"/>
        </w:numPr>
        <w:spacing w:before="120" w:after="120" w:line="288" w:lineRule="auto"/>
        <w:ind w:left="907"/>
        <w:jc w:val="left"/>
      </w:pPr>
      <w:r>
        <w:rPr>
          <w:rFonts w:eastAsia="等线" w:ascii="Arial" w:cs="Arial" w:hAnsi="Arial"/>
          <w:sz w:val="22"/>
        </w:rPr>
        <w:t>在履行本合同过程中如需使用第三方享有相关权益的（包括但不限于文字、文件、字体、图片、资料、视频、材料、肖像、姓名名称等）任何素材、服务、技术的，应当由乙方取得相关知识产权或使用授权以及无需经第三方同意转授权给甲方或甲方客户的权利，以保证甲方或甲方客户有权在全球范围内永久免费且不受限制的使用，相关费用已包含在乙方报价中。如涉及授权的，除非双方另有约定，乙方应取得全球范围内永久免费使用的授权；如涉及授权使用范围及限制的，乙方应事先书面告知甲方相应第三方物料的使用限制。若因乙方提供的服务或交付成果存在瑕疵，或未及时告知甲方相应第三方物料的授权范围或限制，或未实际取得无需经第三方同意的转授权权利，或拒不提供授权文件原件，致使甲方被第三方追偿或被甲方客户扣款的，乙方应承担所有赔偿责任。乙方未经甲方书面许可，不得在本合同约定范围外擅自使用或许可他人使用服务成果。</w:t>
      </w:r>
    </w:p>
    <w:p>
      <w:pPr>
        <w:numPr>
          <w:numId w:val="64"/>
        </w:numPr>
        <w:spacing w:before="120" w:after="120" w:line="288" w:lineRule="auto"/>
        <w:ind w:left="907"/>
        <w:jc w:val="left"/>
      </w:pPr>
      <w:r>
        <w:rPr>
          <w:rFonts w:eastAsia="等线" w:ascii="Arial" w:cs="Arial" w:hAnsi="Arial"/>
          <w:sz w:val="22"/>
        </w:rPr>
        <w:t>乙方向甲方及/或甲方客户提供本合同项下产品、服务、素材等过程中如涉及使用AI工具包括但不限于通过ChatGPT、Deepseek、豆包等生成、修改、润色任何内容的，均应事先书面告知甲方AI工具的具体使用情况（包括但不限于使用范围、方式、所占比例等）并获得甲方书面许可，如乙方未经甲方书面同意擅自在履行合同过程中使用AI工具的，甲方有权要求乙方按照第7条承担违约责任。</w:t>
      </w:r>
    </w:p>
    <w:p>
      <w:pPr>
        <w:numPr>
          <w:numId w:val="65"/>
        </w:numPr>
        <w:spacing w:before="120" w:after="120" w:line="288" w:lineRule="auto"/>
        <w:ind w:left="907"/>
        <w:jc w:val="left"/>
      </w:pPr>
      <w:r>
        <w:rPr>
          <w:rFonts w:eastAsia="等线" w:ascii="Arial" w:cs="Arial" w:hAnsi="Arial"/>
          <w:sz w:val="22"/>
        </w:rPr>
        <w:t>双方即将达成合作意向或已存在的合作关系、甲方或甲方客户向乙方提供的所有材料、本合同的存在以及本合同所涉及的合作内容均视为保密信息。该保密信息并不以甲方或甲方客户事先声明或明示为前提。对甲方或甲方客户的保密信息，乙方保证采取合理措施保护该等保密信息免受公开。除履行双方合作合同并获得甲方书面许可外，乙方不向任何第三方公开上述保密信息，非经甲方及甲方客户事先书面同意，乙方不得将上述保密信息用于本合同以外的目的。如乙方违反本合同的保密规定泄露上述信息的，应赔偿甲方双方本年度签约的全部合同总额10倍的赔偿款。前述赔偿款不足以弥补甲方全部损失的，甲方仍有权追究乙方差额部分的赔偿责任。</w:t>
      </w:r>
    </w:p>
    <w:p>
      <w:pPr>
        <w:numPr>
          <w:numId w:val="66"/>
        </w:numPr>
        <w:spacing w:before="120" w:after="120" w:line="288" w:lineRule="auto"/>
        <w:ind w:left="907"/>
        <w:jc w:val="left"/>
      </w:pPr>
      <w:r>
        <w:rPr>
          <w:rFonts w:eastAsia="等线" w:ascii="Arial" w:cs="Arial" w:hAnsi="Arial"/>
          <w:sz w:val="22"/>
        </w:rPr>
        <w:t>甲方严禁其雇员以使乙方获利为目的向乙方提供任何有关于甲方的商业机密，且乙方不得以利诱、胁迫或其他不正当手段获取甲方的商业秘密。如乙方违反本规定或甲方的雇员被发现有此类行为，甲方将解除与乙方的全部合同或订单，并要求乙方赔偿相当于本年度全部签约订单总额10倍的赔偿款。</w:t>
      </w:r>
    </w:p>
    <w:p>
      <w:pPr>
        <w:numPr>
          <w:numId w:val="67"/>
        </w:numPr>
        <w:spacing w:before="120" w:after="120" w:line="288" w:lineRule="auto"/>
        <w:ind w:left="907"/>
        <w:jc w:val="left"/>
      </w:pPr>
      <w:r>
        <w:rPr>
          <w:rFonts w:eastAsia="等线" w:ascii="Arial" w:cs="Arial" w:hAnsi="Arial"/>
          <w:sz w:val="22"/>
        </w:rPr>
        <w:t>未经甲方事先书面同意，乙方不得擅自向第三方透露有关与甲方及甲方关联公司合作事项及项目内容、以及不得擅自传播有关与甲方及甲方关联公司的合作案例。如经甲方事先书面同意后，乙方需向外传播合作案例、物料等与合作项目有关的内容的，传播内容需经甲方及甲方关联公司的审核。审核通过后，乙方可按照甲方书面授权传播的范围对审核通过的内容进行传播。若乙方违反本条规定擅自透露有关与甲方及甲方关联公司合作事项及项目内容、或者传播的，甲方有权解除协议并不支付任何款项，已支付的乙方应当足额退还。此外，乙方将向甲方承担【100万】元人民币的违约金或本协议总金额一倍的违约金（以较高者为准，但不低于100万元）；如乙方将合作案例、物料等与项目有关的内容提供、泄露给甲方的竞争对手，则违约金支付额应增加至【200万】元人民币或本协议总金额二倍的违约金（以较高者为准，但不低于200万元）。如果前述行为构成刑事犯罪的，乙方应依法承担刑事责任。</w:t>
      </w:r>
    </w:p>
    <w:p>
      <w:pPr>
        <w:numPr>
          <w:numId w:val="68"/>
        </w:numPr>
        <w:spacing w:before="120" w:after="120" w:line="288" w:lineRule="auto"/>
        <w:ind w:left="907"/>
        <w:jc w:val="left"/>
      </w:pPr>
      <w:r>
        <w:rPr>
          <w:rFonts w:eastAsia="等线" w:ascii="Arial" w:cs="Arial" w:hAnsi="Arial"/>
          <w:sz w:val="22"/>
        </w:rPr>
        <w:t>本合同保密义务的期限为【长期】。</w:t>
      </w:r>
    </w:p>
    <w:p>
      <w:pPr>
        <w:numPr>
          <w:numId w:val="69"/>
        </w:numPr>
        <w:spacing w:before="120" w:after="120" w:line="288" w:lineRule="auto"/>
        <w:ind w:left="453"/>
        <w:jc w:val="left"/>
      </w:pPr>
      <w:r>
        <w:rPr>
          <w:rFonts w:eastAsia="等线" w:ascii="Arial" w:cs="Arial" w:hAnsi="Arial"/>
          <w:b w:val="true"/>
          <w:sz w:val="22"/>
        </w:rPr>
        <w:t>违约责任</w:t>
      </w:r>
    </w:p>
    <w:p>
      <w:pPr>
        <w:numPr>
          <w:numId w:val="70"/>
        </w:numPr>
        <w:spacing w:before="120" w:after="120" w:line="288" w:lineRule="auto"/>
        <w:ind w:left="907"/>
        <w:jc w:val="left"/>
      </w:pPr>
      <w:r>
        <w:rPr>
          <w:rFonts w:eastAsia="等线" w:ascii="Arial" w:cs="Arial" w:hAnsi="Arial"/>
          <w:sz w:val="22"/>
        </w:rPr>
        <w:t>甲方应当保证其向乙方提供的资料和文件等信息的合法性、真实性、正确性，委托乙方提供的服务或可交付物不违反国家的强制性规定。甲方提供的资料和文件等信息不符合上述要求导致乙方无法完成约定的，乙方不需为此承担相应的违约责任。</w:t>
      </w:r>
    </w:p>
    <w:p>
      <w:pPr>
        <w:numPr>
          <w:numId w:val="71"/>
        </w:numPr>
        <w:spacing w:before="120" w:after="120" w:line="288" w:lineRule="auto"/>
        <w:ind w:left="907"/>
        <w:jc w:val="left"/>
      </w:pPr>
      <w:r>
        <w:rPr>
          <w:rFonts w:eastAsia="等线" w:ascii="Arial" w:cs="Arial" w:hAnsi="Arial"/>
          <w:sz w:val="22"/>
        </w:rPr>
        <w:t>由于非甲方原因，造成制作内容不符合本合同或执行单（如有）约定（履行迟延除外）的，或乙方在履行本合同过程中因履行本合同而给甲方造成不良影响或者损失的，甲方有权选择如下任意一种方式解决：</w:t>
      </w:r>
    </w:p>
    <w:p>
      <w:pPr>
        <w:numPr>
          <w:numId w:val="72"/>
        </w:numPr>
        <w:spacing w:before="120" w:after="120" w:line="288" w:lineRule="auto"/>
        <w:ind w:left="1360"/>
        <w:jc w:val="left"/>
      </w:pPr>
      <w:r>
        <w:rPr>
          <w:rFonts w:eastAsia="等线" w:ascii="Arial" w:cs="Arial" w:hAnsi="Arial"/>
          <w:sz w:val="22"/>
        </w:rPr>
        <w:t>根据具体情况扣除乙方相关费用；</w:t>
      </w:r>
    </w:p>
    <w:p>
      <w:pPr>
        <w:numPr>
          <w:numId w:val="73"/>
        </w:numPr>
        <w:spacing w:before="120" w:after="120" w:line="288" w:lineRule="auto"/>
        <w:ind w:left="1360"/>
        <w:jc w:val="left"/>
      </w:pPr>
      <w:r>
        <w:rPr>
          <w:rFonts w:eastAsia="等线" w:ascii="Arial" w:cs="Arial" w:hAnsi="Arial"/>
          <w:sz w:val="22"/>
        </w:rPr>
        <w:t>按照乙方提供的符合合同约定的部分进行最终结算，并要求乙方补偿甲方因此遭受的全部直接或间接损失；</w:t>
      </w:r>
    </w:p>
    <w:p>
      <w:pPr>
        <w:numPr>
          <w:numId w:val="74"/>
        </w:numPr>
        <w:spacing w:before="120" w:after="120" w:line="288" w:lineRule="auto"/>
        <w:ind w:left="1360"/>
        <w:jc w:val="left"/>
      </w:pPr>
      <w:r>
        <w:rPr>
          <w:rFonts w:eastAsia="等线" w:ascii="Arial" w:cs="Arial" w:hAnsi="Arial"/>
          <w:sz w:val="22"/>
        </w:rPr>
        <w:t>要求乙方修复、更换、重做不符合合同约定的部分，如该部分不可分，甲方可要求乙方全部退换物品或重新提供全部服务，并要求乙方承担对应执行单（如有）总额30%的违约金以及由于重新履行而给甲方带来的全部损失；</w:t>
      </w:r>
    </w:p>
    <w:p>
      <w:pPr>
        <w:numPr>
          <w:numId w:val="75"/>
        </w:numPr>
        <w:spacing w:before="120" w:after="120" w:line="288" w:lineRule="auto"/>
        <w:ind w:left="1360"/>
        <w:jc w:val="left"/>
      </w:pPr>
      <w:r>
        <w:rPr>
          <w:rFonts w:eastAsia="等线" w:ascii="Arial" w:cs="Arial" w:hAnsi="Arial"/>
          <w:sz w:val="22"/>
        </w:rPr>
        <w:t>若经甲方要求乙方修改三次（含）以上仍无法达到甲方要求的，甲方有权解除本合同，要求乙方退还甲方已付款项并承担本合同项下已发生服务对应结算总额的30%的违约金，同时甲方还有权另行选择其他第三方完成甲方前述服务内容，由此产生的包括但不限于差价损失在内的全部直接和间接损失均由乙方承担。同时，乙方仍应依约向甲方支付相应返点金额（如有）。</w:t>
      </w:r>
    </w:p>
    <w:p>
      <w:pPr>
        <w:numPr>
          <w:numId w:val="76"/>
        </w:numPr>
        <w:spacing w:before="120" w:after="120" w:line="288" w:lineRule="auto"/>
        <w:ind w:left="907"/>
        <w:jc w:val="left"/>
      </w:pPr>
      <w:r>
        <w:rPr>
          <w:rFonts w:eastAsia="等线" w:ascii="Arial" w:cs="Arial" w:hAnsi="Arial"/>
          <w:sz w:val="22"/>
        </w:rPr>
        <w:t>除不可抗力及甲方原因外，乙方不能按照本合同约定如期交付的，应至少提前【15】个工作日书面通知甲方，甲方有权选择不接受变更交付日期，同时解除本合同，乙方应退还全部费用，承担本合同总金额30%的违约金，并赔偿甲方因此造成的全部损失。甲方选择继续履行本合同的，乙方应修改至通过甲方验收为止并自行承担由此产生的成本、损失。</w:t>
      </w:r>
    </w:p>
    <w:p>
      <w:pPr>
        <w:numPr>
          <w:numId w:val="77"/>
        </w:numPr>
        <w:spacing w:before="120" w:after="120" w:line="288" w:lineRule="auto"/>
        <w:ind w:left="907"/>
        <w:jc w:val="left"/>
      </w:pPr>
      <w:r>
        <w:rPr>
          <w:rFonts w:eastAsia="等线" w:ascii="Arial" w:cs="Arial" w:hAnsi="Arial"/>
          <w:sz w:val="22"/>
        </w:rPr>
        <w:t>乙方履行迟延的且未按本合同约定通知甲方的，应按每逾期一日应当按照执行单（如有）总额万分之六点五的标准向甲方支付迟延履行违约金，逾期超过十五日的，甲方有权解除该执行单（如有）或本合同，并要求乙方赔偿全部损失。</w:t>
      </w:r>
    </w:p>
    <w:p>
      <w:pPr>
        <w:numPr>
          <w:numId w:val="78"/>
        </w:numPr>
        <w:spacing w:before="120" w:after="120" w:line="288" w:lineRule="auto"/>
        <w:ind w:left="907"/>
        <w:jc w:val="left"/>
      </w:pPr>
      <w:r>
        <w:rPr>
          <w:rFonts w:eastAsia="等线" w:ascii="Arial" w:cs="Arial" w:hAnsi="Arial"/>
          <w:sz w:val="22"/>
        </w:rPr>
        <w:t>乙方违反本合同第【5.2.6】条的，甲方有权解除本合同且无需支付乙方任何费用，乙方应退还甲方已支付的全部款项（无论本合同是否执行完毕），且应按本合同项下已发生的执行单（如有）总金额的30%向甲方支付违约金，并赔偿甲方损失。甲方的损失额无法计算的，按照以下方式计算：</w:t>
      </w:r>
    </w:p>
    <w:p>
      <w:pPr>
        <w:numPr>
          <w:numId w:val="79"/>
        </w:numPr>
        <w:spacing w:before="120" w:after="120" w:line="288" w:lineRule="auto"/>
        <w:ind w:left="1360"/>
        <w:jc w:val="left"/>
      </w:pPr>
      <w:r>
        <w:rPr>
          <w:rFonts w:eastAsia="等线" w:ascii="Arial" w:cs="Arial" w:hAnsi="Arial"/>
          <w:sz w:val="22"/>
        </w:rPr>
        <w:t>如该客户最终与甲方签约，则乙方应按照该客户与甲方签约的合同总金额的50%向甲方支付赔偿金；</w:t>
      </w:r>
    </w:p>
    <w:p>
      <w:pPr>
        <w:numPr>
          <w:numId w:val="80"/>
        </w:numPr>
        <w:spacing w:before="120" w:after="120" w:line="288" w:lineRule="auto"/>
        <w:ind w:left="1360"/>
        <w:jc w:val="left"/>
      </w:pPr>
      <w:r>
        <w:rPr>
          <w:rFonts w:eastAsia="等线" w:ascii="Arial" w:cs="Arial" w:hAnsi="Arial"/>
          <w:sz w:val="22"/>
        </w:rPr>
        <w:t>如该客户因乙方行为与乙方签约，则乙方应按照该客户与乙方签约的合同总金额的双倍向甲方支付赔偿金；</w:t>
      </w:r>
    </w:p>
    <w:p>
      <w:pPr>
        <w:numPr>
          <w:numId w:val="81"/>
        </w:numPr>
        <w:spacing w:before="120" w:after="120" w:line="288" w:lineRule="auto"/>
        <w:ind w:left="1360"/>
        <w:jc w:val="left"/>
      </w:pPr>
      <w:r>
        <w:rPr>
          <w:rFonts w:eastAsia="等线" w:ascii="Arial" w:cs="Arial" w:hAnsi="Arial"/>
          <w:sz w:val="22"/>
        </w:rPr>
        <w:t>如该客户未与任一方签约，则乙方应按照本合同总金额的双倍向甲方支付赔偿金。</w:t>
      </w:r>
    </w:p>
    <w:p>
      <w:pPr>
        <w:numPr>
          <w:numId w:val="82"/>
        </w:numPr>
        <w:spacing w:before="120" w:after="120" w:line="288" w:lineRule="auto"/>
        <w:ind w:left="907"/>
        <w:jc w:val="left"/>
      </w:pPr>
      <w:r>
        <w:rPr>
          <w:rFonts w:eastAsia="等线" w:ascii="Arial" w:cs="Arial" w:hAnsi="Arial"/>
          <w:sz w:val="22"/>
        </w:rPr>
        <w:t>乙方承诺在合作过程中不对其宣传或经营行为等各项内容作引人误解的虚假宣传或夸大宣传，如产生前述行为导致甲方遭受纠纷、行政处罚以及损失的，乙方须向甲方支付本合同总金额30%的违约金，上述违约金不足以弥补甲方全部损失的，乙方还应继续赔偿。</w:t>
      </w:r>
    </w:p>
    <w:p>
      <w:pPr>
        <w:numPr>
          <w:numId w:val="83"/>
        </w:numPr>
        <w:spacing w:before="120" w:after="120" w:line="288" w:lineRule="auto"/>
        <w:ind w:left="907"/>
        <w:jc w:val="left"/>
      </w:pPr>
      <w:r>
        <w:rPr>
          <w:rFonts w:eastAsia="等线" w:ascii="Arial" w:cs="Arial" w:hAnsi="Arial"/>
          <w:sz w:val="22"/>
        </w:rPr>
        <w:t>未经甲方事先书面同意，乙方不得提前终止本合同及任何执行单（如有），否则应当按照以下约定向甲方承担违约赔偿责任：</w:t>
      </w:r>
    </w:p>
    <w:p>
      <w:pPr>
        <w:numPr>
          <w:numId w:val="84"/>
        </w:numPr>
        <w:spacing w:before="120" w:after="120" w:line="288" w:lineRule="auto"/>
        <w:ind w:left="1360"/>
        <w:jc w:val="left"/>
      </w:pPr>
      <w:r>
        <w:rPr>
          <w:rFonts w:eastAsia="等线" w:ascii="Arial" w:cs="Arial" w:hAnsi="Arial"/>
          <w:sz w:val="22"/>
        </w:rPr>
        <w:t>乙方擅自终止任一执行单（如有）的，应将甲方就该执行单（如有）已支付的费用全部退还给甲方，甲方也有权选择向乙方按阶段支付费用后，获得乙方就该执行单（如有）此阶段之前已完成的全部工作成果。除此以外，乙方还应按照该执行单（如有）总额的30%向甲方支付违约金，并赔偿甲方因此遭受的全部损失；</w:t>
      </w:r>
    </w:p>
    <w:p>
      <w:pPr>
        <w:numPr>
          <w:numId w:val="85"/>
        </w:numPr>
        <w:spacing w:before="120" w:after="120" w:line="288" w:lineRule="auto"/>
        <w:ind w:left="1360"/>
        <w:jc w:val="left"/>
      </w:pPr>
      <w:r>
        <w:rPr>
          <w:rFonts w:eastAsia="等线" w:ascii="Arial" w:cs="Arial" w:hAnsi="Arial"/>
          <w:sz w:val="22"/>
        </w:rPr>
        <w:t>乙方擅自终止本合同的，应将甲方就本合同及各执行单（如有）的执行已向乙方支付但未实际消耗的费用退还给甲方，甲方也有权选择向乙方按阶段支付费用后，获得乙方此阶段之前已完成的全部工作成果。除此以外，乙方还应按照本合同项下已发生执行单（如有）总额的30%向甲方支付违约金，并赔偿甲方因此遭受的全部损失。</w:t>
      </w:r>
    </w:p>
    <w:p>
      <w:pPr>
        <w:numPr>
          <w:numId w:val="86"/>
        </w:numPr>
        <w:spacing w:before="120" w:after="120" w:line="288" w:lineRule="auto"/>
        <w:ind w:left="907"/>
        <w:jc w:val="left"/>
      </w:pPr>
      <w:r>
        <w:rPr>
          <w:rFonts w:eastAsia="等线" w:ascii="Arial" w:cs="Arial" w:hAnsi="Arial"/>
          <w:sz w:val="22"/>
        </w:rPr>
        <w:t>无论何种原因，如乙方或乙方工作人员做出任何有悖于实现本合同目的之行为（包括但不限于乙方出现未在规定时间内回复甲方意见、未提供甲方认可的解决方案、消极执行等已损害或未来可能损害甲方或甲方客户名誉权、商业信誉、商品声誉或其他合法权益的行为，或使甲方或甲方客户发生任何传播危机、舆情危机等有损甲方或甲方客户的行为）甲方有权要求乙方立即停止侵害、消除影响、恢复名誉并应按甲方或甲方客户的要求向甲方或甲方客户赔礼道歉。同时，乙方还需赔偿甲方及甲方客户因此遭受的全部损失，上述损失难以计算的，以不低于本合同所涉总金额的十倍计算。如甲方选择解除合同及/或相关执行单（如有）的，甲方有权不予支付任何费用，已支付的，乙方应在【5】日内一次性退还，逾期退还的，应按应退未退金额的万分之六点五/日支付占用费。</w:t>
      </w:r>
    </w:p>
    <w:p>
      <w:pPr>
        <w:numPr>
          <w:numId w:val="87"/>
        </w:numPr>
        <w:spacing w:before="120" w:after="120" w:line="288" w:lineRule="auto"/>
        <w:ind w:left="907"/>
        <w:jc w:val="left"/>
      </w:pPr>
      <w:r>
        <w:rPr>
          <w:rFonts w:eastAsia="等线" w:ascii="Arial" w:cs="Arial" w:hAnsi="Arial"/>
          <w:sz w:val="22"/>
        </w:rPr>
        <w:t>乙方因违反本合同约定应当向甲方承担的赔偿责任包括但不限于依本合同产生的直接/间接经济损失、预期利益、违约金、赔偿金、诉讼/仲裁费用、保全费、保全保险费、公证费、鉴定费、律师费、差旅费，以及甲方因乙方的违约应向甲方客户承担的包括但不限于前述各项费用在内的全部违约金、赔偿金。其中甲方的直接/间接经济损失及预期利益无法计算的，以不低于本合同总金额的三倍计算。</w:t>
      </w:r>
    </w:p>
    <w:p>
      <w:pPr>
        <w:numPr>
          <w:numId w:val="88"/>
        </w:numPr>
        <w:spacing w:before="120" w:after="120" w:line="288" w:lineRule="auto"/>
        <w:ind w:left="907"/>
        <w:jc w:val="left"/>
      </w:pPr>
      <w:r>
        <w:rPr>
          <w:rFonts w:eastAsia="等线" w:ascii="Arial" w:cs="Arial" w:hAnsi="Arial"/>
          <w:sz w:val="22"/>
        </w:rPr>
        <w:t>因乙方违约行为导致其需向甲方承担赔偿责任，或者因乙方行为导致第三人遭受损害甲方需要代乙方向第三人先行赔偿的，甲方有权直接从其他应付乙方的执行单（如有）款项中直接扣除该赔偿款，全部扣除后仍不足的，乙方还应予以补足。</w:t>
      </w:r>
    </w:p>
    <w:p>
      <w:pPr>
        <w:numPr>
          <w:numId w:val="89"/>
        </w:numPr>
        <w:spacing w:before="120" w:after="120" w:line="288" w:lineRule="auto"/>
        <w:ind w:left="907"/>
        <w:jc w:val="left"/>
      </w:pPr>
      <w:r>
        <w:rPr>
          <w:rFonts w:eastAsia="等线" w:ascii="Arial" w:cs="Arial" w:hAnsi="Arial"/>
          <w:sz w:val="22"/>
        </w:rPr>
        <w:t>乙方未经甲方书面同意将本合同及执行单（如有）项下权利义务或应提供的服务服务转包、分包给任何第三方的，甲方有权解除本合同及执行单（如有）并要求乙方承担本合同总金额30%的违约金，如因此导致甲方客户要求甲方承担赔偿责任的，乙方及分包商还应赔偿甲方全部相关损失。</w:t>
      </w:r>
    </w:p>
    <w:p>
      <w:pPr>
        <w:numPr>
          <w:numId w:val="90"/>
        </w:numPr>
        <w:spacing w:before="120" w:after="120" w:line="288" w:lineRule="auto"/>
        <w:ind w:left="907"/>
        <w:jc w:val="left"/>
      </w:pPr>
      <w:r>
        <w:rPr>
          <w:rFonts w:eastAsia="等线" w:ascii="Arial" w:cs="Arial" w:hAnsi="Arial"/>
          <w:sz w:val="22"/>
        </w:rPr>
        <w:t>非因甲方原因导致乙方与第三方之间产生任何投诉、诉讼、行政调查或其他纠纷且因此给甲方造成损失的，乙方应当赔偿甲方全部损失（包括但不限于维权成本、处理成本等）并支付甲方合同金额30%的违约金。乙方同意，甲方有权将上述损失和违约金在乙方的应付款项中予以扣除。</w:t>
      </w:r>
    </w:p>
    <w:p>
      <w:pPr>
        <w:numPr>
          <w:numId w:val="91"/>
        </w:numPr>
        <w:spacing w:before="120" w:after="120" w:line="288" w:lineRule="auto"/>
        <w:ind w:left="907"/>
        <w:jc w:val="left"/>
      </w:pPr>
      <w:r>
        <w:rPr>
          <w:rFonts w:eastAsia="等线" w:ascii="Arial" w:cs="Arial" w:hAnsi="Arial"/>
          <w:sz w:val="22"/>
        </w:rPr>
        <w:t>甲方应及时、足额支付合作费用，若甲方未经乙方书面同意、无合理理由拖延、拒付合作费用而造成乙方损失的，应每日按照应付未付款项的万分之一向乙方支付违约金，最高不超过合同欠付金额的10%。</w:t>
      </w:r>
    </w:p>
    <w:p>
      <w:pPr>
        <w:numPr>
          <w:numId w:val="92"/>
        </w:numPr>
        <w:spacing w:before="120" w:after="120" w:line="288" w:lineRule="auto"/>
        <w:ind w:left="0"/>
        <w:jc w:val="left"/>
      </w:pPr>
      <w:r>
        <w:rPr>
          <w:rFonts w:eastAsia="等线" w:ascii="Arial" w:cs="Arial" w:hAnsi="Arial"/>
          <w:b w:val="true"/>
          <w:sz w:val="22"/>
        </w:rPr>
        <w:t>审计</w:t>
      </w:r>
    </w:p>
    <w:p>
      <w:pPr>
        <w:numPr>
          <w:numId w:val="93"/>
        </w:numPr>
        <w:spacing w:before="120" w:after="120" w:line="288" w:lineRule="auto"/>
        <w:ind w:left="453"/>
        <w:jc w:val="left"/>
      </w:pPr>
      <w:r>
        <w:rPr>
          <w:rFonts w:eastAsia="等线" w:ascii="Arial" w:cs="Arial" w:hAnsi="Arial"/>
          <w:sz w:val="22"/>
        </w:rPr>
        <w:t>本合同履行期间以及本合同终止后的【5】年内，甲方或甲方授权的人员有权不定期地对乙方或乙方履行本合同的实际情况进行独立审计或调查和监督，以确认乙方对本合同及相关法规的遵守情况，但甲方应当在审计或调查开始之前将相关情况书面通知乙方。乙方应当积极配合甲方或甲方委托的第三方的审计或调查要求（包括但不限于进入乙方场所查阅、复制和使用经甲方合理判断认定为与本合同履行相关的全部账簿、记录等文件和材料例如合同项目实施现场服务的时间、具体人员名单、服务内容及交付的项目成果或设计成果等；乙方联系人、技术人员的技能证明及服务质量评核文件、费用明细清单、供应商开具的税务机关认可的税务发票等相关记录等；与乙方管理层人员和员工进行访谈，要求乙方为甲方免费提供合理适当的工作空间等）。如果在审计或调查中发现乙方存在或有证据证明乙方可能存在违反本合同或相关法律法规的情形，则审计费用或调查费用（包括但不限于人力成本和差旅费用等）应当由乙方承担，同时甲方有权要求乙方承担相应责任并赔偿甲方所遭受的全部损失，上述款项甲方有权直接从应付给乙方的款项中扣除。</w:t>
      </w:r>
    </w:p>
    <w:p>
      <w:pPr>
        <w:numPr>
          <w:numId w:val="94"/>
        </w:numPr>
        <w:spacing w:before="120" w:after="120" w:line="288" w:lineRule="auto"/>
        <w:ind w:left="453"/>
        <w:jc w:val="left"/>
      </w:pPr>
      <w:r>
        <w:rPr>
          <w:rFonts w:eastAsia="等线" w:ascii="Arial" w:cs="Arial" w:hAnsi="Arial"/>
          <w:sz w:val="22"/>
        </w:rPr>
        <w:t>乙方同意配合甲方审计，提供审计所需材料并确保所提供资料和信息的真实、完整、准确。如果审计中发现乙方提供的文件有欠真实、收取价格高于审计出的价格或履行合同有欺诈行为的，甲方有权要求乙方承担责任并做出相应赔偿，包括但不限于退还多收款项、承担全部审计费、赔偿甲方损失等。</w:t>
      </w:r>
    </w:p>
    <w:p>
      <w:pPr>
        <w:numPr>
          <w:numId w:val="95"/>
        </w:numPr>
        <w:spacing w:before="120" w:after="120" w:line="288" w:lineRule="auto"/>
        <w:ind w:left="453"/>
        <w:jc w:val="left"/>
      </w:pPr>
      <w:r>
        <w:rPr>
          <w:rFonts w:eastAsia="等线" w:ascii="Arial" w:cs="Arial" w:hAnsi="Arial"/>
          <w:sz w:val="22"/>
        </w:rPr>
        <w:t>乙方应在本合同终止后【5】年之内保存与本合同履行相关的所有文件、往来函件、数据、账目、报告、记录、收据等材料。</w:t>
      </w:r>
    </w:p>
    <w:p>
      <w:pPr>
        <w:numPr>
          <w:numId w:val="96"/>
        </w:numPr>
        <w:spacing w:before="120" w:after="120" w:line="288" w:lineRule="auto"/>
        <w:ind w:left="453"/>
        <w:jc w:val="left"/>
      </w:pPr>
      <w:r>
        <w:rPr>
          <w:rFonts w:eastAsia="等线" w:ascii="Arial" w:cs="Arial" w:hAnsi="Arial"/>
          <w:b w:val="true"/>
          <w:sz w:val="22"/>
        </w:rPr>
        <w:t>不可抗力</w:t>
      </w:r>
    </w:p>
    <w:p>
      <w:pPr>
        <w:spacing w:before="120" w:after="120" w:line="288" w:lineRule="auto"/>
        <w:ind w:left="0" w:firstLine="420"/>
        <w:jc w:val="left"/>
      </w:pPr>
      <w:r>
        <w:rPr>
          <w:rFonts w:eastAsia="等线" w:ascii="Arial" w:cs="Arial" w:hAnsi="Arial"/>
          <w:sz w:val="22"/>
        </w:rPr>
        <w:t>不可抗力：指合同双方缔结合同时所不能预见、并且它的发生及其后果是不能克服和不能避免的客观情况，包括（1）自然灾害如洪水、冰雹、海啸、台风、旱灾、火灾；（2）政府行为如政府当局颁布的政策、法律、法规和采取新的行为措施导致本合同或执行单（如有）不能履行；（3）社会异常现象如骚乱、战争、罢工但不包括双方内部劳资纠纷，所造成的不能履行或迟延履行本合同。任何一方无须对上述不履行或延迟履行所引起的损失或损害负赔偿责任, 但受影响一方应立即书面通知另一方并提供相关的证明文件。不可抗力持续超过60天任何一方均可要求终止本合同或执行单（如有）。</w:t>
      </w:r>
    </w:p>
    <w:p>
      <w:pPr>
        <w:numPr>
          <w:numId w:val="97"/>
        </w:numPr>
        <w:spacing w:before="120" w:after="120" w:line="288" w:lineRule="auto"/>
        <w:ind w:left="453"/>
        <w:jc w:val="left"/>
      </w:pPr>
      <w:r>
        <w:rPr>
          <w:rFonts w:eastAsia="等线" w:ascii="Arial" w:cs="Arial" w:hAnsi="Arial"/>
          <w:b w:val="true"/>
          <w:sz w:val="22"/>
        </w:rPr>
        <w:t>终止与解除</w:t>
      </w:r>
    </w:p>
    <w:p>
      <w:pPr>
        <w:numPr>
          <w:numId w:val="98"/>
        </w:numPr>
        <w:spacing w:before="120" w:after="120" w:line="288" w:lineRule="auto"/>
        <w:ind w:left="907"/>
        <w:jc w:val="left"/>
      </w:pPr>
      <w:r>
        <w:rPr>
          <w:rFonts w:eastAsia="等线" w:ascii="Arial" w:cs="Arial" w:hAnsi="Arial"/>
          <w:sz w:val="22"/>
        </w:rPr>
        <w:t>除本合同另有关于终止与解除的约定外，甲方还有权随时通知乙方终止本合同及/或各执行单。本合同及/或各执行单自终止通知在甲方以书面形式（包括但不限于电子邮件、传真等方式）向乙方发出时终止。在此情形下甲乙双方按照实际工作量进行结算后，互不承担任何责任，但乙方应当在收到解除通知之日起【5】日内一次性退还甲方已支付但未实际执行部分的服务对应的费用。</w:t>
      </w:r>
    </w:p>
    <w:p>
      <w:pPr>
        <w:numPr>
          <w:numId w:val="99"/>
        </w:numPr>
        <w:spacing w:before="120" w:after="120" w:line="288" w:lineRule="auto"/>
        <w:ind w:left="907"/>
        <w:jc w:val="left"/>
      </w:pPr>
      <w:r>
        <w:rPr>
          <w:rFonts w:eastAsia="等线" w:ascii="Arial" w:cs="Arial" w:hAnsi="Arial"/>
          <w:sz w:val="22"/>
        </w:rPr>
        <w:t>本合同采购的是可分的产品和服务时，提前终止后双方根据甲方实际接受的产品或服务结算；合同采购的是不可分的产品和服务，或产品和服务虽然可分但甲方认为不完全履行无意义时，提前终止后甲方补偿乙方为准备该服务所支出的经甲方认可的合理费用。</w:t>
      </w:r>
    </w:p>
    <w:p>
      <w:pPr>
        <w:numPr>
          <w:numId w:val="100"/>
        </w:numPr>
        <w:spacing w:before="120" w:after="120" w:line="288" w:lineRule="auto"/>
        <w:ind w:left="453"/>
        <w:jc w:val="left"/>
      </w:pPr>
      <w:r>
        <w:rPr>
          <w:rFonts w:eastAsia="等线" w:ascii="Arial" w:cs="Arial" w:hAnsi="Arial"/>
          <w:b w:val="true"/>
          <w:sz w:val="22"/>
        </w:rPr>
        <w:t>通知及送达</w:t>
      </w:r>
    </w:p>
    <w:p>
      <w:pPr>
        <w:numPr>
          <w:numId w:val="101"/>
        </w:numPr>
        <w:spacing w:before="120" w:after="120" w:line="288" w:lineRule="auto"/>
        <w:ind w:left="907"/>
        <w:jc w:val="left"/>
      </w:pPr>
      <w:r>
        <w:rPr>
          <w:rFonts w:eastAsia="等线" w:ascii="Arial" w:cs="Arial" w:hAnsi="Arial"/>
          <w:sz w:val="22"/>
        </w:rPr>
        <w:t>除非双方事先更改或以下联系人通知对方联系人更改，所有通知、函件以及对双方履行过程中的执行细节沟通意见均应发往下列通讯地址：</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320"/>
        <w:gridCol w:w="3960"/>
      </w:tblGrid>
      <w:tr>
        <w:tc>
          <w:tcPr>
            <w:tcW w:w="4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甲方项目负责人姓名： </w:t>
            </w:r>
          </w:p>
        </w:tc>
        <w:tc>
          <w:tcPr>
            <w:tcW w:w="3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乙方联系人姓名：           </w:t>
            </w:r>
          </w:p>
        </w:tc>
      </w:tr>
      <w:tr>
        <w:tc>
          <w:tcPr>
            <w:tcW w:w="4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通信地址： </w:t>
            </w:r>
          </w:p>
        </w:tc>
        <w:tc>
          <w:tcPr>
            <w:tcW w:w="3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通信地址：           </w:t>
            </w:r>
          </w:p>
        </w:tc>
      </w:tr>
      <w:tr>
        <w:tc>
          <w:tcPr>
            <w:tcW w:w="4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电话：</w:t>
            </w:r>
          </w:p>
        </w:tc>
        <w:tc>
          <w:tcPr>
            <w:tcW w:w="3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电话：             </w:t>
            </w:r>
          </w:p>
        </w:tc>
      </w:tr>
      <w:tr>
        <w:tc>
          <w:tcPr>
            <w:tcW w:w="4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电子邮箱：</w:t>
            </w:r>
          </w:p>
        </w:tc>
        <w:tc>
          <w:tcPr>
            <w:tcW w:w="3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电子邮箱： </w:t>
            </w:r>
          </w:p>
        </w:tc>
      </w:tr>
      <w:tr>
        <w:tc>
          <w:tcPr>
            <w:tcW w:w="4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甲方采购部邮箱：</w:t>
            </w:r>
          </w:p>
        </w:tc>
        <w:tc>
          <w:tcPr>
            <w:tcW w:w="3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QQ号：               </w:t>
            </w:r>
          </w:p>
          <w:p>
            <w:pPr>
              <w:spacing w:before="120" w:after="120" w:line="288" w:lineRule="auto"/>
              <w:ind w:left="0"/>
              <w:jc w:val="left"/>
            </w:pPr>
            <w:r>
              <w:rPr>
                <w:rFonts w:eastAsia="等线" w:ascii="Arial" w:cs="Arial" w:hAnsi="Arial"/>
                <w:sz w:val="22"/>
              </w:rPr>
              <w:br/>
            </w:r>
          </w:p>
        </w:tc>
      </w:tr>
      <w:tr>
        <w:tc>
          <w:tcPr>
            <w:tcW w:w="4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e928"/>
              </w:rPr>
              <w:t>甲方日常联系人姓名：</w:t>
            </w:r>
          </w:p>
        </w:tc>
        <w:tc>
          <w:tcPr>
            <w:tcW w:w="3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微信号：</w:t>
            </w:r>
          </w:p>
        </w:tc>
      </w:tr>
      <w:tr>
        <w:tc>
          <w:tcPr>
            <w:tcW w:w="4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e928"/>
              </w:rPr>
              <w:t xml:space="preserve">通信地址： </w:t>
            </w:r>
          </w:p>
        </w:tc>
        <w:tc>
          <w:tcPr>
            <w:tcW w:w="3960" w:type="dxa"/>
            <w:tcMar>
              <w:top w:type="dxa" w:w="60"/>
              <w:left w:type="dxa" w:w="120"/>
              <w:bottom w:type="dxa" w:w="30"/>
              <w:right w:type="dxa" w:w="120"/>
            </w:tcMar>
          </w:tcPr>
          <w:p>
            <w:pPr>
              <w:spacing w:before="120" w:after="120" w:line="288" w:lineRule="auto"/>
              <w:ind w:left="0"/>
              <w:jc w:val="left"/>
            </w:pPr>
          </w:p>
        </w:tc>
      </w:tr>
      <w:tr>
        <w:tc>
          <w:tcPr>
            <w:tcW w:w="4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e928"/>
              </w:rPr>
              <w:t>电子邮箱：</w:t>
            </w:r>
          </w:p>
        </w:tc>
        <w:tc>
          <w:tcPr>
            <w:tcW w:w="396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r>
        <w:rPr>
          <w:rFonts w:eastAsia="等线" w:ascii="Arial" w:cs="Arial" w:hAnsi="Arial"/>
          <w:b w:val="true"/>
          <w:sz w:val="22"/>
        </w:rPr>
        <w:t>注：如有多人应全部填入。</w:t>
      </w:r>
    </w:p>
    <w:p>
      <w:pPr>
        <w:numPr>
          <w:numId w:val="102"/>
        </w:numPr>
        <w:spacing w:before="120" w:after="120" w:line="288" w:lineRule="auto"/>
        <w:ind w:left="0"/>
        <w:jc w:val="left"/>
      </w:pPr>
      <w:r>
        <w:rPr>
          <w:rFonts w:eastAsia="等线" w:ascii="Arial" w:cs="Arial" w:hAnsi="Arial"/>
          <w:sz w:val="22"/>
        </w:rPr>
        <w:t>任一方如需变更联系人的需由该方通过邮寄或电子邮件的形式发送盖章版变更通知的形式告知另一方，通知自到达对方之日起生效。</w:t>
      </w:r>
    </w:p>
    <w:p>
      <w:pPr>
        <w:numPr>
          <w:numId w:val="103"/>
        </w:numPr>
        <w:spacing w:before="120" w:after="120" w:line="288" w:lineRule="auto"/>
        <w:ind w:left="453"/>
        <w:jc w:val="left"/>
      </w:pPr>
      <w:r>
        <w:rPr>
          <w:rFonts w:eastAsia="等线" w:ascii="Arial" w:cs="Arial" w:hAnsi="Arial"/>
          <w:b w:val="true"/>
          <w:sz w:val="22"/>
        </w:rPr>
        <w:t xml:space="preserve"> 争议解决</w:t>
      </w:r>
    </w:p>
    <w:p>
      <w:pPr>
        <w:spacing w:before="120" w:after="120" w:line="288" w:lineRule="auto"/>
        <w:ind w:left="0" w:firstLine="420"/>
        <w:jc w:val="left"/>
      </w:pPr>
      <w:r>
        <w:rPr>
          <w:rFonts w:eastAsia="等线" w:ascii="Arial" w:cs="Arial" w:hAnsi="Arial"/>
          <w:sz w:val="22"/>
        </w:rPr>
        <w:t>当各方就本合同及/或本合同项下执行单（如有）产生争议时，各方应当友好协商解决，如果协商不成，任一方均有权向本合同签订地（北京市朝阳区）有管辖权的人民法院提起诉讼。</w:t>
      </w:r>
    </w:p>
    <w:p>
      <w:pPr>
        <w:numPr>
          <w:numId w:val="104"/>
        </w:numPr>
        <w:spacing w:before="120" w:after="120" w:line="288" w:lineRule="auto"/>
        <w:ind w:left="453"/>
        <w:jc w:val="left"/>
      </w:pPr>
      <w:r>
        <w:rPr>
          <w:rFonts w:eastAsia="等线" w:ascii="Arial" w:cs="Arial" w:hAnsi="Arial"/>
          <w:b w:val="true"/>
          <w:sz w:val="22"/>
        </w:rPr>
        <w:t>其他</w:t>
      </w:r>
    </w:p>
    <w:p>
      <w:pPr>
        <w:numPr>
          <w:numId w:val="105"/>
        </w:numPr>
        <w:spacing w:before="120" w:after="120" w:line="288" w:lineRule="auto"/>
        <w:ind w:left="907"/>
        <w:jc w:val="left"/>
      </w:pPr>
      <w:r>
        <w:rPr>
          <w:rFonts w:eastAsia="等线" w:ascii="Arial" w:cs="Arial" w:hAnsi="Arial"/>
          <w:sz w:val="22"/>
        </w:rPr>
        <w:t>双方承认并同意将本合同文本作为双方合同完整的和唯一的表述，以取代此前双方有关此项目内容的所有口头、书面、及其他通信方式中的表述。</w:t>
      </w:r>
    </w:p>
    <w:p>
      <w:pPr>
        <w:numPr>
          <w:numId w:val="106"/>
        </w:numPr>
        <w:spacing w:before="120" w:after="120" w:line="288" w:lineRule="auto"/>
        <w:ind w:left="907"/>
        <w:jc w:val="left"/>
      </w:pPr>
      <w:r>
        <w:rPr>
          <w:rFonts w:eastAsia="等线" w:ascii="Arial" w:cs="Arial" w:hAnsi="Arial"/>
          <w:sz w:val="22"/>
        </w:rPr>
        <w:t>双方承认并同意本合同系经双方平等协商，各方均明确知悉合同中关系自身利益的条款的含义及后果，并同意自愿承担相应责任。</w:t>
      </w:r>
    </w:p>
    <w:p>
      <w:pPr>
        <w:numPr>
          <w:numId w:val="107"/>
        </w:numPr>
        <w:spacing w:before="120" w:after="120" w:line="288" w:lineRule="auto"/>
        <w:ind w:left="907"/>
        <w:jc w:val="left"/>
      </w:pPr>
      <w:r>
        <w:rPr>
          <w:rFonts w:eastAsia="等线" w:ascii="Arial" w:cs="Arial" w:hAnsi="Arial"/>
          <w:sz w:val="22"/>
        </w:rPr>
        <w:t>本合同附件、补充协议均为本合同不可分割的部分，与本合同具有同等效力，但其内容不得与本合同内容相抵触，除非本合同附件、补充协议明确废止或更改本合同的某一条款，否则，本合同附件、补充协议与本合同条款相冲突的，以本合同的内容为准。</w:t>
      </w:r>
    </w:p>
    <w:p>
      <w:pPr>
        <w:numPr>
          <w:numId w:val="108"/>
        </w:numPr>
        <w:spacing w:before="120" w:after="120" w:line="288" w:lineRule="auto"/>
        <w:ind w:left="907"/>
        <w:jc w:val="left"/>
      </w:pPr>
      <w:r>
        <w:rPr>
          <w:rFonts w:eastAsia="等线" w:ascii="Arial" w:cs="Arial" w:hAnsi="Arial"/>
          <w:sz w:val="22"/>
        </w:rPr>
        <w:t>本合同壹式【贰】份，双方各执【壹】份，具有等同的法律效力。</w:t>
      </w:r>
    </w:p>
    <w:p>
      <w:pPr>
        <w:numPr>
          <w:numId w:val="109"/>
        </w:numPr>
        <w:spacing w:before="120" w:after="120" w:line="288" w:lineRule="auto"/>
        <w:ind w:left="907"/>
        <w:jc w:val="left"/>
      </w:pPr>
      <w:r>
        <w:rPr>
          <w:rFonts w:eastAsia="等线" w:ascii="Arial" w:cs="Arial" w:hAnsi="Arial"/>
          <w:sz w:val="22"/>
        </w:rPr>
        <w:t>本合同自双方加盖公章或合同专用章之日起生效，有效期【一年】，期限届满前30日双方可自行协商续期事宜，达成一致的，双方另行签署续期协议，未达成一致或未协商的，本合同到期自动终止。合同到期时已经下单并执行但尚未完成的采购执行单（如有）仍应继续执行。</w:t>
      </w:r>
    </w:p>
    <w:p>
      <w:pPr>
        <w:numPr>
          <w:numId w:val="110"/>
        </w:numPr>
        <w:spacing w:before="120" w:after="120" w:line="288" w:lineRule="auto"/>
        <w:ind w:left="907"/>
        <w:jc w:val="left"/>
      </w:pPr>
      <w:r>
        <w:rPr>
          <w:rFonts w:eastAsia="等线" w:ascii="Arial" w:cs="Arial" w:hAnsi="Arial"/>
          <w:sz w:val="22"/>
        </w:rPr>
        <w:t>本合同终止、解除或部分无效的不影响本合同保密责任、反商业贿赂、知识产权等条款的效力。</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b w:val="true"/>
          <w:sz w:val="22"/>
        </w:rPr>
        <w:t>（以下无正文，为本合同签署页）</w:t>
      </w:r>
    </w:p>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sz w:val="22"/>
        </w:rPr>
        <w:t>（本页无正文，为双方《虚拟人项目制作协议》签署页）</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甲方（签署）：</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日期：</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乙方（签署）：</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日期：</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附件《审核标准》：</w:t>
      </w:r>
    </w:p>
    <w:p>
      <w:pPr>
        <w:spacing w:before="120" w:after="120" w:line="288" w:lineRule="auto"/>
        <w:ind w:left="0" w:firstLine="0"/>
        <w:jc w:val="left"/>
      </w:pPr>
      <w:r>
        <w:rPr>
          <w:rFonts w:eastAsia="等线" w:ascii="Arial" w:cs="Arial" w:hAnsi="Arial"/>
          <w:b w:val="true"/>
          <w:sz w:val="22"/>
        </w:rPr>
        <w:t>1、虚拟人审核标准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405"/>
        <w:gridCol w:w="4875"/>
      </w:tblGrid>
      <w:tr>
        <w:tc>
          <w:tcPr>
            <w:tcW w:w="34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制作内容</w:t>
            </w:r>
          </w:p>
        </w:tc>
        <w:tc>
          <w:tcPr>
            <w:tcW w:w="48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验收标准</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虚拟代言人创设方案</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以提案方式提交给甲方审核确认为最终验收标准</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人物设计概念图</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以提案方式提交给甲方审核确认为最终验收标准</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人物设计三视图</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以提案方式提交给甲方审核确认为最终验收标准</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服装设计</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以提案方式提交给甲方审核确认为最终验收标准</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根据三视图设计符合标准的虚拟形象的3D素模【面部＋身体】</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模型要与概念图形象一致，模型面数需要三种细分方式（高模（不高于10W）、中模、低模（1W6面以内））</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UV贴图、Maya材质制作【面部+身体】</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贴图需要符号概念图形象的形象妆容，验收标准为提供渲染图给甲方，以甲方确认为最终验收</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Blendshape表情雕刻</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验收标准为苹果官方的52个Arkit表情基准</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人形身体骨骼姿势</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人形骨骼，包含52个骨骼</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服装模型、材质制作</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服装模型要与概念图设计一致，服装材质要有真实的服装细节，最终验收以高清渲染图方式提交给甲方确认为最终验收</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配饰制作</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配饰模型要与概念设计一致，材质要有真实的细节，以高清渲染图方式提交给甲方确认为最终验收</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角色毛发制作</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发型要与概念设计一致，材质要有真实毛发的细节，以高清渲染图方式提交给甲方确认为最终验收</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身体、衣服、表情绑定的权重</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验收标准：引擎工程内人物做任意常见动作不会出现穿模、怪异、服装或者配饰不会出现违返物理现象为准</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Unity引擎资源包（含解算、动力学制作）</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验收标准：指定的Unity工程文件，引擎工程内人物做任意常见动作不会出现穿模、怪异、服装或者配饰不会出现违返物理现象，工程无任何编译错误。</w:t>
            </w:r>
          </w:p>
        </w:tc>
      </w:tr>
    </w:tbl>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2、虚拟空间审核标准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405"/>
        <w:gridCol w:w="4875"/>
      </w:tblGrid>
      <w:tr>
        <w:tc>
          <w:tcPr>
            <w:tcW w:w="34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制作内容</w:t>
            </w:r>
          </w:p>
        </w:tc>
        <w:tc>
          <w:tcPr>
            <w:tcW w:w="48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验收标准</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虚拟空间创设方案</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以提案方式提交给甲方审核确认为最终验收标准</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空间设计概念图</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以提案方式提交给甲方审核确认为最终验收标准</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空间设计三视图</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以提案方式提交给甲方审核确认为最终验收标准</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空间内容预设物/美术素材概念设计</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以提案方式提交给甲方审核确认为最终验收标准</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服务器带宽标准</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带宽【】，最终验收标准以甲方确认为最终验收</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空间内容素材制作</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空间内容模型要与概念设计一致，材质要有真实的细节，以高清渲染图方式提交给甲方确认为最终验收</w:t>
            </w:r>
          </w:p>
        </w:tc>
      </w:tr>
      <w:tr>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Unity引擎资源包（含解算、动力学制作）</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验收标准：指定的Unity工程文件，引擎工程内空间及其内容物不会出现违反物理现象，工程无任何编译错误。</w:t>
            </w:r>
          </w:p>
        </w:tc>
      </w:tr>
    </w:tbl>
    <w:p>
      <w:pPr>
        <w:pStyle w:val="2"/>
        <w:spacing w:before="320" w:after="120" w:line="288" w:lineRule="auto"/>
        <w:ind w:left="0"/>
        <w:jc w:val="left"/>
        <w:outlineLvl w:val="1"/>
      </w:pPr>
      <w:bookmarkStart w:name="heading_0" w:id="0"/>
      <w:bookmarkEnd w:id="0"/>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17820">
    <w:lvl>
      <w:start w:val="1"/>
      <w:numFmt w:val="lowerLetter"/>
      <w:suff w:val="tab"/>
      <w:lvlText w:val="%1."/>
      <w:rPr>
        <w:color w:val="3370ff"/>
      </w:rPr>
    </w:lvl>
  </w:abstractNum>
  <w:abstractNum w:abstractNumId="817821">
    <w:lvl>
      <w:start w:val="1"/>
      <w:numFmt w:val="lowerRoman"/>
      <w:suff w:val="tab"/>
      <w:lvlText w:val="%1."/>
      <w:rPr>
        <w:color w:val="3370ff"/>
      </w:rPr>
    </w:lvl>
  </w:abstractNum>
  <w:abstractNum w:abstractNumId="817822">
    <w:lvl>
      <w:start w:val="2"/>
      <w:numFmt w:val="decimal"/>
      <w:suff w:val="tab"/>
      <w:lvlText w:val="%1."/>
      <w:rPr>
        <w:color w:val="3370ff"/>
      </w:rPr>
    </w:lvl>
  </w:abstractNum>
  <w:abstractNum w:abstractNumId="817823">
    <w:lvl>
      <w:start w:val="3"/>
      <w:numFmt w:val="decimal"/>
      <w:suff w:val="tab"/>
      <w:lvlText w:val="%1."/>
      <w:rPr>
        <w:color w:val="3370ff"/>
      </w:rPr>
    </w:lvl>
  </w:abstractNum>
  <w:abstractNum w:abstractNumId="817824">
    <w:lvl>
      <w:start w:val="4"/>
      <w:numFmt w:val="decimal"/>
      <w:suff w:val="tab"/>
      <w:lvlText w:val="%1."/>
      <w:rPr>
        <w:color w:val="3370ff"/>
      </w:rPr>
    </w:lvl>
  </w:abstractNum>
  <w:abstractNum w:abstractNumId="817825">
    <w:lvl>
      <w:start w:val="2"/>
      <w:numFmt w:val="lowerLetter"/>
      <w:suff w:val="tab"/>
      <w:lvlText w:val="%1."/>
      <w:rPr>
        <w:color w:val="3370ff"/>
      </w:rPr>
    </w:lvl>
  </w:abstractNum>
  <w:abstractNum w:abstractNumId="817826">
    <w:lvl>
      <w:start w:val="1"/>
      <w:numFmt w:val="lowerRoman"/>
      <w:suff w:val="tab"/>
      <w:lvlText w:val="%1."/>
      <w:rPr>
        <w:color w:val="3370ff"/>
      </w:rPr>
    </w:lvl>
  </w:abstractNum>
  <w:abstractNum w:abstractNumId="817827">
    <w:lvl>
      <w:start w:val="2"/>
      <w:numFmt w:val="lowerRoman"/>
      <w:suff w:val="tab"/>
      <w:lvlText w:val="%1."/>
      <w:rPr>
        <w:color w:val="3370ff"/>
      </w:rPr>
    </w:lvl>
  </w:abstractNum>
  <w:abstractNum w:abstractNumId="817828">
    <w:lvl>
      <w:start w:val="3"/>
      <w:numFmt w:val="lowerRoman"/>
      <w:suff w:val="tab"/>
      <w:lvlText w:val="%1."/>
      <w:rPr>
        <w:color w:val="3370ff"/>
      </w:rPr>
    </w:lvl>
  </w:abstractNum>
  <w:abstractNum w:abstractNumId="817829">
    <w:lvl>
      <w:start w:val="4"/>
      <w:numFmt w:val="lowerRoman"/>
      <w:suff w:val="tab"/>
      <w:lvlText w:val="%1."/>
      <w:rPr>
        <w:color w:val="3370ff"/>
      </w:rPr>
    </w:lvl>
  </w:abstractNum>
  <w:abstractNum w:abstractNumId="817830">
    <w:lvl>
      <w:start w:val="5"/>
      <w:numFmt w:val="lowerRoman"/>
      <w:suff w:val="tab"/>
      <w:lvlText w:val="%1."/>
      <w:rPr>
        <w:color w:val="3370ff"/>
      </w:rPr>
    </w:lvl>
  </w:abstractNum>
  <w:abstractNum w:abstractNumId="817831">
    <w:lvl>
      <w:start w:val="3"/>
      <w:numFmt w:val="lowerLetter"/>
      <w:suff w:val="tab"/>
      <w:lvlText w:val="%1."/>
      <w:rPr>
        <w:color w:val="3370ff"/>
      </w:rPr>
    </w:lvl>
  </w:abstractNum>
  <w:abstractNum w:abstractNumId="817832">
    <w:lvl>
      <w:start w:val="1"/>
      <w:numFmt w:val="lowerRoman"/>
      <w:suff w:val="tab"/>
      <w:lvlText w:val="%1."/>
      <w:rPr>
        <w:color w:val="3370ff"/>
      </w:rPr>
    </w:lvl>
  </w:abstractNum>
  <w:abstractNum w:abstractNumId="817833">
    <w:lvl>
      <w:start w:val="2"/>
      <w:numFmt w:val="lowerRoman"/>
      <w:suff w:val="tab"/>
      <w:lvlText w:val="%1."/>
      <w:rPr>
        <w:color w:val="3370ff"/>
      </w:rPr>
    </w:lvl>
  </w:abstractNum>
  <w:abstractNum w:abstractNumId="817834">
    <w:lvl>
      <w:start w:val="3"/>
      <w:numFmt w:val="lowerRoman"/>
      <w:suff w:val="tab"/>
      <w:lvlText w:val="%1."/>
      <w:rPr>
        <w:color w:val="3370ff"/>
      </w:rPr>
    </w:lvl>
  </w:abstractNum>
  <w:abstractNum w:abstractNumId="817835">
    <w:lvl>
      <w:start w:val="4"/>
      <w:numFmt w:val="lowerRoman"/>
      <w:suff w:val="tab"/>
      <w:lvlText w:val="%1."/>
      <w:rPr>
        <w:color w:val="3370ff"/>
      </w:rPr>
    </w:lvl>
  </w:abstractNum>
  <w:abstractNum w:abstractNumId="817836">
    <w:lvl>
      <w:start w:val="4"/>
      <w:numFmt w:val="lowerLetter"/>
      <w:suff w:val="tab"/>
      <w:lvlText w:val="%1."/>
      <w:rPr>
        <w:color w:val="3370ff"/>
      </w:rPr>
    </w:lvl>
  </w:abstractNum>
  <w:abstractNum w:abstractNumId="817837">
    <w:lvl>
      <w:start w:val="1"/>
      <w:numFmt w:val="lowerRoman"/>
      <w:suff w:val="tab"/>
      <w:lvlText w:val="%1."/>
      <w:rPr>
        <w:color w:val="3370ff"/>
      </w:rPr>
    </w:lvl>
  </w:abstractNum>
  <w:abstractNum w:abstractNumId="817838">
    <w:lvl>
      <w:start w:val="1"/>
      <w:numFmt w:val="decimal"/>
      <w:suff w:val="tab"/>
      <w:lvlText w:val="%1."/>
      <w:rPr>
        <w:color w:val="3370ff"/>
      </w:rPr>
    </w:lvl>
  </w:abstractNum>
  <w:abstractNum w:abstractNumId="817839">
    <w:lvl>
      <w:start w:val="2"/>
      <w:numFmt w:val="decimal"/>
      <w:suff w:val="tab"/>
      <w:lvlText w:val="%1."/>
      <w:rPr>
        <w:color w:val="3370ff"/>
      </w:rPr>
    </w:lvl>
  </w:abstractNum>
  <w:abstractNum w:abstractNumId="817840">
    <w:lvl>
      <w:start w:val="1"/>
      <w:numFmt w:val="decimal"/>
      <w:suff w:val="tab"/>
      <w:lvlText w:val="%1."/>
      <w:rPr>
        <w:color w:val="3370ff"/>
      </w:rPr>
    </w:lvl>
  </w:abstractNum>
  <w:abstractNum w:abstractNumId="817841">
    <w:lvl>
      <w:start w:val="2"/>
      <w:numFmt w:val="decimal"/>
      <w:suff w:val="tab"/>
      <w:lvlText w:val="%1."/>
      <w:rPr>
        <w:color w:val="3370ff"/>
      </w:rPr>
    </w:lvl>
  </w:abstractNum>
  <w:abstractNum w:abstractNumId="817842">
    <w:lvl>
      <w:start w:val="3"/>
      <w:numFmt w:val="decimal"/>
      <w:suff w:val="tab"/>
      <w:lvlText w:val="%1."/>
      <w:rPr>
        <w:color w:val="3370ff"/>
      </w:rPr>
    </w:lvl>
  </w:abstractNum>
  <w:abstractNum w:abstractNumId="817843">
    <w:lvl>
      <w:start w:val="3"/>
      <w:numFmt w:val="decimal"/>
      <w:suff w:val="tab"/>
      <w:lvlText w:val="%1."/>
      <w:rPr>
        <w:color w:val="3370ff"/>
      </w:rPr>
    </w:lvl>
  </w:abstractNum>
  <w:abstractNum w:abstractNumId="817844">
    <w:lvl>
      <w:start w:val="1"/>
      <w:numFmt w:val="decimal"/>
      <w:suff w:val="tab"/>
      <w:lvlText w:val="%1."/>
      <w:rPr>
        <w:color w:val="3370ff"/>
      </w:rPr>
    </w:lvl>
  </w:abstractNum>
  <w:abstractNum w:abstractNumId="817845">
    <w:lvl>
      <w:start w:val="2"/>
      <w:numFmt w:val="decimal"/>
      <w:suff w:val="tab"/>
      <w:lvlText w:val="%1."/>
      <w:rPr>
        <w:color w:val="3370ff"/>
      </w:rPr>
    </w:lvl>
  </w:abstractNum>
  <w:abstractNum w:abstractNumId="817846">
    <w:lvl>
      <w:start w:val="2"/>
      <w:numFmt w:val="decimal"/>
      <w:suff w:val="tab"/>
      <w:lvlText w:val="%1."/>
      <w:rPr>
        <w:color w:val="3370ff"/>
      </w:rPr>
    </w:lvl>
  </w:abstractNum>
  <w:abstractNum w:abstractNumId="817847">
    <w:lvl>
      <w:start w:val="3"/>
      <w:numFmt w:val="decimal"/>
      <w:suff w:val="tab"/>
      <w:lvlText w:val="%1."/>
      <w:rPr>
        <w:color w:val="3370ff"/>
      </w:rPr>
    </w:lvl>
  </w:abstractNum>
  <w:abstractNum w:abstractNumId="817848">
    <w:lvl>
      <w:start w:val="4"/>
      <w:numFmt w:val="decimal"/>
      <w:suff w:val="tab"/>
      <w:lvlText w:val="%1."/>
      <w:rPr>
        <w:color w:val="3370ff"/>
      </w:rPr>
    </w:lvl>
  </w:abstractNum>
  <w:abstractNum w:abstractNumId="817849">
    <w:lvl>
      <w:start w:val="1"/>
      <w:numFmt w:val="lowerLetter"/>
      <w:suff w:val="tab"/>
      <w:lvlText w:val="%1."/>
      <w:rPr>
        <w:color w:val="3370ff"/>
      </w:rPr>
    </w:lvl>
  </w:abstractNum>
  <w:abstractNum w:abstractNumId="817850">
    <w:lvl>
      <w:start w:val="2"/>
      <w:numFmt w:val="lowerLetter"/>
      <w:suff w:val="tab"/>
      <w:lvlText w:val="%1."/>
      <w:rPr>
        <w:color w:val="3370ff"/>
      </w:rPr>
    </w:lvl>
  </w:abstractNum>
  <w:abstractNum w:abstractNumId="817851">
    <w:lvl>
      <w:start w:val="3"/>
      <w:numFmt w:val="lowerLetter"/>
      <w:suff w:val="tab"/>
      <w:lvlText w:val="%1."/>
      <w:rPr>
        <w:color w:val="3370ff"/>
      </w:rPr>
    </w:lvl>
  </w:abstractNum>
  <w:abstractNum w:abstractNumId="817852">
    <w:lvl>
      <w:start w:val="5"/>
      <w:numFmt w:val="lowerLetter"/>
      <w:suff w:val="tab"/>
      <w:lvlText w:val="%1."/>
      <w:rPr>
        <w:color w:val="3370ff"/>
      </w:rPr>
    </w:lvl>
  </w:abstractNum>
  <w:abstractNum w:abstractNumId="817853">
    <w:lvl>
      <w:start w:val="1"/>
      <w:numFmt w:val="lowerRoman"/>
      <w:suff w:val="tab"/>
      <w:lvlText w:val="%1."/>
      <w:rPr>
        <w:color w:val="3370ff"/>
      </w:rPr>
    </w:lvl>
  </w:abstractNum>
  <w:abstractNum w:abstractNumId="817854">
    <w:lvl>
      <w:start w:val="1"/>
      <w:numFmt w:val="decimal"/>
      <w:suff w:val="tab"/>
      <w:lvlText w:val="%1."/>
      <w:rPr>
        <w:color w:val="3370ff"/>
      </w:rPr>
    </w:lvl>
  </w:abstractNum>
  <w:abstractNum w:abstractNumId="817855">
    <w:lvl>
      <w:start w:val="2"/>
      <w:numFmt w:val="decimal"/>
      <w:suff w:val="tab"/>
      <w:lvlText w:val="%1."/>
      <w:rPr>
        <w:color w:val="3370ff"/>
      </w:rPr>
    </w:lvl>
  </w:abstractNum>
  <w:abstractNum w:abstractNumId="817856">
    <w:lvl>
      <w:start w:val="3"/>
      <w:numFmt w:val="decimal"/>
      <w:suff w:val="tab"/>
      <w:lvlText w:val="%1."/>
      <w:rPr>
        <w:color w:val="3370ff"/>
      </w:rPr>
    </w:lvl>
  </w:abstractNum>
  <w:abstractNum w:abstractNumId="817857">
    <w:lvl>
      <w:start w:val="4"/>
      <w:numFmt w:val="decimal"/>
      <w:suff w:val="tab"/>
      <w:lvlText w:val="%1."/>
      <w:rPr>
        <w:color w:val="3370ff"/>
      </w:rPr>
    </w:lvl>
  </w:abstractNum>
  <w:abstractNum w:abstractNumId="817858">
    <w:lvl>
      <w:start w:val="5"/>
      <w:numFmt w:val="decimal"/>
      <w:suff w:val="tab"/>
      <w:lvlText w:val="%1."/>
      <w:rPr>
        <w:color w:val="3370ff"/>
      </w:rPr>
    </w:lvl>
  </w:abstractNum>
  <w:abstractNum w:abstractNumId="817859">
    <w:lvl>
      <w:start w:val="6"/>
      <w:numFmt w:val="decimal"/>
      <w:suff w:val="tab"/>
      <w:lvlText w:val="%1."/>
      <w:rPr>
        <w:color w:val="3370ff"/>
      </w:rPr>
    </w:lvl>
  </w:abstractNum>
  <w:abstractNum w:abstractNumId="817860">
    <w:lvl>
      <w:start w:val="7"/>
      <w:numFmt w:val="decimal"/>
      <w:suff w:val="tab"/>
      <w:lvlText w:val="%1."/>
      <w:rPr>
        <w:color w:val="3370ff"/>
      </w:rPr>
    </w:lvl>
  </w:abstractNum>
  <w:abstractNum w:abstractNumId="817861">
    <w:lvl>
      <w:start w:val="2"/>
      <w:numFmt w:val="lowerRoman"/>
      <w:suff w:val="tab"/>
      <w:lvlText w:val="%1."/>
      <w:rPr>
        <w:color w:val="3370ff"/>
      </w:rPr>
    </w:lvl>
  </w:abstractNum>
  <w:abstractNum w:abstractNumId="817862">
    <w:lvl>
      <w:start w:val="1"/>
      <w:numFmt w:val="decimal"/>
      <w:suff w:val="tab"/>
      <w:lvlText w:val="%1."/>
      <w:rPr>
        <w:color w:val="3370ff"/>
      </w:rPr>
    </w:lvl>
  </w:abstractNum>
  <w:abstractNum w:abstractNumId="817863">
    <w:lvl>
      <w:start w:val="2"/>
      <w:numFmt w:val="decimal"/>
      <w:suff w:val="tab"/>
      <w:lvlText w:val="%1."/>
      <w:rPr>
        <w:color w:val="3370ff"/>
      </w:rPr>
    </w:lvl>
  </w:abstractNum>
  <w:abstractNum w:abstractNumId="817864">
    <w:lvl>
      <w:start w:val="3"/>
      <w:numFmt w:val="decimal"/>
      <w:suff w:val="tab"/>
      <w:lvlText w:val="%1."/>
      <w:rPr>
        <w:color w:val="3370ff"/>
      </w:rPr>
    </w:lvl>
  </w:abstractNum>
  <w:abstractNum w:abstractNumId="817865">
    <w:lvl>
      <w:start w:val="4"/>
      <w:numFmt w:val="decimal"/>
      <w:suff w:val="tab"/>
      <w:lvlText w:val="%1."/>
      <w:rPr>
        <w:color w:val="3370ff"/>
      </w:rPr>
    </w:lvl>
  </w:abstractNum>
  <w:abstractNum w:abstractNumId="817866">
    <w:lvl>
      <w:start w:val="5"/>
      <w:numFmt w:val="decimal"/>
      <w:suff w:val="tab"/>
      <w:lvlText w:val="%1."/>
      <w:rPr>
        <w:color w:val="3370ff"/>
      </w:rPr>
    </w:lvl>
  </w:abstractNum>
  <w:abstractNum w:abstractNumId="817867">
    <w:lvl>
      <w:start w:val="6"/>
      <w:numFmt w:val="decimal"/>
      <w:suff w:val="tab"/>
      <w:lvlText w:val="%1."/>
      <w:rPr>
        <w:color w:val="3370ff"/>
      </w:rPr>
    </w:lvl>
  </w:abstractNum>
  <w:abstractNum w:abstractNumId="817868">
    <w:lvl>
      <w:start w:val="7"/>
      <w:numFmt w:val="decimal"/>
      <w:suff w:val="tab"/>
      <w:lvlText w:val="%1."/>
      <w:rPr>
        <w:color w:val="3370ff"/>
      </w:rPr>
    </w:lvl>
  </w:abstractNum>
  <w:abstractNum w:abstractNumId="817869">
    <w:lvl>
      <w:start w:val="8"/>
      <w:numFmt w:val="decimal"/>
      <w:suff w:val="tab"/>
      <w:lvlText w:val="%1."/>
      <w:rPr>
        <w:color w:val="3370ff"/>
      </w:rPr>
    </w:lvl>
  </w:abstractNum>
  <w:abstractNum w:abstractNumId="817870">
    <w:lvl>
      <w:start w:val="9"/>
      <w:numFmt w:val="decimal"/>
      <w:suff w:val="tab"/>
      <w:lvlText w:val="%1."/>
      <w:rPr>
        <w:color w:val="3370ff"/>
      </w:rPr>
    </w:lvl>
  </w:abstractNum>
  <w:abstractNum w:abstractNumId="817871">
    <w:lvl>
      <w:start w:val="10"/>
      <w:numFmt w:val="decimal"/>
      <w:suff w:val="tab"/>
      <w:lvlText w:val="%1."/>
      <w:rPr>
        <w:color w:val="3370ff"/>
      </w:rPr>
    </w:lvl>
  </w:abstractNum>
  <w:abstractNum w:abstractNumId="817872">
    <w:lvl>
      <w:start w:val="11"/>
      <w:numFmt w:val="decimal"/>
      <w:suff w:val="tab"/>
      <w:lvlText w:val="%1."/>
      <w:rPr>
        <w:color w:val="3370ff"/>
      </w:rPr>
    </w:lvl>
  </w:abstractNum>
  <w:abstractNum w:abstractNumId="817873">
    <w:lvl>
      <w:start w:val="1"/>
      <w:numFmt w:val="lowerLetter"/>
      <w:suff w:val="tab"/>
      <w:lvlText w:val="%1."/>
      <w:rPr>
        <w:color w:val="3370ff"/>
      </w:rPr>
    </w:lvl>
  </w:abstractNum>
  <w:abstractNum w:abstractNumId="817874">
    <w:lvl>
      <w:start w:val="2"/>
      <w:numFmt w:val="lowerLetter"/>
      <w:suff w:val="tab"/>
      <w:lvlText w:val="%1."/>
      <w:rPr>
        <w:color w:val="3370ff"/>
      </w:rPr>
    </w:lvl>
  </w:abstractNum>
  <w:abstractNum w:abstractNumId="817875">
    <w:lvl>
      <w:start w:val="3"/>
      <w:numFmt w:val="lowerLetter"/>
      <w:suff w:val="tab"/>
      <w:lvlText w:val="%1."/>
      <w:rPr>
        <w:color w:val="3370ff"/>
      </w:rPr>
    </w:lvl>
  </w:abstractNum>
  <w:abstractNum w:abstractNumId="817876">
    <w:lvl>
      <w:start w:val="12"/>
      <w:numFmt w:val="decimal"/>
      <w:suff w:val="tab"/>
      <w:lvlText w:val="%1."/>
      <w:rPr>
        <w:color w:val="3370ff"/>
      </w:rPr>
    </w:lvl>
  </w:abstractNum>
  <w:abstractNum w:abstractNumId="817877">
    <w:lvl>
      <w:start w:val="13"/>
      <w:numFmt w:val="decimal"/>
      <w:suff w:val="tab"/>
      <w:lvlText w:val="%1."/>
      <w:rPr>
        <w:color w:val="3370ff"/>
      </w:rPr>
    </w:lvl>
  </w:abstractNum>
  <w:abstractNum w:abstractNumId="817878">
    <w:lvl>
      <w:start w:val="6"/>
      <w:numFmt w:val="lowerLetter"/>
      <w:suff w:val="tab"/>
      <w:lvlText w:val="%1."/>
      <w:rPr>
        <w:color w:val="3370ff"/>
      </w:rPr>
    </w:lvl>
  </w:abstractNum>
  <w:abstractNum w:abstractNumId="817879">
    <w:lvl>
      <w:start w:val="1"/>
      <w:numFmt w:val="lowerRoman"/>
      <w:suff w:val="tab"/>
      <w:lvlText w:val="%1."/>
      <w:rPr>
        <w:color w:val="3370ff"/>
      </w:rPr>
    </w:lvl>
  </w:abstractNum>
  <w:abstractNum w:abstractNumId="817880">
    <w:lvl>
      <w:start w:val="2"/>
      <w:numFmt w:val="lowerRoman"/>
      <w:suff w:val="tab"/>
      <w:lvlText w:val="%1."/>
      <w:rPr>
        <w:color w:val="3370ff"/>
      </w:rPr>
    </w:lvl>
  </w:abstractNum>
  <w:abstractNum w:abstractNumId="817881">
    <w:lvl>
      <w:start w:val="3"/>
      <w:numFmt w:val="lowerRoman"/>
      <w:suff w:val="tab"/>
      <w:lvlText w:val="%1."/>
      <w:rPr>
        <w:color w:val="3370ff"/>
      </w:rPr>
    </w:lvl>
  </w:abstractNum>
  <w:abstractNum w:abstractNumId="817882">
    <w:lvl>
      <w:start w:val="4"/>
      <w:numFmt w:val="lowerRoman"/>
      <w:suff w:val="tab"/>
      <w:lvlText w:val="%1."/>
      <w:rPr>
        <w:color w:val="3370ff"/>
      </w:rPr>
    </w:lvl>
  </w:abstractNum>
  <w:abstractNum w:abstractNumId="817883">
    <w:lvl>
      <w:start w:val="5"/>
      <w:numFmt w:val="lowerRoman"/>
      <w:suff w:val="tab"/>
      <w:lvlText w:val="%1."/>
      <w:rPr>
        <w:color w:val="3370ff"/>
      </w:rPr>
    </w:lvl>
  </w:abstractNum>
  <w:abstractNum w:abstractNumId="817884">
    <w:lvl>
      <w:start w:val="6"/>
      <w:numFmt w:val="lowerRoman"/>
      <w:suff w:val="tab"/>
      <w:lvlText w:val="%1."/>
      <w:rPr>
        <w:color w:val="3370ff"/>
      </w:rPr>
    </w:lvl>
  </w:abstractNum>
  <w:abstractNum w:abstractNumId="817885">
    <w:lvl>
      <w:start w:val="7"/>
      <w:numFmt w:val="lowerRoman"/>
      <w:suff w:val="tab"/>
      <w:lvlText w:val="%1."/>
      <w:rPr>
        <w:color w:val="3370ff"/>
      </w:rPr>
    </w:lvl>
  </w:abstractNum>
  <w:abstractNum w:abstractNumId="817886">
    <w:lvl>
      <w:start w:val="8"/>
      <w:numFmt w:val="lowerRoman"/>
      <w:suff w:val="tab"/>
      <w:lvlText w:val="%1."/>
      <w:rPr>
        <w:color w:val="3370ff"/>
      </w:rPr>
    </w:lvl>
  </w:abstractNum>
  <w:abstractNum w:abstractNumId="817887">
    <w:lvl>
      <w:start w:val="9"/>
      <w:numFmt w:val="lowerRoman"/>
      <w:suff w:val="tab"/>
      <w:lvlText w:val="%1."/>
      <w:rPr>
        <w:color w:val="3370ff"/>
      </w:rPr>
    </w:lvl>
  </w:abstractNum>
  <w:abstractNum w:abstractNumId="817888">
    <w:lvl>
      <w:start w:val="7"/>
      <w:numFmt w:val="lowerLetter"/>
      <w:suff w:val="tab"/>
      <w:lvlText w:val="%1."/>
      <w:rPr>
        <w:color w:val="3370ff"/>
      </w:rPr>
    </w:lvl>
  </w:abstractNum>
  <w:abstractNum w:abstractNumId="817889">
    <w:lvl>
      <w:start w:val="1"/>
      <w:numFmt w:val="lowerRoman"/>
      <w:suff w:val="tab"/>
      <w:lvlText w:val="%1."/>
      <w:rPr>
        <w:color w:val="3370ff"/>
      </w:rPr>
    </w:lvl>
  </w:abstractNum>
  <w:abstractNum w:abstractNumId="817890">
    <w:lvl>
      <w:start w:val="2"/>
      <w:numFmt w:val="lowerRoman"/>
      <w:suff w:val="tab"/>
      <w:lvlText w:val="%1."/>
      <w:rPr>
        <w:color w:val="3370ff"/>
      </w:rPr>
    </w:lvl>
  </w:abstractNum>
  <w:abstractNum w:abstractNumId="817891">
    <w:lvl>
      <w:start w:val="1"/>
      <w:numFmt w:val="decimal"/>
      <w:suff w:val="tab"/>
      <w:lvlText w:val="%1."/>
      <w:rPr>
        <w:color w:val="3370ff"/>
      </w:rPr>
    </w:lvl>
  </w:abstractNum>
  <w:abstractNum w:abstractNumId="817892">
    <w:lvl>
      <w:start w:val="2"/>
      <w:numFmt w:val="decimal"/>
      <w:suff w:val="tab"/>
      <w:lvlText w:val="%1."/>
      <w:rPr>
        <w:color w:val="3370ff"/>
      </w:rPr>
    </w:lvl>
  </w:abstractNum>
  <w:abstractNum w:abstractNumId="817893">
    <w:lvl>
      <w:start w:val="3"/>
      <w:numFmt w:val="decimal"/>
      <w:suff w:val="tab"/>
      <w:lvlText w:val="%1."/>
      <w:rPr>
        <w:color w:val="3370ff"/>
      </w:rPr>
    </w:lvl>
  </w:abstractNum>
  <w:abstractNum w:abstractNumId="817894">
    <w:lvl>
      <w:start w:val="4"/>
      <w:numFmt w:val="decimal"/>
      <w:suff w:val="tab"/>
      <w:lvlText w:val="%1."/>
      <w:rPr>
        <w:color w:val="3370ff"/>
      </w:rPr>
    </w:lvl>
  </w:abstractNum>
  <w:abstractNum w:abstractNumId="817895">
    <w:lvl>
      <w:start w:val="3"/>
      <w:numFmt w:val="lowerRoman"/>
      <w:suff w:val="tab"/>
      <w:lvlText w:val="%1."/>
      <w:rPr>
        <w:color w:val="3370ff"/>
      </w:rPr>
    </w:lvl>
  </w:abstractNum>
  <w:abstractNum w:abstractNumId="817896">
    <w:lvl>
      <w:start w:val="4"/>
      <w:numFmt w:val="lowerRoman"/>
      <w:suff w:val="tab"/>
      <w:lvlText w:val="%1."/>
      <w:rPr>
        <w:color w:val="3370ff"/>
      </w:rPr>
    </w:lvl>
  </w:abstractNum>
  <w:abstractNum w:abstractNumId="817897">
    <w:lvl>
      <w:start w:val="5"/>
      <w:numFmt w:val="lowerRoman"/>
      <w:suff w:val="tab"/>
      <w:lvlText w:val="%1."/>
      <w:rPr>
        <w:color w:val="3370ff"/>
      </w:rPr>
    </w:lvl>
  </w:abstractNum>
  <w:abstractNum w:abstractNumId="817898">
    <w:lvl>
      <w:start w:val="1"/>
      <w:numFmt w:val="decimal"/>
      <w:suff w:val="tab"/>
      <w:lvlText w:val="%1."/>
      <w:rPr>
        <w:color w:val="3370ff"/>
      </w:rPr>
    </w:lvl>
  </w:abstractNum>
  <w:abstractNum w:abstractNumId="817899">
    <w:lvl>
      <w:start w:val="2"/>
      <w:numFmt w:val="decimal"/>
      <w:suff w:val="tab"/>
      <w:lvlText w:val="%1."/>
      <w:rPr>
        <w:color w:val="3370ff"/>
      </w:rPr>
    </w:lvl>
  </w:abstractNum>
  <w:abstractNum w:abstractNumId="817900">
    <w:lvl>
      <w:start w:val="3"/>
      <w:numFmt w:val="decimal"/>
      <w:suff w:val="tab"/>
      <w:lvlText w:val="%1."/>
      <w:rPr>
        <w:color w:val="3370ff"/>
      </w:rPr>
    </w:lvl>
  </w:abstractNum>
  <w:abstractNum w:abstractNumId="817901">
    <w:lvl>
      <w:start w:val="6"/>
      <w:numFmt w:val="lowerRoman"/>
      <w:suff w:val="tab"/>
      <w:lvlText w:val="%1."/>
      <w:rPr>
        <w:color w:val="3370ff"/>
      </w:rPr>
    </w:lvl>
  </w:abstractNum>
  <w:abstractNum w:abstractNumId="817902">
    <w:lvl>
      <w:start w:val="7"/>
      <w:numFmt w:val="lowerRoman"/>
      <w:suff w:val="tab"/>
      <w:lvlText w:val="%1."/>
      <w:rPr>
        <w:color w:val="3370ff"/>
      </w:rPr>
    </w:lvl>
  </w:abstractNum>
  <w:abstractNum w:abstractNumId="817903">
    <w:lvl>
      <w:start w:val="1"/>
      <w:numFmt w:val="decimal"/>
      <w:suff w:val="tab"/>
      <w:lvlText w:val="%1."/>
      <w:rPr>
        <w:color w:val="3370ff"/>
      </w:rPr>
    </w:lvl>
  </w:abstractNum>
  <w:abstractNum w:abstractNumId="817904">
    <w:lvl>
      <w:start w:val="2"/>
      <w:numFmt w:val="decimal"/>
      <w:suff w:val="tab"/>
      <w:lvlText w:val="%1."/>
      <w:rPr>
        <w:color w:val="3370ff"/>
      </w:rPr>
    </w:lvl>
  </w:abstractNum>
  <w:abstractNum w:abstractNumId="817905">
    <w:lvl>
      <w:start w:val="8"/>
      <w:numFmt w:val="lowerRoman"/>
      <w:suff w:val="tab"/>
      <w:lvlText w:val="%1."/>
      <w:rPr>
        <w:color w:val="3370ff"/>
      </w:rPr>
    </w:lvl>
  </w:abstractNum>
  <w:abstractNum w:abstractNumId="817906">
    <w:lvl>
      <w:start w:val="9"/>
      <w:numFmt w:val="lowerRoman"/>
      <w:suff w:val="tab"/>
      <w:lvlText w:val="%1."/>
      <w:rPr>
        <w:color w:val="3370ff"/>
      </w:rPr>
    </w:lvl>
  </w:abstractNum>
  <w:abstractNum w:abstractNumId="817907">
    <w:lvl>
      <w:start w:val="10"/>
      <w:numFmt w:val="lowerRoman"/>
      <w:suff w:val="tab"/>
      <w:lvlText w:val="%1."/>
      <w:rPr>
        <w:color w:val="3370ff"/>
      </w:rPr>
    </w:lvl>
  </w:abstractNum>
  <w:abstractNum w:abstractNumId="817908">
    <w:lvl>
      <w:start w:val="11"/>
      <w:numFmt w:val="lowerRoman"/>
      <w:suff w:val="tab"/>
      <w:lvlText w:val="%1."/>
      <w:rPr>
        <w:color w:val="3370ff"/>
      </w:rPr>
    </w:lvl>
  </w:abstractNum>
  <w:abstractNum w:abstractNumId="817909">
    <w:lvl>
      <w:start w:val="12"/>
      <w:numFmt w:val="lowerRoman"/>
      <w:suff w:val="tab"/>
      <w:lvlText w:val="%1."/>
      <w:rPr>
        <w:color w:val="3370ff"/>
      </w:rPr>
    </w:lvl>
  </w:abstractNum>
  <w:abstractNum w:abstractNumId="817910">
    <w:lvl>
      <w:start w:val="13"/>
      <w:numFmt w:val="lowerRoman"/>
      <w:suff w:val="tab"/>
      <w:lvlText w:val="%1."/>
      <w:rPr>
        <w:color w:val="3370ff"/>
      </w:rPr>
    </w:lvl>
  </w:abstractNum>
  <w:abstractNum w:abstractNumId="817911">
    <w:lvl>
      <w:start w:val="8"/>
      <w:numFmt w:val="decimal"/>
      <w:suff w:val="tab"/>
      <w:lvlText w:val="%1."/>
      <w:rPr>
        <w:color w:val="3370ff"/>
      </w:rPr>
    </w:lvl>
  </w:abstractNum>
  <w:abstractNum w:abstractNumId="817912">
    <w:lvl>
      <w:start w:val="1"/>
      <w:numFmt w:val="lowerLetter"/>
      <w:suff w:val="tab"/>
      <w:lvlText w:val="%1."/>
      <w:rPr>
        <w:color w:val="3370ff"/>
      </w:rPr>
    </w:lvl>
  </w:abstractNum>
  <w:abstractNum w:abstractNumId="817913">
    <w:lvl>
      <w:start w:val="2"/>
      <w:numFmt w:val="lowerLetter"/>
      <w:suff w:val="tab"/>
      <w:lvlText w:val="%1."/>
      <w:rPr>
        <w:color w:val="3370ff"/>
      </w:rPr>
    </w:lvl>
  </w:abstractNum>
  <w:abstractNum w:abstractNumId="817914">
    <w:lvl>
      <w:start w:val="3"/>
      <w:numFmt w:val="lowerLetter"/>
      <w:suff w:val="tab"/>
      <w:lvlText w:val="%1."/>
      <w:rPr>
        <w:color w:val="3370ff"/>
      </w:rPr>
    </w:lvl>
  </w:abstractNum>
  <w:abstractNum w:abstractNumId="817915">
    <w:lvl>
      <w:start w:val="9"/>
      <w:numFmt w:val="lowerLetter"/>
      <w:suff w:val="tab"/>
      <w:lvlText w:val="%1."/>
      <w:rPr>
        <w:color w:val="3370ff"/>
      </w:rPr>
    </w:lvl>
  </w:abstractNum>
  <w:abstractNum w:abstractNumId="817916">
    <w:lvl>
      <w:start w:val="10"/>
      <w:numFmt w:val="lowerLetter"/>
      <w:suff w:val="tab"/>
      <w:lvlText w:val="%1."/>
      <w:rPr>
        <w:color w:val="3370ff"/>
      </w:rPr>
    </w:lvl>
  </w:abstractNum>
  <w:abstractNum w:abstractNumId="817917">
    <w:lvl>
      <w:start w:val="1"/>
      <w:numFmt w:val="lowerRoman"/>
      <w:suff w:val="tab"/>
      <w:lvlText w:val="%1."/>
      <w:rPr>
        <w:color w:val="3370ff"/>
      </w:rPr>
    </w:lvl>
  </w:abstractNum>
  <w:abstractNum w:abstractNumId="817918">
    <w:lvl>
      <w:start w:val="2"/>
      <w:numFmt w:val="lowerRoman"/>
      <w:suff w:val="tab"/>
      <w:lvlText w:val="%1."/>
      <w:rPr>
        <w:color w:val="3370ff"/>
      </w:rPr>
    </w:lvl>
  </w:abstractNum>
  <w:abstractNum w:abstractNumId="817919">
    <w:lvl>
      <w:start w:val="11"/>
      <w:numFmt w:val="lowerLetter"/>
      <w:suff w:val="tab"/>
      <w:lvlText w:val="%1."/>
      <w:rPr>
        <w:color w:val="3370ff"/>
      </w:rPr>
    </w:lvl>
  </w:abstractNum>
  <w:abstractNum w:abstractNumId="817920">
    <w:lvl>
      <w:start w:val="1"/>
      <w:numFmt w:val="lowerRoman"/>
      <w:suff w:val="tab"/>
      <w:lvlText w:val="%1."/>
      <w:rPr>
        <w:color w:val="3370ff"/>
      </w:rPr>
    </w:lvl>
  </w:abstractNum>
  <w:abstractNum w:abstractNumId="817921">
    <w:lvl>
      <w:start w:val="2"/>
      <w:numFmt w:val="decimal"/>
      <w:suff w:val="tab"/>
      <w:lvlText w:val="%1."/>
      <w:rPr>
        <w:color w:val="3370ff"/>
      </w:rPr>
    </w:lvl>
  </w:abstractNum>
  <w:abstractNum w:abstractNumId="817922">
    <w:lvl>
      <w:start w:val="12"/>
      <w:numFmt w:val="lowerLetter"/>
      <w:suff w:val="tab"/>
      <w:lvlText w:val="%1."/>
      <w:rPr>
        <w:color w:val="3370ff"/>
      </w:rPr>
    </w:lvl>
  </w:abstractNum>
  <w:abstractNum w:abstractNumId="817923">
    <w:lvl>
      <w:start w:val="13"/>
      <w:numFmt w:val="lowerLetter"/>
      <w:suff w:val="tab"/>
      <w:lvlText w:val="%1."/>
      <w:rPr>
        <w:color w:val="3370ff"/>
      </w:rPr>
    </w:lvl>
  </w:abstractNum>
  <w:abstractNum w:abstractNumId="817924">
    <w:lvl>
      <w:start w:val="1"/>
      <w:numFmt w:val="lowerRoman"/>
      <w:suff w:val="tab"/>
      <w:lvlText w:val="%1."/>
      <w:rPr>
        <w:color w:val="3370ff"/>
      </w:rPr>
    </w:lvl>
  </w:abstractNum>
  <w:abstractNum w:abstractNumId="817925">
    <w:lvl>
      <w:start w:val="2"/>
      <w:numFmt w:val="lowerRoman"/>
      <w:suff w:val="tab"/>
      <w:lvlText w:val="%1."/>
      <w:rPr>
        <w:color w:val="3370ff"/>
      </w:rPr>
    </w:lvl>
  </w:abstractNum>
  <w:abstractNum w:abstractNumId="817926">
    <w:lvl>
      <w:start w:val="3"/>
      <w:numFmt w:val="lowerRoman"/>
      <w:suff w:val="tab"/>
      <w:lvlText w:val="%1."/>
      <w:rPr>
        <w:color w:val="3370ff"/>
      </w:rPr>
    </w:lvl>
  </w:abstractNum>
  <w:abstractNum w:abstractNumId="817927">
    <w:lvl>
      <w:start w:val="4"/>
      <w:numFmt w:val="lowerRoman"/>
      <w:suff w:val="tab"/>
      <w:lvlText w:val="%1."/>
      <w:rPr>
        <w:color w:val="3370ff"/>
      </w:rPr>
    </w:lvl>
  </w:abstractNum>
  <w:abstractNum w:abstractNumId="817928">
    <w:lvl>
      <w:start w:val="5"/>
      <w:numFmt w:val="lowerRoman"/>
      <w:suff w:val="tab"/>
      <w:lvlText w:val="%1."/>
      <w:rPr>
        <w:color w:val="3370ff"/>
      </w:rPr>
    </w:lvl>
  </w:abstractNum>
  <w:abstractNum w:abstractNumId="817929">
    <w:lvl>
      <w:start w:val="6"/>
      <w:numFmt w:val="lowerRoman"/>
      <w:suff w:val="tab"/>
      <w:lvlText w:val="%1."/>
      <w:rPr>
        <w:color w:val="3370ff"/>
      </w:rPr>
    </w:lvl>
  </w:abstractNum>
  <w:num w:numId="1">
    <w:abstractNumId w:val="817820"/>
  </w:num>
  <w:num w:numId="2">
    <w:abstractNumId w:val="817821"/>
  </w:num>
  <w:num w:numId="3">
    <w:abstractNumId w:val="817822"/>
  </w:num>
  <w:num w:numId="4">
    <w:abstractNumId w:val="817823"/>
  </w:num>
  <w:num w:numId="5">
    <w:abstractNumId w:val="817824"/>
  </w:num>
  <w:num w:numId="6">
    <w:abstractNumId w:val="817825"/>
  </w:num>
  <w:num w:numId="7">
    <w:abstractNumId w:val="817826"/>
  </w:num>
  <w:num w:numId="8">
    <w:abstractNumId w:val="817827"/>
  </w:num>
  <w:num w:numId="9">
    <w:abstractNumId w:val="817828"/>
  </w:num>
  <w:num w:numId="10">
    <w:abstractNumId w:val="817829"/>
  </w:num>
  <w:num w:numId="11">
    <w:abstractNumId w:val="817830"/>
  </w:num>
  <w:num w:numId="12">
    <w:abstractNumId w:val="817831"/>
  </w:num>
  <w:num w:numId="13">
    <w:abstractNumId w:val="817832"/>
  </w:num>
  <w:num w:numId="14">
    <w:abstractNumId w:val="817833"/>
  </w:num>
  <w:num w:numId="15">
    <w:abstractNumId w:val="817834"/>
  </w:num>
  <w:num w:numId="16">
    <w:abstractNumId w:val="817835"/>
  </w:num>
  <w:num w:numId="17">
    <w:abstractNumId w:val="817836"/>
  </w:num>
  <w:num w:numId="18">
    <w:abstractNumId w:val="817837"/>
  </w:num>
  <w:num w:numId="19">
    <w:abstractNumId w:val="817838"/>
  </w:num>
  <w:num w:numId="20">
    <w:abstractNumId w:val="817839"/>
  </w:num>
  <w:num w:numId="21">
    <w:abstractNumId w:val="817840"/>
  </w:num>
  <w:num w:numId="22">
    <w:abstractNumId w:val="817841"/>
  </w:num>
  <w:num w:numId="23">
    <w:abstractNumId w:val="817842"/>
  </w:num>
  <w:num w:numId="24">
    <w:abstractNumId w:val="817843"/>
  </w:num>
  <w:num w:numId="25">
    <w:abstractNumId w:val="817844"/>
  </w:num>
  <w:num w:numId="26">
    <w:abstractNumId w:val="817845"/>
  </w:num>
  <w:num w:numId="27">
    <w:abstractNumId w:val="817846"/>
  </w:num>
  <w:num w:numId="28">
    <w:abstractNumId w:val="817847"/>
  </w:num>
  <w:num w:numId="29">
    <w:abstractNumId w:val="817848"/>
  </w:num>
  <w:num w:numId="30">
    <w:abstractNumId w:val="817849"/>
  </w:num>
  <w:num w:numId="31">
    <w:abstractNumId w:val="817850"/>
  </w:num>
  <w:num w:numId="32">
    <w:abstractNumId w:val="817851"/>
  </w:num>
  <w:num w:numId="33">
    <w:abstractNumId w:val="817852"/>
  </w:num>
  <w:num w:numId="34">
    <w:abstractNumId w:val="817853"/>
  </w:num>
  <w:num w:numId="35">
    <w:abstractNumId w:val="817854"/>
  </w:num>
  <w:num w:numId="36">
    <w:abstractNumId w:val="817855"/>
  </w:num>
  <w:num w:numId="37">
    <w:abstractNumId w:val="817856"/>
  </w:num>
  <w:num w:numId="38">
    <w:abstractNumId w:val="817857"/>
  </w:num>
  <w:num w:numId="39">
    <w:abstractNumId w:val="817858"/>
  </w:num>
  <w:num w:numId="40">
    <w:abstractNumId w:val="817859"/>
  </w:num>
  <w:num w:numId="41">
    <w:abstractNumId w:val="817860"/>
  </w:num>
  <w:num w:numId="42">
    <w:abstractNumId w:val="817861"/>
  </w:num>
  <w:num w:numId="43">
    <w:abstractNumId w:val="817862"/>
  </w:num>
  <w:num w:numId="44">
    <w:abstractNumId w:val="817863"/>
  </w:num>
  <w:num w:numId="45">
    <w:abstractNumId w:val="817864"/>
  </w:num>
  <w:num w:numId="46">
    <w:abstractNumId w:val="817865"/>
  </w:num>
  <w:num w:numId="47">
    <w:abstractNumId w:val="817866"/>
  </w:num>
  <w:num w:numId="48">
    <w:abstractNumId w:val="817867"/>
  </w:num>
  <w:num w:numId="49">
    <w:abstractNumId w:val="817868"/>
  </w:num>
  <w:num w:numId="50">
    <w:abstractNumId w:val="817869"/>
  </w:num>
  <w:num w:numId="51">
    <w:abstractNumId w:val="817870"/>
  </w:num>
  <w:num w:numId="52">
    <w:abstractNumId w:val="817871"/>
  </w:num>
  <w:num w:numId="53">
    <w:abstractNumId w:val="817872"/>
  </w:num>
  <w:num w:numId="54">
    <w:abstractNumId w:val="817873"/>
  </w:num>
  <w:num w:numId="55">
    <w:abstractNumId w:val="817874"/>
  </w:num>
  <w:num w:numId="56">
    <w:abstractNumId w:val="817875"/>
  </w:num>
  <w:num w:numId="57">
    <w:abstractNumId w:val="817876"/>
  </w:num>
  <w:num w:numId="58">
    <w:abstractNumId w:val="817877"/>
  </w:num>
  <w:num w:numId="59">
    <w:abstractNumId w:val="817878"/>
  </w:num>
  <w:num w:numId="60">
    <w:abstractNumId w:val="817879"/>
  </w:num>
  <w:num w:numId="61">
    <w:abstractNumId w:val="817880"/>
  </w:num>
  <w:num w:numId="62">
    <w:abstractNumId w:val="817881"/>
  </w:num>
  <w:num w:numId="63">
    <w:abstractNumId w:val="817882"/>
  </w:num>
  <w:num w:numId="64">
    <w:abstractNumId w:val="817883"/>
  </w:num>
  <w:num w:numId="65">
    <w:abstractNumId w:val="817884"/>
  </w:num>
  <w:num w:numId="66">
    <w:abstractNumId w:val="817885"/>
  </w:num>
  <w:num w:numId="67">
    <w:abstractNumId w:val="817886"/>
  </w:num>
  <w:num w:numId="68">
    <w:abstractNumId w:val="817887"/>
  </w:num>
  <w:num w:numId="69">
    <w:abstractNumId w:val="817888"/>
  </w:num>
  <w:num w:numId="70">
    <w:abstractNumId w:val="817889"/>
  </w:num>
  <w:num w:numId="71">
    <w:abstractNumId w:val="817890"/>
  </w:num>
  <w:num w:numId="72">
    <w:abstractNumId w:val="817891"/>
  </w:num>
  <w:num w:numId="73">
    <w:abstractNumId w:val="817892"/>
  </w:num>
  <w:num w:numId="74">
    <w:abstractNumId w:val="817893"/>
  </w:num>
  <w:num w:numId="75">
    <w:abstractNumId w:val="817894"/>
  </w:num>
  <w:num w:numId="76">
    <w:abstractNumId w:val="817895"/>
  </w:num>
  <w:num w:numId="77">
    <w:abstractNumId w:val="817896"/>
  </w:num>
  <w:num w:numId="78">
    <w:abstractNumId w:val="817897"/>
  </w:num>
  <w:num w:numId="79">
    <w:abstractNumId w:val="817898"/>
  </w:num>
  <w:num w:numId="80">
    <w:abstractNumId w:val="817899"/>
  </w:num>
  <w:num w:numId="81">
    <w:abstractNumId w:val="817900"/>
  </w:num>
  <w:num w:numId="82">
    <w:abstractNumId w:val="817901"/>
  </w:num>
  <w:num w:numId="83">
    <w:abstractNumId w:val="817902"/>
  </w:num>
  <w:num w:numId="84">
    <w:abstractNumId w:val="817903"/>
  </w:num>
  <w:num w:numId="85">
    <w:abstractNumId w:val="817904"/>
  </w:num>
  <w:num w:numId="86">
    <w:abstractNumId w:val="817905"/>
  </w:num>
  <w:num w:numId="87">
    <w:abstractNumId w:val="817906"/>
  </w:num>
  <w:num w:numId="88">
    <w:abstractNumId w:val="817907"/>
  </w:num>
  <w:num w:numId="89">
    <w:abstractNumId w:val="817908"/>
  </w:num>
  <w:num w:numId="90">
    <w:abstractNumId w:val="817909"/>
  </w:num>
  <w:num w:numId="91">
    <w:abstractNumId w:val="817910"/>
  </w:num>
  <w:num w:numId="92">
    <w:abstractNumId w:val="817911"/>
  </w:num>
  <w:num w:numId="93">
    <w:abstractNumId w:val="817912"/>
  </w:num>
  <w:num w:numId="94">
    <w:abstractNumId w:val="817913"/>
  </w:num>
  <w:num w:numId="95">
    <w:abstractNumId w:val="817914"/>
  </w:num>
  <w:num w:numId="96">
    <w:abstractNumId w:val="817915"/>
  </w:num>
  <w:num w:numId="97">
    <w:abstractNumId w:val="817916"/>
  </w:num>
  <w:num w:numId="98">
    <w:abstractNumId w:val="817917"/>
  </w:num>
  <w:num w:numId="99">
    <w:abstractNumId w:val="817918"/>
  </w:num>
  <w:num w:numId="100">
    <w:abstractNumId w:val="817919"/>
  </w:num>
  <w:num w:numId="101">
    <w:abstractNumId w:val="817920"/>
  </w:num>
  <w:num w:numId="102">
    <w:abstractNumId w:val="817921"/>
  </w:num>
  <w:num w:numId="103">
    <w:abstractNumId w:val="817922"/>
  </w:num>
  <w:num w:numId="104">
    <w:abstractNumId w:val="817923"/>
  </w:num>
  <w:num w:numId="105">
    <w:abstractNumId w:val="817924"/>
  </w:num>
  <w:num w:numId="106">
    <w:abstractNumId w:val="817925"/>
  </w:num>
  <w:num w:numId="107">
    <w:abstractNumId w:val="817926"/>
  </w:num>
  <w:num w:numId="108">
    <w:abstractNumId w:val="817927"/>
  </w:num>
  <w:num w:numId="109">
    <w:abstractNumId w:val="817928"/>
  </w:num>
  <w:num w:numId="110">
    <w:abstractNumId w:val="81792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2025-12-10T07:39:21Z</dcterms:created>
  <dc:creator>Apache POI</dc:creator>
</cp:coreProperties>
</file>