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KOL-Tomato Creator Agreement Template(OLD_Game)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5"/>
        <w:gridCol w:w="1335"/>
        <w:gridCol w:w="120"/>
        <w:gridCol w:w="810"/>
        <w:gridCol w:w="465"/>
        <w:gridCol w:w="255"/>
        <w:gridCol w:w="180"/>
        <w:gridCol w:w="495"/>
        <w:gridCol w:w="630"/>
        <w:gridCol w:w="3285"/>
      </w:tblGrid>
      <w:tr>
        <w:tc>
          <w:tcPr>
            <w:tcW w:w="49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Talent Sponsorship Agreement</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20" w:type="dxa"/>
            <w:hMerge w:val="continue"/>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465" w:type="dxa"/>
            <w:hMerge w:val="continue"/>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18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parties to this agreement, </w:t>
            </w:r>
            <w:r>
              <w:rPr>
                <w:rFonts w:eastAsia="等线" w:ascii="Arial" w:cs="Arial" w:hAnsi="Arial"/>
                <w:b w:val="true"/>
                <w:sz w:val="22"/>
              </w:rPr>
              <w:t>BlueFocus</w:t>
            </w:r>
            <w:r>
              <w:rPr>
                <w:rFonts w:eastAsia="等线" w:ascii="Arial" w:cs="Arial" w:hAnsi="Arial"/>
                <w:sz w:val="22"/>
              </w:rPr>
              <w:t xml:space="preserve"> and the </w:t>
            </w:r>
            <w:r>
              <w:rPr>
                <w:rFonts w:eastAsia="等线" w:ascii="Arial" w:cs="Arial" w:hAnsi="Arial"/>
                <w:b w:val="true"/>
                <w:sz w:val="22"/>
              </w:rPr>
              <w:t>Talent</w:t>
            </w:r>
            <w:r>
              <w:rPr>
                <w:rFonts w:eastAsia="等线" w:ascii="Arial" w:cs="Arial" w:hAnsi="Arial"/>
                <w:sz w:val="22"/>
              </w:rPr>
              <w:t>, shall hereafter be referred to individually as a "Party" and collectively as the "Parties".</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Obligations of BlueFocus</w:t>
            </w:r>
          </w:p>
          <w:p>
            <w:pPr>
              <w:numPr>
                <w:numId w:val="2"/>
              </w:numPr>
              <w:spacing w:before="120" w:after="120" w:line="288" w:lineRule="auto"/>
              <w:ind w:left="453"/>
              <w:jc w:val="left"/>
            </w:pPr>
            <w:r>
              <w:rPr>
                <w:rFonts w:eastAsia="等线" w:ascii="Arial" w:cs="Arial" w:hAnsi="Arial"/>
                <w:b w:val="true"/>
                <w:sz w:val="22"/>
              </w:rPr>
              <w:t>BlueFocus</w:t>
            </w:r>
            <w:r>
              <w:rPr>
                <w:rFonts w:eastAsia="等线" w:ascii="Arial" w:cs="Arial" w:hAnsi="Arial"/>
                <w:sz w:val="22"/>
              </w:rPr>
              <w:t xml:space="preserve"> shall diligently answer any inquiries and supply all necessary materials to enable the </w:t>
            </w:r>
            <w:r>
              <w:rPr>
                <w:rFonts w:eastAsia="等线" w:ascii="Arial" w:cs="Arial" w:hAnsi="Arial"/>
                <w:b w:val="true"/>
                <w:sz w:val="22"/>
              </w:rPr>
              <w:t>Talent</w:t>
            </w:r>
            <w:r>
              <w:rPr>
                <w:rFonts w:eastAsia="等线" w:ascii="Arial" w:cs="Arial" w:hAnsi="Arial"/>
                <w:sz w:val="22"/>
              </w:rPr>
              <w:t xml:space="preserve"> to effectively perform their obigations laid out in this agreement, and shall generally collaborate in good faith with the </w:t>
            </w:r>
            <w:r>
              <w:rPr>
                <w:rFonts w:eastAsia="等线" w:ascii="Arial" w:cs="Arial" w:hAnsi="Arial"/>
                <w:b w:val="true"/>
                <w:sz w:val="22"/>
              </w:rPr>
              <w:t>Talent</w:t>
            </w:r>
            <w:r>
              <w:rPr>
                <w:rFonts w:eastAsia="等线" w:ascii="Arial" w:cs="Arial" w:hAnsi="Arial"/>
                <w:sz w:val="22"/>
              </w:rPr>
              <w:t xml:space="preserve"> towards the successful execution of those obligations.</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sz w:val="22"/>
              </w:rPr>
              <w:t>Obligations of the Talent</w:t>
            </w:r>
          </w:p>
          <w:p>
            <w:pPr>
              <w:numPr>
                <w:numId w:val="4"/>
              </w:numPr>
              <w:spacing w:before="120" w:after="120" w:line="288" w:lineRule="auto"/>
              <w:ind w:left="453"/>
              <w:jc w:val="left"/>
            </w:pPr>
            <w:r>
              <w:rPr>
                <w:rFonts w:eastAsia="等线" w:ascii="Arial" w:cs="Arial" w:hAnsi="Arial"/>
                <w:sz w:val="22"/>
              </w:rPr>
              <w:t xml:space="preserve">The </w:t>
            </w:r>
            <w:r>
              <w:rPr>
                <w:rFonts w:eastAsia="等线" w:ascii="Arial" w:cs="Arial" w:hAnsi="Arial"/>
                <w:b w:val="true"/>
                <w:sz w:val="22"/>
              </w:rPr>
              <w:t>Talent</w:t>
            </w:r>
            <w:r>
              <w:rPr>
                <w:rFonts w:eastAsia="等线" w:ascii="Arial" w:cs="Arial" w:hAnsi="Arial"/>
                <w:sz w:val="22"/>
              </w:rPr>
              <w:t xml:space="preserve"> shall execute the services (hereinafter "the Service"), as further delineated in Appendix 1.</w:t>
            </w:r>
          </w:p>
          <w:p>
            <w:pPr>
              <w:numPr>
                <w:numId w:val="5"/>
              </w:numPr>
              <w:spacing w:before="120" w:after="120" w:line="288" w:lineRule="auto"/>
              <w:ind w:left="453"/>
              <w:jc w:val="left"/>
            </w:pPr>
            <w:r>
              <w:rPr>
                <w:rFonts w:eastAsia="等线" w:ascii="Arial" w:cs="Arial" w:hAnsi="Arial"/>
                <w:sz w:val="22"/>
              </w:rPr>
              <w:t xml:space="preserve">All Services performed shall be expressly identified as completed on behalf of </w:t>
            </w:r>
            <w:r>
              <w:rPr>
                <w:rFonts w:eastAsia="等线" w:ascii="Arial" w:cs="Arial" w:hAnsi="Arial"/>
                <w:b w:val="true"/>
                <w:sz w:val="22"/>
              </w:rPr>
              <w:t>BlueFocus'</w:t>
            </w:r>
            <w:r>
              <w:rPr>
                <w:rFonts w:eastAsia="等线" w:ascii="Arial" w:cs="Arial" w:hAnsi="Arial"/>
                <w:sz w:val="22"/>
              </w:rPr>
              <w:t xml:space="preserve"> client, for remuneration, and be clearly labeled as advertisements in a manner sufficient to meet the controling regulartory standards for such material.</w:t>
            </w:r>
          </w:p>
          <w:p>
            <w:pPr>
              <w:numPr>
                <w:numId w:val="6"/>
              </w:numPr>
              <w:spacing w:before="120" w:after="120" w:line="288" w:lineRule="auto"/>
              <w:ind w:left="453"/>
              <w:jc w:val="left"/>
            </w:pPr>
            <w:r>
              <w:rPr>
                <w:rFonts w:eastAsia="等线" w:ascii="Arial" w:cs="Arial" w:hAnsi="Arial"/>
                <w:sz w:val="22"/>
              </w:rPr>
              <w:t xml:space="preserve">The </w:t>
            </w:r>
            <w:r>
              <w:rPr>
                <w:rFonts w:eastAsia="等线" w:ascii="Arial" w:cs="Arial" w:hAnsi="Arial"/>
                <w:b w:val="true"/>
                <w:sz w:val="22"/>
              </w:rPr>
              <w:t>Talent</w:t>
            </w:r>
            <w:r>
              <w:rPr>
                <w:rFonts w:eastAsia="等线" w:ascii="Arial" w:cs="Arial" w:hAnsi="Arial"/>
                <w:sz w:val="22"/>
              </w:rPr>
              <w:t xml:space="preserve"> must ensure that any personally identifiable information (if any) collected through tracking links implemented by the </w:t>
            </w:r>
            <w:r>
              <w:rPr>
                <w:rFonts w:eastAsia="等线" w:ascii="Arial" w:cs="Arial" w:hAnsi="Arial"/>
                <w:b w:val="true"/>
                <w:sz w:val="22"/>
              </w:rPr>
              <w:t>Talent</w:t>
            </w:r>
            <w:r>
              <w:rPr>
                <w:rFonts w:eastAsia="等线" w:ascii="Arial" w:cs="Arial" w:hAnsi="Arial"/>
                <w:sz w:val="22"/>
              </w:rPr>
              <w:t xml:space="preserve"> on behalf of </w:t>
            </w:r>
            <w:r>
              <w:rPr>
                <w:rFonts w:eastAsia="等线" w:ascii="Arial" w:cs="Arial" w:hAnsi="Arial"/>
                <w:b w:val="true"/>
                <w:sz w:val="22"/>
              </w:rPr>
              <w:t>BlueFocus</w:t>
            </w:r>
            <w:r>
              <w:rPr>
                <w:rFonts w:eastAsia="等线" w:ascii="Arial" w:cs="Arial" w:hAnsi="Arial"/>
                <w:sz w:val="22"/>
              </w:rPr>
              <w:t xml:space="preserve"> strictly adheres to all relevant legislation, particularly those pertaining to data protection.</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sz w:val="22"/>
              </w:rPr>
              <w:t>Intellectual Property Rights</w:t>
            </w:r>
          </w:p>
          <w:p>
            <w:pPr>
              <w:numPr>
                <w:numId w:val="8"/>
              </w:numPr>
              <w:spacing w:before="120" w:after="120" w:line="288" w:lineRule="auto"/>
              <w:ind w:left="453"/>
              <w:jc w:val="left"/>
            </w:pPr>
            <w:r>
              <w:rPr>
                <w:rFonts w:eastAsia="等线" w:ascii="Arial" w:cs="Arial" w:hAnsi="Arial"/>
                <w:sz w:val="22"/>
              </w:rPr>
              <w:t xml:space="preserve">To facilitate the </w:t>
            </w:r>
            <w:r>
              <w:rPr>
                <w:rFonts w:eastAsia="等线" w:ascii="Arial" w:cs="Arial" w:hAnsi="Arial"/>
                <w:b w:val="true"/>
                <w:sz w:val="22"/>
              </w:rPr>
              <w:t>Talent's</w:t>
            </w:r>
            <w:r>
              <w:rPr>
                <w:rFonts w:eastAsia="等线" w:ascii="Arial" w:cs="Arial" w:hAnsi="Arial"/>
                <w:sz w:val="22"/>
              </w:rPr>
              <w:t xml:space="preserve"> fulfillment of the Service under this Agreement, the </w:t>
            </w:r>
            <w:r>
              <w:rPr>
                <w:rFonts w:eastAsia="等线" w:ascii="Arial" w:cs="Arial" w:hAnsi="Arial"/>
                <w:b w:val="true"/>
                <w:sz w:val="22"/>
              </w:rPr>
              <w:t>Talent</w:t>
            </w:r>
            <w:r>
              <w:rPr>
                <w:rFonts w:eastAsia="等线" w:ascii="Arial" w:cs="Arial" w:hAnsi="Arial"/>
                <w:sz w:val="22"/>
              </w:rPr>
              <w:t xml:space="preserve"> is hereby conferred a limited, non-transferable, revocable, non-exclusive, global, royalty-free license to utilize the trademarks and associated intellectual property rights of </w:t>
            </w:r>
            <w:r>
              <w:rPr>
                <w:rFonts w:eastAsia="等线" w:ascii="Arial" w:cs="Arial" w:hAnsi="Arial"/>
                <w:b w:val="true"/>
                <w:sz w:val="22"/>
              </w:rPr>
              <w:t>BlueFocus</w:t>
            </w:r>
            <w:r>
              <w:rPr>
                <w:rFonts w:eastAsia="等线" w:ascii="Arial" w:cs="Arial" w:hAnsi="Arial"/>
                <w:sz w:val="22"/>
              </w:rPr>
              <w:t xml:space="preserve"> or its principal, strictly for the duration of the Agreement and solely for the provision of the Service.</w:t>
            </w:r>
          </w:p>
          <w:p>
            <w:pPr>
              <w:numPr>
                <w:numId w:val="9"/>
              </w:numPr>
              <w:spacing w:before="120" w:after="120" w:line="288" w:lineRule="auto"/>
              <w:ind w:left="453"/>
              <w:jc w:val="left"/>
            </w:pPr>
            <w:r>
              <w:rPr>
                <w:rFonts w:eastAsia="等线" w:ascii="Arial" w:cs="Arial" w:hAnsi="Arial"/>
                <w:sz w:val="22"/>
              </w:rPr>
              <w:t>Except for the licenses previously stipulated, nothing within this Agreement shall be interpreted as a transfer, assignment, or licensing of any intellectual property between the Parties or the conferment of any other rights among the Parties.</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sz w:val="22"/>
              </w:rPr>
              <w:t>Confidentiality</w:t>
            </w:r>
          </w:p>
          <w:p>
            <w:pPr>
              <w:numPr>
                <w:numId w:val="11"/>
              </w:numPr>
              <w:spacing w:before="120" w:after="120" w:line="288" w:lineRule="auto"/>
              <w:ind w:left="453"/>
              <w:jc w:val="left"/>
            </w:pPr>
            <w:r>
              <w:rPr>
                <w:rFonts w:eastAsia="等线" w:ascii="Arial" w:cs="Arial" w:hAnsi="Arial"/>
                <w:sz w:val="22"/>
              </w:rPr>
              <w:t>Both Parties commit, during the Term and thereafter, to preserve in strict confidence any Confidential Information (as defined below) shared by the other Party in connection with this Agreement, and not to divulge any such Confidential Information to any third parties.</w:t>
            </w:r>
          </w:p>
          <w:p>
            <w:pPr>
              <w:numPr>
                <w:numId w:val="12"/>
              </w:numPr>
              <w:spacing w:before="120" w:after="120" w:line="288" w:lineRule="auto"/>
              <w:ind w:left="453"/>
              <w:jc w:val="left"/>
            </w:pPr>
            <w:r>
              <w:rPr>
                <w:rFonts w:eastAsia="等线" w:ascii="Arial" w:cs="Arial" w:hAnsi="Arial"/>
                <w:sz w:val="22"/>
              </w:rPr>
              <w:t>For the purpose of this Agreement, "Confidential Information" encompasses all information (whether in written or oral form), including the existence and content of this Agreement, save as provided under (a) – (d) below:</w:t>
            </w:r>
          </w:p>
          <w:p>
            <w:pPr>
              <w:spacing w:before="120" w:after="120" w:line="288" w:lineRule="auto"/>
              <w:ind w:left="0"/>
              <w:jc w:val="left"/>
            </w:pPr>
            <w:r>
              <w:rPr>
                <w:rFonts w:eastAsia="等线" w:ascii="Arial" w:cs="Arial" w:hAnsi="Arial"/>
                <w:sz w:val="22"/>
              </w:rPr>
              <w:t>(a) Information which is or becomes publicly known otherwise than as a result of a breach of this Agreement;</w:t>
            </w:r>
          </w:p>
          <w:p>
            <w:pPr>
              <w:spacing w:before="120" w:after="120" w:line="288" w:lineRule="auto"/>
              <w:ind w:left="0"/>
              <w:jc w:val="left"/>
            </w:pPr>
            <w:r>
              <w:rPr>
                <w:rFonts w:eastAsia="等线" w:ascii="Arial" w:cs="Arial" w:hAnsi="Arial"/>
                <w:sz w:val="22"/>
              </w:rPr>
              <w:t>(b) Information which the disclosing Party can demonstrate was in its possession prior to receiving such information from the other Party in connection with this Agreement;</w:t>
            </w:r>
          </w:p>
          <w:p>
            <w:pPr>
              <w:spacing w:before="120" w:after="120" w:line="288" w:lineRule="auto"/>
              <w:ind w:left="0"/>
              <w:jc w:val="left"/>
            </w:pPr>
            <w:r>
              <w:rPr>
                <w:rFonts w:eastAsia="等线" w:ascii="Arial" w:cs="Arial" w:hAnsi="Arial"/>
                <w:sz w:val="22"/>
              </w:rPr>
              <w:t>(c) Information which a Party has received or receives from a third party without any lawful constraints on its disclosure; or</w:t>
            </w:r>
          </w:p>
          <w:p>
            <w:pPr>
              <w:spacing w:before="120" w:after="120" w:line="288" w:lineRule="auto"/>
              <w:ind w:left="0"/>
              <w:jc w:val="left"/>
            </w:pPr>
            <w:r>
              <w:rPr>
                <w:rFonts w:eastAsia="等线" w:ascii="Arial" w:cs="Arial" w:hAnsi="Arial"/>
                <w:sz w:val="22"/>
              </w:rPr>
              <w:t>(d) Information which a Party is legally obligated to disclose under compulsory law, any court order, or by order of another competent authority.</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sz w:val="22"/>
              </w:rPr>
              <w:t>Limitation of Liability</w:t>
            </w:r>
          </w:p>
          <w:p>
            <w:pPr>
              <w:numPr>
                <w:numId w:val="14"/>
              </w:numPr>
              <w:spacing w:before="120" w:after="120" w:line="288" w:lineRule="auto"/>
              <w:ind w:left="453"/>
              <w:jc w:val="left"/>
            </w:pPr>
            <w:r>
              <w:rPr>
                <w:rFonts w:eastAsia="等线" w:ascii="Arial" w:cs="Arial" w:hAnsi="Arial"/>
                <w:sz w:val="22"/>
              </w:rPr>
              <w:t xml:space="preserve">Neither Party shall be held accountable to the other for indirect, consequential, special, punitive, or exemplary damages or penalties of any kind, including but not limited to lost profits or lost business opportunities, which arise from or are related to this Agreement. This limitation applies even if a Party has been notified of the potential for such damages. The total liability of either Party under this Agreement shall not exceed the total fees paid by </w:t>
            </w:r>
            <w:r>
              <w:rPr>
                <w:rFonts w:eastAsia="等线" w:ascii="Arial" w:cs="Arial" w:hAnsi="Arial"/>
                <w:b w:val="true"/>
                <w:sz w:val="22"/>
              </w:rPr>
              <w:t>BlueFocus</w:t>
            </w:r>
            <w:r>
              <w:rPr>
                <w:rFonts w:eastAsia="等线" w:ascii="Arial" w:cs="Arial" w:hAnsi="Arial"/>
                <w:sz w:val="22"/>
              </w:rPr>
              <w:t xml:space="preserve"> to the </w:t>
            </w:r>
            <w:r>
              <w:rPr>
                <w:rFonts w:eastAsia="等线" w:ascii="Arial" w:cs="Arial" w:hAnsi="Arial"/>
                <w:b w:val="true"/>
                <w:sz w:val="22"/>
              </w:rPr>
              <w:t>Talent</w:t>
            </w:r>
            <w:r>
              <w:rPr>
                <w:rFonts w:eastAsia="等线" w:ascii="Arial" w:cs="Arial" w:hAnsi="Arial"/>
                <w:sz w:val="22"/>
              </w:rPr>
              <w:t xml:space="preserve"> pursuant to this Agreement.</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b w:val="true"/>
                <w:sz w:val="22"/>
              </w:rPr>
              <w:t>Term and Termination</w:t>
            </w:r>
          </w:p>
          <w:p>
            <w:pPr>
              <w:numPr>
                <w:numId w:val="16"/>
              </w:numPr>
              <w:spacing w:before="120" w:after="120" w:line="288" w:lineRule="auto"/>
              <w:ind w:left="453"/>
              <w:jc w:val="left"/>
            </w:pPr>
            <w:r>
              <w:rPr>
                <w:rFonts w:eastAsia="等线" w:ascii="Arial" w:cs="Arial" w:hAnsi="Arial"/>
                <w:sz w:val="22"/>
              </w:rPr>
              <w:t>This Agreement becomes effective upon signature by both Parties and remains valid until the conclusion of the Term.</w:t>
            </w:r>
          </w:p>
          <w:p>
            <w:pPr>
              <w:numPr>
                <w:numId w:val="17"/>
              </w:numPr>
              <w:spacing w:before="120" w:after="120" w:line="288" w:lineRule="auto"/>
              <w:ind w:left="453"/>
              <w:jc w:val="left"/>
            </w:pPr>
            <w:r>
              <w:rPr>
                <w:rFonts w:eastAsia="等线" w:ascii="Arial" w:cs="Arial" w:hAnsi="Arial"/>
                <w:sz w:val="22"/>
              </w:rPr>
              <w:t>Nevertheless, either Party retains the right to terminate this Agreement with immediate effect by providing the other Party with written notice, if the other Party:</w:t>
            </w:r>
          </w:p>
          <w:p>
            <w:pPr>
              <w:spacing w:before="120" w:after="120" w:line="288" w:lineRule="auto"/>
              <w:ind w:left="0"/>
              <w:jc w:val="left"/>
            </w:pPr>
            <w:r>
              <w:rPr>
                <w:rFonts w:eastAsia="等线" w:ascii="Arial" w:cs="Arial" w:hAnsi="Arial"/>
                <w:sz w:val="22"/>
              </w:rPr>
              <w:t>(a) Fails to fulfill any of its obligations under this Agreement, provided that such failure has significant importance to the non-breaching Party and, unless otherwise specified in Appendix 1, the breaching Party has failed to rectify the situation within seven (7) days following the breach; or</w:t>
            </w:r>
          </w:p>
          <w:p>
            <w:pPr>
              <w:spacing w:before="120" w:after="120" w:line="288" w:lineRule="auto"/>
              <w:ind w:left="0"/>
              <w:jc w:val="left"/>
            </w:pPr>
            <w:r>
              <w:rPr>
                <w:rFonts w:eastAsia="等线" w:ascii="Arial" w:cs="Arial" w:hAnsi="Arial"/>
                <w:sz w:val="22"/>
              </w:rPr>
              <w:t>(b) Suspends its payments, is the subject of a bankruptcy petition, enters into liquidation, or is otherwise deemed to be insolvent.</w:t>
            </w:r>
          </w:p>
          <w:p>
            <w:pPr>
              <w:numPr>
                <w:numId w:val="18"/>
              </w:numPr>
              <w:spacing w:before="120" w:after="120" w:line="288" w:lineRule="auto"/>
              <w:ind w:left="453"/>
              <w:jc w:val="left"/>
            </w:pPr>
            <w:r>
              <w:rPr>
                <w:rFonts w:eastAsia="等线" w:ascii="Arial" w:cs="Arial" w:hAnsi="Arial"/>
                <w:sz w:val="22"/>
              </w:rPr>
              <w:t xml:space="preserve">A Party may also terminate this Agreement immediately, without notice, if the other Party, its shareholders, directors, or senior officers, commit any act which could reasonably be deemed immoral, deceptive, scandalous, or obscene, or which could harm, tarnish, damage or otherwise negatively impact the reputation and goodwill of such Party. However, </w:t>
            </w:r>
            <w:r>
              <w:rPr>
                <w:rFonts w:eastAsia="等线" w:ascii="Arial" w:cs="Arial" w:hAnsi="Arial"/>
                <w:b w:val="true"/>
                <w:sz w:val="22"/>
              </w:rPr>
              <w:t>BlueFocus</w:t>
            </w:r>
            <w:r>
              <w:rPr>
                <w:rFonts w:eastAsia="等线" w:ascii="Arial" w:cs="Arial" w:hAnsi="Arial"/>
                <w:sz w:val="22"/>
              </w:rPr>
              <w:t xml:space="preserve"> acknowledges that the </w:t>
            </w:r>
            <w:r>
              <w:rPr>
                <w:rFonts w:eastAsia="等线" w:ascii="Arial" w:cs="Arial" w:hAnsi="Arial"/>
                <w:b w:val="true"/>
                <w:sz w:val="22"/>
              </w:rPr>
              <w:t>Talent</w:t>
            </w:r>
            <w:r>
              <w:rPr>
                <w:rFonts w:eastAsia="等线" w:ascii="Arial" w:cs="Arial" w:hAnsi="Arial"/>
                <w:sz w:val="22"/>
              </w:rPr>
              <w:t xml:space="preserve"> maintains a public persona that includes a specific conduct and use of vernacular expressions, meaning all actions should be assessed in context, considering the </w:t>
            </w:r>
            <w:r>
              <w:rPr>
                <w:rFonts w:eastAsia="等线" w:ascii="Arial" w:cs="Arial" w:hAnsi="Arial"/>
                <w:b w:val="true"/>
                <w:sz w:val="22"/>
              </w:rPr>
              <w:t>Talent's</w:t>
            </w:r>
            <w:r>
              <w:rPr>
                <w:rFonts w:eastAsia="等线" w:ascii="Arial" w:cs="Arial" w:hAnsi="Arial"/>
                <w:sz w:val="22"/>
              </w:rPr>
              <w:t xml:space="preserve"> regular and normal way of conduct.</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b w:val="true"/>
                <w:sz w:val="22"/>
              </w:rPr>
              <w:t>Miscellaneous</w:t>
            </w:r>
          </w:p>
          <w:p>
            <w:pPr>
              <w:numPr>
                <w:numId w:val="20"/>
              </w:numPr>
              <w:spacing w:before="120" w:after="120" w:line="288" w:lineRule="auto"/>
              <w:ind w:left="453"/>
              <w:jc w:val="left"/>
            </w:pPr>
            <w:r>
              <w:rPr>
                <w:rFonts w:eastAsia="等线" w:ascii="Arial" w:cs="Arial" w:hAnsi="Arial"/>
                <w:sz w:val="22"/>
              </w:rPr>
              <w:t>The Parties act as independent contractors, and nothing in this Agreement shall be construed as forming a partnership or employment relationship between them, or as making any Party the agent of another Party for any purpose.</w:t>
            </w:r>
          </w:p>
          <w:p>
            <w:pPr>
              <w:numPr>
                <w:numId w:val="21"/>
              </w:numPr>
              <w:spacing w:before="120" w:after="120" w:line="288" w:lineRule="auto"/>
              <w:ind w:left="453"/>
              <w:jc w:val="left"/>
            </w:pPr>
            <w:r>
              <w:rPr>
                <w:rFonts w:eastAsia="等线" w:ascii="Arial" w:cs="Arial" w:hAnsi="Arial"/>
                <w:sz w:val="22"/>
              </w:rPr>
              <w:t>This Agreement embodies the entire understanding of the Parties with respect to its subject matter and supersedes all other prior or contemporaneous understandings, whether written or oral. Except for those contained herein, no other promises, terms, conditions, or obligations, oral or written, express or implied, exist, save for those mutually agreed in writing between the Parties subsequent to the execution of this Agreement or amended except by written instruments signed by the Parties.</w:t>
            </w:r>
          </w:p>
          <w:p>
            <w:pPr>
              <w:numPr>
                <w:numId w:val="22"/>
              </w:numPr>
              <w:spacing w:before="120" w:after="120" w:line="288" w:lineRule="auto"/>
              <w:ind w:left="453"/>
              <w:jc w:val="left"/>
            </w:pPr>
            <w:r>
              <w:rPr>
                <w:rFonts w:eastAsia="等线" w:ascii="Arial" w:cs="Arial" w:hAnsi="Arial"/>
                <w:sz w:val="22"/>
              </w:rPr>
              <w:t>For the avoidance of doubt, neither Party may assign this Agreement without the prior written consent of the other Party.</w:t>
            </w:r>
          </w:p>
          <w:p>
            <w:pPr>
              <w:numPr>
                <w:numId w:val="23"/>
              </w:numPr>
              <w:spacing w:before="120" w:after="120" w:line="288" w:lineRule="auto"/>
              <w:ind w:left="453"/>
              <w:jc w:val="left"/>
            </w:pPr>
            <w:r>
              <w:rPr>
                <w:rFonts w:eastAsia="等线" w:ascii="Arial" w:cs="Arial" w:hAnsi="Arial"/>
                <w:sz w:val="22"/>
              </w:rPr>
              <w:t>Obligations intended by their nature to survive the end of the Term shall persist following the termination of this Agreement.</w:t>
            </w:r>
          </w:p>
          <w:p>
            <w:pPr>
              <w:spacing w:before="120" w:after="120" w:line="288" w:lineRule="auto"/>
              <w:ind w:left="0"/>
              <w:jc w:val="left"/>
            </w:pPr>
          </w:p>
          <w:p>
            <w:pPr>
              <w:numPr>
                <w:numId w:val="24"/>
              </w:numPr>
              <w:spacing w:before="120" w:after="120" w:line="288" w:lineRule="auto"/>
              <w:ind w:left="0"/>
              <w:jc w:val="left"/>
            </w:pPr>
            <w:r>
              <w:rPr>
                <w:rFonts w:eastAsia="等线" w:ascii="Arial" w:cs="Arial" w:hAnsi="Arial"/>
                <w:b w:val="true"/>
                <w:sz w:val="22"/>
              </w:rPr>
              <w:t>Governing Law and Dispute Resolution</w:t>
            </w:r>
          </w:p>
          <w:p>
            <w:pPr>
              <w:numPr>
                <w:numId w:val="25"/>
              </w:numPr>
              <w:spacing w:before="120" w:after="120" w:line="288" w:lineRule="auto"/>
              <w:ind w:left="453"/>
              <w:jc w:val="left"/>
            </w:pPr>
            <w:r>
              <w:rPr>
                <w:rFonts w:eastAsia="等线" w:ascii="Arial" w:cs="Arial" w:hAnsi="Arial"/>
                <w:sz w:val="22"/>
              </w:rPr>
              <w:t>This agreement and all disputes arising out of it shall be governed by the laws of Hong Kong. Any dispute, controversy, difference or claim arising out of or relating to this contract, including the existence, validity, interpretation, performance, breach or termination thereof or any dispute regarding non-contractual obligations arising out of or relating to it shall be referred to and finally resolved by arbitration administered by the Hong Kong International Arbitration Centre (HKIAC) under the HKIAC Administered Arbitration Rules in force when the Notice of Arbitration is submitted.  The seat of arbitration shall be Hong Kong.  The arbitration proceedings shall be conducted in English.</w:t>
            </w:r>
          </w:p>
        </w:tc>
      </w:tr>
      <w:tr>
        <w:tc>
          <w:tcPr>
            <w:tcW w:w="387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BlueFocus: </w:t>
            </w:r>
          </w:p>
          <w:p>
            <w:pPr>
              <w:spacing w:before="120" w:after="120" w:line="288" w:lineRule="auto"/>
              <w:ind w:left="0"/>
              <w:jc w:val="left"/>
            </w:pPr>
            <w:r>
              <w:rPr>
                <w:rFonts w:eastAsia="等线" w:ascii="Arial" w:cs="Arial" w:hAnsi="Arial"/>
                <w:b w:val="true"/>
                <w:sz w:val="22"/>
              </w:rPr>
              <w:t>Tomato Interactive Limited</w:t>
            </w:r>
          </w:p>
          <w:p>
            <w:pPr>
              <w:spacing w:before="120" w:after="120" w:line="288" w:lineRule="auto"/>
              <w:ind w:left="0"/>
              <w:jc w:val="left"/>
            </w:pPr>
          </w:p>
          <w:p>
            <w:pPr>
              <w:spacing w:before="120" w:after="120" w:line="288" w:lineRule="auto"/>
              <w:ind w:left="0"/>
              <w:jc w:val="left"/>
            </w:pPr>
            <w:r>
              <w:rPr>
                <w:rFonts w:eastAsia="等线" w:ascii="Arial" w:cs="Arial" w:hAnsi="Arial"/>
                <w:sz w:val="22"/>
              </w:rPr>
              <w:t>Address: 11/F 12/F AND ROOFTOP 133 WAI YIP STREET KWUN TONG KL Hong Kong</w:t>
            </w:r>
          </w:p>
          <w:p>
            <w:pPr>
              <w:spacing w:before="120" w:after="120" w:line="288" w:lineRule="auto"/>
              <w:ind w:left="0"/>
              <w:jc w:val="left"/>
            </w:pPr>
          </w:p>
          <w:p>
            <w:pPr>
              <w:spacing w:before="120" w:after="120" w:line="288" w:lineRule="auto"/>
              <w:ind w:left="0"/>
              <w:jc w:val="left"/>
            </w:pPr>
            <w:r>
              <w:rPr>
                <w:rFonts w:eastAsia="等线" w:ascii="Arial" w:cs="Arial" w:hAnsi="Arial"/>
                <w:sz w:val="22"/>
              </w:rPr>
              <w:t>Name: Jiao Li</w:t>
            </w:r>
          </w:p>
        </w:tc>
        <w:tc>
          <w:tcPr>
            <w:tcW w:w="1335" w:type="dxa"/>
            <w:hMerge w:val="continue"/>
            <w:vMerge w:val="restart"/>
            <w:tcMar>
              <w:top w:type="dxa" w:w="60"/>
              <w:left w:type="dxa" w:w="120"/>
              <w:bottom w:type="dxa" w:w="30"/>
              <w:right w:type="dxa" w:w="120"/>
            </w:tcMar>
          </w:tcPr>
          <w:p>
            <w:pPr>
              <w:spacing w:before="120" w:after="120" w:line="288" w:lineRule="auto"/>
              <w:ind w:left="0"/>
              <w:jc w:val="left"/>
            </w:pPr>
          </w:p>
        </w:tc>
        <w:tc>
          <w:tcPr>
            <w:tcW w:w="12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465" w:type="dxa"/>
            <w:hMerge w:val="continue"/>
            <w:vMerge w:val="restart"/>
            <w:tcMar>
              <w:top w:type="dxa" w:w="60"/>
              <w:left w:type="dxa" w:w="120"/>
              <w:bottom w:type="dxa" w:w="30"/>
              <w:right w:type="dxa" w:w="120"/>
            </w:tcMar>
          </w:tcPr>
          <w:p>
            <w:pPr>
              <w:spacing w:before="120" w:after="120" w:line="288" w:lineRule="auto"/>
              <w:ind w:left="0"/>
              <w:jc w:val="left"/>
            </w:pPr>
          </w:p>
        </w:tc>
        <w:tc>
          <w:tcPr>
            <w:tcW w:w="255" w:type="dxa"/>
            <w:hMerge w:val="continue"/>
            <w:vMerge w:val="restart"/>
            <w:tcMar>
              <w:top w:type="dxa" w:w="60"/>
              <w:left w:type="dxa" w:w="120"/>
              <w:bottom w:type="dxa" w:w="30"/>
              <w:right w:type="dxa" w:w="120"/>
            </w:tcMar>
          </w:tcPr>
          <w:p>
            <w:pPr>
              <w:spacing w:before="120" w:after="120" w:line="288" w:lineRule="auto"/>
              <w:ind w:left="0"/>
              <w:jc w:val="left"/>
            </w:pPr>
          </w:p>
        </w:tc>
        <w:tc>
          <w:tcPr>
            <w:tcW w:w="180" w:type="dxa"/>
            <w:hMerge w:val="continue"/>
            <w:vMerge w:val="restart"/>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Signature/Chop:</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hMerge w:val="restart"/>
            <w:vMerge w:val="continue"/>
            <w:tcMar>
              <w:top w:type="dxa" w:w="60"/>
              <w:left w:type="dxa" w:w="120"/>
              <w:bottom w:type="dxa" w:w="30"/>
              <w:right w:type="dxa" w:w="120"/>
            </w:tcMar>
          </w:tcPr>
          <w:p>
            <w:pPr>
              <w:spacing w:before="120" w:after="120" w:line="288" w:lineRule="auto"/>
              <w:ind w:left="0"/>
              <w:jc w:val="left"/>
            </w:pPr>
          </w:p>
        </w:tc>
        <w:tc>
          <w:tcPr>
            <w:tcW w:w="1335" w:type="dxa"/>
            <w:hMerge w:val="continue"/>
            <w:vMerge w:val="continue"/>
            <w:tcMar>
              <w:top w:type="dxa" w:w="60"/>
              <w:left w:type="dxa" w:w="120"/>
              <w:bottom w:type="dxa" w:w="30"/>
              <w:right w:type="dxa" w:w="120"/>
            </w:tcMar>
          </w:tcPr>
          <w:p>
            <w:pPr>
              <w:spacing w:before="120" w:after="120" w:line="288" w:lineRule="auto"/>
              <w:ind w:left="0"/>
              <w:jc w:val="left"/>
            </w:pPr>
          </w:p>
        </w:tc>
        <w:tc>
          <w:tcPr>
            <w:tcW w:w="12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465" w:type="dxa"/>
            <w:hMerge w:val="continue"/>
            <w:vMerge w:val="continue"/>
            <w:tcMar>
              <w:top w:type="dxa" w:w="60"/>
              <w:left w:type="dxa" w:w="120"/>
              <w:bottom w:type="dxa" w:w="30"/>
              <w:right w:type="dxa" w:w="120"/>
            </w:tcMar>
          </w:tcPr>
          <w:p>
            <w:pPr>
              <w:spacing w:before="120" w:after="120" w:line="288" w:lineRule="auto"/>
              <w:ind w:left="0"/>
              <w:jc w:val="left"/>
            </w:pPr>
          </w:p>
        </w:tc>
        <w:tc>
          <w:tcPr>
            <w:tcW w:w="255" w:type="dxa"/>
            <w:hMerge w:val="continue"/>
            <w:vMerge w:val="continue"/>
            <w:tcMar>
              <w:top w:type="dxa" w:w="60"/>
              <w:left w:type="dxa" w:w="120"/>
              <w:bottom w:type="dxa" w:w="30"/>
              <w:right w:type="dxa" w:w="120"/>
            </w:tcMar>
          </w:tcPr>
          <w:p>
            <w:pPr>
              <w:spacing w:before="120" w:after="120" w:line="288" w:lineRule="auto"/>
              <w:ind w:left="0"/>
              <w:jc w:val="left"/>
            </w:pPr>
          </w:p>
        </w:tc>
        <w:tc>
          <w:tcPr>
            <w:tcW w:w="180" w:type="dxa"/>
            <w:hMerge w:val="continue"/>
            <w:vMerge w:val="continue"/>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387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Talent: </w:t>
            </w:r>
          </w:p>
          <w:p>
            <w:pPr>
              <w:spacing w:before="120" w:after="120" w:line="288" w:lineRule="auto"/>
              <w:ind w:left="0"/>
              <w:jc w:val="left"/>
            </w:pPr>
            <w:r>
              <w:rPr>
                <w:rFonts w:eastAsia="等线" w:ascii="Arial" w:cs="Arial" w:hAnsi="Arial"/>
                <w:sz w:val="22"/>
              </w:rPr>
              <w:t xml:space="preserve">Name: _________________________________ </w:t>
            </w:r>
          </w:p>
          <w:p>
            <w:pPr>
              <w:spacing w:before="120" w:after="120" w:line="288" w:lineRule="auto"/>
              <w:ind w:left="0"/>
              <w:jc w:val="left"/>
            </w:pPr>
          </w:p>
          <w:p>
            <w:pPr>
              <w:spacing w:before="120" w:after="120" w:line="288" w:lineRule="auto"/>
              <w:ind w:left="0"/>
              <w:jc w:val="left"/>
            </w:pPr>
            <w:r>
              <w:rPr>
                <w:rFonts w:eastAsia="等线" w:ascii="Arial" w:cs="Arial" w:hAnsi="Arial"/>
                <w:sz w:val="22"/>
              </w:rPr>
              <w:t>Email: _________________________________</w:t>
            </w:r>
          </w:p>
          <w:p>
            <w:pPr>
              <w:spacing w:before="120" w:after="120" w:line="288" w:lineRule="auto"/>
              <w:ind w:left="0"/>
              <w:jc w:val="left"/>
            </w:pPr>
            <w:r>
              <w:rPr>
                <w:rFonts w:eastAsia="等线" w:ascii="Arial" w:cs="Arial" w:hAnsi="Arial"/>
                <w:sz w:val="22"/>
              </w:rPr>
              <w:br/>
            </w:r>
            <w:r>
              <w:rPr>
                <w:rFonts w:eastAsia="等线" w:ascii="Arial" w:cs="Arial" w:hAnsi="Arial"/>
                <w:sz w:val="22"/>
              </w:rPr>
              <w:t>Address: ______________________________________________________</w:t>
            </w:r>
          </w:p>
        </w:tc>
        <w:tc>
          <w:tcPr>
            <w:tcW w:w="1335" w:type="dxa"/>
            <w:hMerge w:val="continue"/>
            <w:vMerge w:val="restart"/>
            <w:tcMar>
              <w:top w:type="dxa" w:w="60"/>
              <w:left w:type="dxa" w:w="120"/>
              <w:bottom w:type="dxa" w:w="30"/>
              <w:right w:type="dxa" w:w="120"/>
            </w:tcMar>
          </w:tcPr>
          <w:p>
            <w:pPr>
              <w:spacing w:before="120" w:after="120" w:line="288" w:lineRule="auto"/>
              <w:ind w:left="0"/>
              <w:jc w:val="left"/>
            </w:pPr>
          </w:p>
        </w:tc>
        <w:tc>
          <w:tcPr>
            <w:tcW w:w="12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465" w:type="dxa"/>
            <w:hMerge w:val="continue"/>
            <w:vMerge w:val="restart"/>
            <w:tcMar>
              <w:top w:type="dxa" w:w="60"/>
              <w:left w:type="dxa" w:w="120"/>
              <w:bottom w:type="dxa" w:w="30"/>
              <w:right w:type="dxa" w:w="120"/>
            </w:tcMar>
          </w:tcPr>
          <w:p>
            <w:pPr>
              <w:spacing w:before="120" w:after="120" w:line="288" w:lineRule="auto"/>
              <w:ind w:left="0"/>
              <w:jc w:val="left"/>
            </w:pPr>
          </w:p>
        </w:tc>
        <w:tc>
          <w:tcPr>
            <w:tcW w:w="255" w:type="dxa"/>
            <w:hMerge w:val="continue"/>
            <w:vMerge w:val="restart"/>
            <w:tcMar>
              <w:top w:type="dxa" w:w="60"/>
              <w:left w:type="dxa" w:w="120"/>
              <w:bottom w:type="dxa" w:w="30"/>
              <w:right w:type="dxa" w:w="120"/>
            </w:tcMar>
          </w:tcPr>
          <w:p>
            <w:pPr>
              <w:spacing w:before="120" w:after="120" w:line="288" w:lineRule="auto"/>
              <w:ind w:left="0"/>
              <w:jc w:val="left"/>
            </w:pPr>
          </w:p>
        </w:tc>
        <w:tc>
          <w:tcPr>
            <w:tcW w:w="180" w:type="dxa"/>
            <w:hMerge w:val="continue"/>
            <w:vMerge w:val="restart"/>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Signature/Chop:</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hMerge w:val="restart"/>
            <w:vMerge w:val="continue"/>
            <w:tcMar>
              <w:top w:type="dxa" w:w="60"/>
              <w:left w:type="dxa" w:w="120"/>
              <w:bottom w:type="dxa" w:w="30"/>
              <w:right w:type="dxa" w:w="120"/>
            </w:tcMar>
          </w:tcPr>
          <w:p>
            <w:pPr>
              <w:spacing w:before="120" w:after="120" w:line="288" w:lineRule="auto"/>
              <w:ind w:left="0"/>
              <w:jc w:val="left"/>
            </w:pPr>
          </w:p>
        </w:tc>
        <w:tc>
          <w:tcPr>
            <w:tcW w:w="1335" w:type="dxa"/>
            <w:hMerge w:val="continue"/>
            <w:vMerge w:val="continue"/>
            <w:tcMar>
              <w:top w:type="dxa" w:w="60"/>
              <w:left w:type="dxa" w:w="120"/>
              <w:bottom w:type="dxa" w:w="30"/>
              <w:right w:type="dxa" w:w="120"/>
            </w:tcMar>
          </w:tcPr>
          <w:p>
            <w:pPr>
              <w:spacing w:before="120" w:after="120" w:line="288" w:lineRule="auto"/>
              <w:ind w:left="0"/>
              <w:jc w:val="left"/>
            </w:pPr>
          </w:p>
        </w:tc>
        <w:tc>
          <w:tcPr>
            <w:tcW w:w="12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465" w:type="dxa"/>
            <w:hMerge w:val="continue"/>
            <w:vMerge w:val="continue"/>
            <w:tcMar>
              <w:top w:type="dxa" w:w="60"/>
              <w:left w:type="dxa" w:w="120"/>
              <w:bottom w:type="dxa" w:w="30"/>
              <w:right w:type="dxa" w:w="120"/>
            </w:tcMar>
          </w:tcPr>
          <w:p>
            <w:pPr>
              <w:spacing w:before="120" w:after="120" w:line="288" w:lineRule="auto"/>
              <w:ind w:left="0"/>
              <w:jc w:val="left"/>
            </w:pPr>
          </w:p>
        </w:tc>
        <w:tc>
          <w:tcPr>
            <w:tcW w:w="255" w:type="dxa"/>
            <w:hMerge w:val="continue"/>
            <w:vMerge w:val="continue"/>
            <w:tcMar>
              <w:top w:type="dxa" w:w="60"/>
              <w:left w:type="dxa" w:w="120"/>
              <w:bottom w:type="dxa" w:w="30"/>
              <w:right w:type="dxa" w:w="120"/>
            </w:tcMar>
          </w:tcPr>
          <w:p>
            <w:pPr>
              <w:spacing w:before="120" w:after="120" w:line="288" w:lineRule="auto"/>
              <w:ind w:left="0"/>
              <w:jc w:val="left"/>
            </w:pPr>
          </w:p>
        </w:tc>
        <w:tc>
          <w:tcPr>
            <w:tcW w:w="180" w:type="dxa"/>
            <w:hMerge w:val="continue"/>
            <w:vMerge w:val="continue"/>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387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Talent’s Agency (if applicable):</w:t>
            </w:r>
          </w:p>
          <w:p>
            <w:pPr>
              <w:spacing w:before="120" w:after="120" w:line="288" w:lineRule="auto"/>
              <w:ind w:left="0"/>
              <w:jc w:val="left"/>
            </w:pPr>
            <w:r>
              <w:rPr>
                <w:rFonts w:eastAsia="等线" w:ascii="Arial" w:cs="Arial" w:hAnsi="Arial"/>
                <w:sz w:val="22"/>
              </w:rPr>
              <w:t>Agency: _________________________________</w:t>
            </w:r>
          </w:p>
          <w:p>
            <w:pPr>
              <w:spacing w:before="120" w:after="120" w:line="288" w:lineRule="auto"/>
              <w:ind w:left="0"/>
              <w:jc w:val="left"/>
            </w:pPr>
          </w:p>
          <w:p>
            <w:pPr>
              <w:spacing w:before="120" w:after="120" w:line="288" w:lineRule="auto"/>
              <w:ind w:left="0"/>
              <w:jc w:val="left"/>
            </w:pPr>
            <w:r>
              <w:rPr>
                <w:rFonts w:eastAsia="等线" w:ascii="Arial" w:cs="Arial" w:hAnsi="Arial"/>
                <w:sz w:val="22"/>
              </w:rPr>
              <w:t>Address: __________________________________________________________</w:t>
            </w:r>
          </w:p>
          <w:p>
            <w:pPr>
              <w:spacing w:before="120" w:after="120" w:line="288" w:lineRule="auto"/>
              <w:ind w:left="0"/>
              <w:jc w:val="left"/>
            </w:pPr>
          </w:p>
          <w:p>
            <w:pPr>
              <w:spacing w:before="120" w:after="120" w:line="288" w:lineRule="auto"/>
              <w:ind w:left="0"/>
              <w:jc w:val="left"/>
            </w:pPr>
            <w:r>
              <w:rPr>
                <w:rFonts w:eastAsia="等线" w:ascii="Arial" w:cs="Arial" w:hAnsi="Arial"/>
                <w:sz w:val="22"/>
              </w:rPr>
              <w:t>Agent’s Name: ___________________________</w:t>
            </w:r>
          </w:p>
        </w:tc>
        <w:tc>
          <w:tcPr>
            <w:tcW w:w="1335" w:type="dxa"/>
            <w:hMerge w:val="continue"/>
            <w:vMerge w:val="restart"/>
            <w:tcMar>
              <w:top w:type="dxa" w:w="60"/>
              <w:left w:type="dxa" w:w="120"/>
              <w:bottom w:type="dxa" w:w="30"/>
              <w:right w:type="dxa" w:w="120"/>
            </w:tcMar>
          </w:tcPr>
          <w:p>
            <w:pPr>
              <w:spacing w:before="120" w:after="120" w:line="288" w:lineRule="auto"/>
              <w:ind w:left="0"/>
              <w:jc w:val="left"/>
            </w:pPr>
          </w:p>
        </w:tc>
        <w:tc>
          <w:tcPr>
            <w:tcW w:w="12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465" w:type="dxa"/>
            <w:hMerge w:val="continue"/>
            <w:vMerge w:val="restart"/>
            <w:tcMar>
              <w:top w:type="dxa" w:w="60"/>
              <w:left w:type="dxa" w:w="120"/>
              <w:bottom w:type="dxa" w:w="30"/>
              <w:right w:type="dxa" w:w="120"/>
            </w:tcMar>
          </w:tcPr>
          <w:p>
            <w:pPr>
              <w:spacing w:before="120" w:after="120" w:line="288" w:lineRule="auto"/>
              <w:ind w:left="0"/>
              <w:jc w:val="left"/>
            </w:pPr>
          </w:p>
        </w:tc>
        <w:tc>
          <w:tcPr>
            <w:tcW w:w="255" w:type="dxa"/>
            <w:hMerge w:val="continue"/>
            <w:vMerge w:val="restart"/>
            <w:tcMar>
              <w:top w:type="dxa" w:w="60"/>
              <w:left w:type="dxa" w:w="120"/>
              <w:bottom w:type="dxa" w:w="30"/>
              <w:right w:type="dxa" w:w="120"/>
            </w:tcMar>
          </w:tcPr>
          <w:p>
            <w:pPr>
              <w:spacing w:before="120" w:after="120" w:line="288" w:lineRule="auto"/>
              <w:ind w:left="0"/>
              <w:jc w:val="left"/>
            </w:pPr>
          </w:p>
        </w:tc>
        <w:tc>
          <w:tcPr>
            <w:tcW w:w="180" w:type="dxa"/>
            <w:hMerge w:val="continue"/>
            <w:vMerge w:val="restart"/>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Signature/Chop:</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hMerge w:val="restart"/>
            <w:vMerge w:val="continue"/>
            <w:tcMar>
              <w:top w:type="dxa" w:w="60"/>
              <w:left w:type="dxa" w:w="120"/>
              <w:bottom w:type="dxa" w:w="30"/>
              <w:right w:type="dxa" w:w="120"/>
            </w:tcMar>
          </w:tcPr>
          <w:p>
            <w:pPr>
              <w:spacing w:before="120" w:after="120" w:line="288" w:lineRule="auto"/>
              <w:ind w:left="0"/>
              <w:jc w:val="left"/>
            </w:pPr>
          </w:p>
        </w:tc>
        <w:tc>
          <w:tcPr>
            <w:tcW w:w="1335" w:type="dxa"/>
            <w:hMerge w:val="continue"/>
            <w:vMerge w:val="continue"/>
            <w:tcMar>
              <w:top w:type="dxa" w:w="60"/>
              <w:left w:type="dxa" w:w="120"/>
              <w:bottom w:type="dxa" w:w="30"/>
              <w:right w:type="dxa" w:w="120"/>
            </w:tcMar>
          </w:tcPr>
          <w:p>
            <w:pPr>
              <w:spacing w:before="120" w:after="120" w:line="288" w:lineRule="auto"/>
              <w:ind w:left="0"/>
              <w:jc w:val="left"/>
            </w:pPr>
          </w:p>
        </w:tc>
        <w:tc>
          <w:tcPr>
            <w:tcW w:w="12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465" w:type="dxa"/>
            <w:hMerge w:val="continue"/>
            <w:vMerge w:val="continue"/>
            <w:tcMar>
              <w:top w:type="dxa" w:w="60"/>
              <w:left w:type="dxa" w:w="120"/>
              <w:bottom w:type="dxa" w:w="30"/>
              <w:right w:type="dxa" w:w="120"/>
            </w:tcMar>
          </w:tcPr>
          <w:p>
            <w:pPr>
              <w:spacing w:before="120" w:after="120" w:line="288" w:lineRule="auto"/>
              <w:ind w:left="0"/>
              <w:jc w:val="left"/>
            </w:pPr>
          </w:p>
        </w:tc>
        <w:tc>
          <w:tcPr>
            <w:tcW w:w="255" w:type="dxa"/>
            <w:hMerge w:val="continue"/>
            <w:vMerge w:val="continue"/>
            <w:tcMar>
              <w:top w:type="dxa" w:w="60"/>
              <w:left w:type="dxa" w:w="120"/>
              <w:bottom w:type="dxa" w:w="30"/>
              <w:right w:type="dxa" w:w="120"/>
            </w:tcMar>
          </w:tcPr>
          <w:p>
            <w:pPr>
              <w:spacing w:before="120" w:after="120" w:line="288" w:lineRule="auto"/>
              <w:ind w:left="0"/>
              <w:jc w:val="left"/>
            </w:pPr>
          </w:p>
        </w:tc>
        <w:tc>
          <w:tcPr>
            <w:tcW w:w="180" w:type="dxa"/>
            <w:hMerge w:val="continue"/>
            <w:vMerge w:val="continue"/>
            <w:tcMar>
              <w:top w:type="dxa" w:w="60"/>
              <w:left w:type="dxa" w:w="120"/>
              <w:bottom w:type="dxa" w:w="30"/>
              <w:right w:type="dxa" w:w="120"/>
            </w:tcMar>
          </w:tcPr>
          <w:p>
            <w:pPr>
              <w:spacing w:before="120" w:after="120" w:line="288" w:lineRule="auto"/>
              <w:ind w:left="0"/>
              <w:jc w:val="left"/>
            </w:pPr>
          </w:p>
        </w:tc>
        <w:tc>
          <w:tcPr>
            <w:tcW w:w="112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20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Agreement Term Period:  1 Months</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29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Sponsor/Principal: </w:t>
            </w:r>
          </w:p>
        </w:tc>
        <w:tc>
          <w:tcPr>
            <w:tcW w:w="810" w:type="dxa"/>
            <w:hMerge w:val="continue"/>
            <w:tcMar>
              <w:top w:type="dxa" w:w="60"/>
              <w:left w:type="dxa" w:w="120"/>
              <w:bottom w:type="dxa" w:w="30"/>
              <w:right w:type="dxa" w:w="120"/>
            </w:tcMar>
          </w:tcPr>
          <w:p>
            <w:pPr>
              <w:spacing w:before="120" w:after="120" w:line="288" w:lineRule="auto"/>
              <w:ind w:left="0"/>
              <w:jc w:val="left"/>
            </w:pPr>
          </w:p>
        </w:tc>
        <w:tc>
          <w:tcPr>
            <w:tcW w:w="465" w:type="dxa"/>
            <w:hMerge w:val="continue"/>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18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49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Deliverables (See Appendix 1 for additional details):</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20" w:type="dxa"/>
            <w:hMerge w:val="continue"/>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465" w:type="dxa"/>
            <w:hMerge w:val="continue"/>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18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Platform </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93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Channel/Talent</w:t>
            </w:r>
          </w:p>
        </w:tc>
        <w:tc>
          <w:tcPr>
            <w:tcW w:w="810" w:type="dxa"/>
            <w:hMerge w:val="continue"/>
            <w:tcMar>
              <w:top w:type="dxa" w:w="60"/>
              <w:left w:type="dxa" w:w="120"/>
              <w:bottom w:type="dxa" w:w="30"/>
              <w:right w:type="dxa" w:w="120"/>
            </w:tcMar>
          </w:tcPr>
          <w:p>
            <w:pPr>
              <w:spacing w:before="120" w:after="120" w:line="288" w:lineRule="auto"/>
              <w:ind w:left="0"/>
              <w:jc w:val="left"/>
            </w:pPr>
          </w:p>
        </w:tc>
        <w:tc>
          <w:tcPr>
            <w:tcW w:w="72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Date</w:t>
            </w:r>
          </w:p>
        </w:tc>
        <w:tc>
          <w:tcPr>
            <w:tcW w:w="255" w:type="dxa"/>
            <w:hMerge w:val="continue"/>
            <w:tcMar>
              <w:top w:type="dxa" w:w="60"/>
              <w:left w:type="dxa" w:w="120"/>
              <w:bottom w:type="dxa" w:w="30"/>
              <w:right w:type="dxa" w:w="120"/>
            </w:tcMar>
          </w:tcPr>
          <w:p>
            <w:pPr>
              <w:spacing w:before="120" w:after="120" w:line="288" w:lineRule="auto"/>
              <w:ind w:left="0"/>
              <w:jc w:val="left"/>
            </w:pPr>
          </w:p>
        </w:tc>
        <w:tc>
          <w:tcPr>
            <w:tcW w:w="6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Launch Date </w:t>
            </w: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Fee</w:t>
            </w: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930" w:type="dxa"/>
            <w:hMerge w:val="restart"/>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720" w:type="dxa"/>
            <w:hMerge w:val="restart"/>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675" w:type="dxa"/>
            <w:hMerge w:val="restart"/>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705" w:type="dxa"/>
            <w:tcMar>
              <w:top w:type="dxa" w:w="60"/>
              <w:left w:type="dxa" w:w="120"/>
              <w:bottom w:type="dxa" w:w="30"/>
              <w:right w:type="dxa" w:w="120"/>
            </w:tcMar>
          </w:tcPr>
          <w:p>
            <w:pPr>
              <w:spacing w:before="120" w:after="120" w:line="288" w:lineRule="auto"/>
              <w:ind w:left="0"/>
              <w:jc w:val="left"/>
            </w:pPr>
          </w:p>
        </w:tc>
        <w:tc>
          <w:tcPr>
            <w:tcW w:w="1335" w:type="dxa"/>
            <w:tcMar>
              <w:top w:type="dxa" w:w="60"/>
              <w:left w:type="dxa" w:w="120"/>
              <w:bottom w:type="dxa" w:w="30"/>
              <w:right w:type="dxa" w:w="120"/>
            </w:tcMar>
          </w:tcPr>
          <w:p>
            <w:pPr>
              <w:spacing w:before="120" w:after="120" w:line="288" w:lineRule="auto"/>
              <w:ind w:left="0"/>
              <w:jc w:val="left"/>
            </w:pPr>
          </w:p>
        </w:tc>
        <w:tc>
          <w:tcPr>
            <w:tcW w:w="930" w:type="dxa"/>
            <w:hMerge w:val="restart"/>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720" w:type="dxa"/>
            <w:hMerge w:val="restart"/>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675" w:type="dxa"/>
            <w:hMerge w:val="restart"/>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369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Payment is due </w:t>
            </w:r>
            <w:r>
              <w:rPr>
                <w:rFonts w:eastAsia="等线" w:ascii="Arial" w:cs="Arial" w:hAnsi="Arial"/>
                <w:b w:val="true"/>
                <w:i w:val="true"/>
                <w:sz w:val="22"/>
              </w:rPr>
              <w:t xml:space="preserve">20 days </w:t>
            </w:r>
            <w:r>
              <w:rPr>
                <w:rFonts w:eastAsia="等线" w:ascii="Arial" w:cs="Arial" w:hAnsi="Arial"/>
                <w:i w:val="true"/>
                <w:sz w:val="22"/>
              </w:rPr>
              <w:t xml:space="preserve">after completion of services and receipt of invoice. </w:t>
            </w:r>
            <w:r>
              <w:rPr>
                <w:rFonts w:eastAsia="等线" w:ascii="Arial" w:cs="Arial" w:hAnsi="Arial"/>
                <w:b w:val="true"/>
                <w:i w:val="true"/>
                <w:sz w:val="22"/>
              </w:rPr>
              <w:t>Payments via PayPal will incur a 5% service fee paid by Talent.</w:t>
            </w:r>
            <w:r>
              <w:rPr>
                <w:rFonts w:eastAsia="等线" w:ascii="Arial" w:cs="Arial" w:hAnsi="Arial"/>
                <w:i w:val="true"/>
                <w:sz w:val="22"/>
              </w:rPr>
              <w:t xml:space="preserve"> Bank wire transfers are not subject to this fee.</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20" w:type="dxa"/>
            <w:hMerge w:val="continue"/>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465" w:type="dxa"/>
            <w:hMerge w:val="continue"/>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6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Total Fees:</w:t>
            </w: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21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Promotional License:</w:t>
            </w:r>
            <w:r>
              <w:rPr>
                <w:rFonts w:eastAsia="等线" w:ascii="Arial" w:cs="Arial" w:hAnsi="Arial"/>
                <w:sz w:val="22"/>
              </w:rPr>
              <w:t xml:space="preserve">  Yes ___      No_√__</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20" w:type="dxa"/>
            <w:hMerge w:val="continue"/>
            <w:tcMar>
              <w:top w:type="dxa" w:w="60"/>
              <w:left w:type="dxa" w:w="120"/>
              <w:bottom w:type="dxa" w:w="30"/>
              <w:right w:type="dxa" w:w="120"/>
            </w:tcMar>
          </w:tcPr>
          <w:p>
            <w:pPr>
              <w:spacing w:before="120" w:after="120" w:line="288" w:lineRule="auto"/>
              <w:ind w:left="0"/>
              <w:jc w:val="left"/>
            </w:pPr>
          </w:p>
        </w:tc>
        <w:tc>
          <w:tcPr>
            <w:tcW w:w="12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Duration:  N/A</w:t>
            </w:r>
          </w:p>
        </w:tc>
        <w:tc>
          <w:tcPr>
            <w:tcW w:w="465" w:type="dxa"/>
            <w:hMerge w:val="continue"/>
            <w:tcMar>
              <w:top w:type="dxa" w:w="60"/>
              <w:left w:type="dxa" w:w="120"/>
              <w:bottom w:type="dxa" w:w="30"/>
              <w:right w:type="dxa" w:w="120"/>
            </w:tcMar>
          </w:tcPr>
          <w:p>
            <w:pPr>
              <w:spacing w:before="120" w:after="120" w:line="288" w:lineRule="auto"/>
              <w:ind w:left="0"/>
              <w:jc w:val="left"/>
            </w:pPr>
          </w:p>
        </w:tc>
        <w:tc>
          <w:tcPr>
            <w:tcW w:w="156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Region: N/A</w:t>
            </w:r>
          </w:p>
        </w:tc>
        <w:tc>
          <w:tcPr>
            <w:tcW w:w="18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r>
        <w:tc>
          <w:tcPr>
            <w:tcW w:w="499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Promotional License: </w:t>
            </w:r>
            <w:r>
              <w:rPr>
                <w:rFonts w:eastAsia="等线" w:ascii="Arial" w:cs="Arial" w:hAnsi="Arial"/>
                <w:sz w:val="22"/>
              </w:rPr>
              <w:t xml:space="preserve">The </w:t>
            </w:r>
            <w:r>
              <w:rPr>
                <w:rFonts w:eastAsia="等线" w:ascii="Arial" w:cs="Arial" w:hAnsi="Arial"/>
                <w:b w:val="true"/>
                <w:sz w:val="22"/>
              </w:rPr>
              <w:t>Talent</w:t>
            </w:r>
            <w:r>
              <w:rPr>
                <w:rFonts w:eastAsia="等线" w:ascii="Arial" w:cs="Arial" w:hAnsi="Arial"/>
                <w:sz w:val="22"/>
              </w:rPr>
              <w:t xml:space="preserve"> shall confer upon </w:t>
            </w:r>
            <w:r>
              <w:rPr>
                <w:rFonts w:eastAsia="等线" w:ascii="Arial" w:cs="Arial" w:hAnsi="Arial"/>
                <w:b w:val="true"/>
                <w:sz w:val="22"/>
              </w:rPr>
              <w:t>BlueFocus</w:t>
            </w:r>
            <w:r>
              <w:rPr>
                <w:rFonts w:eastAsia="等线" w:ascii="Arial" w:cs="Arial" w:hAnsi="Arial"/>
                <w:sz w:val="22"/>
              </w:rPr>
              <w:t xml:space="preserve"> and the Principal a limited, non-transferable, irrevocable, non-exclusive, royalty-free license to utilize the trademarks and any intellectual property rights created or employed by the </w:t>
            </w:r>
            <w:r>
              <w:rPr>
                <w:rFonts w:eastAsia="等线" w:ascii="Arial" w:cs="Arial" w:hAnsi="Arial"/>
                <w:b w:val="true"/>
                <w:sz w:val="22"/>
              </w:rPr>
              <w:t>Talent</w:t>
            </w:r>
            <w:r>
              <w:rPr>
                <w:rFonts w:eastAsia="等线" w:ascii="Arial" w:cs="Arial" w:hAnsi="Arial"/>
                <w:sz w:val="22"/>
              </w:rPr>
              <w:t xml:space="preserve"> in the execution of the Service. This license is granted solely for the promotion and marketing of the product(s) delineated in the Service, and is strictly confined to the Duration and Region stipulated above.</w:t>
            </w:r>
          </w:p>
        </w:tc>
        <w:tc>
          <w:tcPr>
            <w:tcW w:w="1335" w:type="dxa"/>
            <w:hMerge w:val="continue"/>
            <w:tcMar>
              <w:top w:type="dxa" w:w="60"/>
              <w:left w:type="dxa" w:w="120"/>
              <w:bottom w:type="dxa" w:w="30"/>
              <w:right w:type="dxa" w:w="120"/>
            </w:tcMar>
          </w:tcPr>
          <w:p>
            <w:pPr>
              <w:spacing w:before="120" w:after="120" w:line="288" w:lineRule="auto"/>
              <w:ind w:left="0"/>
              <w:jc w:val="left"/>
            </w:pPr>
          </w:p>
        </w:tc>
        <w:tc>
          <w:tcPr>
            <w:tcW w:w="120" w:type="dxa"/>
            <w:hMerge w:val="continue"/>
            <w:tcMar>
              <w:top w:type="dxa" w:w="60"/>
              <w:left w:type="dxa" w:w="120"/>
              <w:bottom w:type="dxa" w:w="30"/>
              <w:right w:type="dxa" w:w="120"/>
            </w:tcMar>
          </w:tcPr>
          <w:p>
            <w:pPr>
              <w:spacing w:before="120" w:after="120" w:line="288" w:lineRule="auto"/>
              <w:ind w:left="0"/>
              <w:jc w:val="left"/>
            </w:pPr>
          </w:p>
        </w:tc>
        <w:tc>
          <w:tcPr>
            <w:tcW w:w="810" w:type="dxa"/>
            <w:hMerge w:val="continue"/>
            <w:tcMar>
              <w:top w:type="dxa" w:w="60"/>
              <w:left w:type="dxa" w:w="120"/>
              <w:bottom w:type="dxa" w:w="30"/>
              <w:right w:type="dxa" w:w="120"/>
            </w:tcMar>
          </w:tcPr>
          <w:p>
            <w:pPr>
              <w:spacing w:before="120" w:after="120" w:line="288" w:lineRule="auto"/>
              <w:ind w:left="0"/>
              <w:jc w:val="left"/>
            </w:pPr>
          </w:p>
        </w:tc>
        <w:tc>
          <w:tcPr>
            <w:tcW w:w="465" w:type="dxa"/>
            <w:hMerge w:val="continue"/>
            <w:tcMar>
              <w:top w:type="dxa" w:w="60"/>
              <w:left w:type="dxa" w:w="120"/>
              <w:bottom w:type="dxa" w:w="30"/>
              <w:right w:type="dxa" w:w="120"/>
            </w:tcMar>
          </w:tcPr>
          <w:p>
            <w:pPr>
              <w:spacing w:before="120" w:after="120" w:line="288" w:lineRule="auto"/>
              <w:ind w:left="0"/>
              <w:jc w:val="left"/>
            </w:pPr>
          </w:p>
        </w:tc>
        <w:tc>
          <w:tcPr>
            <w:tcW w:w="255" w:type="dxa"/>
            <w:hMerge w:val="continue"/>
            <w:tcMar>
              <w:top w:type="dxa" w:w="60"/>
              <w:left w:type="dxa" w:w="120"/>
              <w:bottom w:type="dxa" w:w="30"/>
              <w:right w:type="dxa" w:w="120"/>
            </w:tcMar>
          </w:tcPr>
          <w:p>
            <w:pPr>
              <w:spacing w:before="120" w:after="120" w:line="288" w:lineRule="auto"/>
              <w:ind w:left="0"/>
              <w:jc w:val="left"/>
            </w:pPr>
          </w:p>
        </w:tc>
        <w:tc>
          <w:tcPr>
            <w:tcW w:w="180" w:type="dxa"/>
            <w:hMerge w:val="continue"/>
            <w:tcMar>
              <w:top w:type="dxa" w:w="60"/>
              <w:left w:type="dxa" w:w="120"/>
              <w:bottom w:type="dxa" w:w="30"/>
              <w:right w:type="dxa" w:w="120"/>
            </w:tcMar>
          </w:tcPr>
          <w:p>
            <w:pPr>
              <w:spacing w:before="120" w:after="120" w:line="288" w:lineRule="auto"/>
              <w:ind w:left="0"/>
              <w:jc w:val="left"/>
            </w:pPr>
          </w:p>
        </w:tc>
        <w:tc>
          <w:tcPr>
            <w:tcW w:w="495"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328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right"/>
        <w:outlineLvl w:val="0"/>
      </w:pPr>
      <w:bookmarkStart w:name="heading_0" w:id="0"/>
      <w:r>
        <w:rPr>
          <w:rFonts w:eastAsia="等线" w:ascii="Arial" w:cs="Arial" w:hAnsi="Arial"/>
          <w:b w:val="true"/>
          <w:sz w:val="36"/>
        </w:rPr>
        <w:t>Appendix 1</w:t>
      </w:r>
      <w:bookmarkEnd w:id="0"/>
    </w:p>
    <w:p>
      <w:pPr>
        <w:pStyle w:val="2"/>
        <w:spacing w:before="320" w:after="120" w:line="288" w:lineRule="auto"/>
        <w:ind w:left="0"/>
        <w:jc w:val="center"/>
        <w:outlineLvl w:val="1"/>
      </w:pPr>
      <w:bookmarkStart w:name="heading_1" w:id="1"/>
      <w:r>
        <w:rPr>
          <w:rFonts w:eastAsia="等线" w:ascii="Arial" w:cs="Arial" w:hAnsi="Arial"/>
          <w:b w:val="true"/>
          <w:sz w:val="32"/>
        </w:rPr>
        <w:t>Specification of the Service</w:t>
      </w:r>
      <w:bookmarkEnd w:id="1"/>
    </w:p>
    <w:p>
      <w:pPr>
        <w:spacing w:before="120" w:after="120" w:line="288" w:lineRule="auto"/>
        <w:ind w:left="0" w:firstLine="0"/>
        <w:jc w:val="left"/>
      </w:pPr>
      <w:r>
        <w:rPr>
          <w:rFonts w:eastAsia="等线" w:ascii="Arial" w:cs="Arial" w:hAnsi="Arial"/>
          <w:b w:val="true"/>
          <w:sz w:val="22"/>
        </w:rPr>
        <w:t>GENERAL GUIDELINES</w:t>
      </w:r>
    </w:p>
    <w:p>
      <w:pPr>
        <w:numPr>
          <w:numId w:val="26"/>
        </w:numPr>
        <w:spacing w:before="120" w:after="120" w:line="288" w:lineRule="auto"/>
        <w:ind w:left="0"/>
        <w:jc w:val="left"/>
      </w:pPr>
      <w:r>
        <w:rPr>
          <w:rFonts w:eastAsia="等线" w:ascii="Arial" w:cs="Arial" w:hAnsi="Arial"/>
          <w:sz w:val="22"/>
        </w:rPr>
        <w:t>Any modifications to this Section pertaining to General Guidelines or Content Guidelines may be effected only once both parties have formally agreed to them in writing.</w:t>
      </w:r>
    </w:p>
    <w:p>
      <w:pPr>
        <w:numPr>
          <w:numId w:val="27"/>
        </w:numPr>
        <w:spacing w:before="120" w:after="120" w:line="288" w:lineRule="auto"/>
        <w:ind w:left="0"/>
        <w:jc w:val="left"/>
      </w:pPr>
      <w:r>
        <w:rPr>
          <w:rFonts w:eastAsia="等线" w:ascii="Arial" w:cs="Arial" w:hAnsi="Arial"/>
          <w:sz w:val="22"/>
        </w:rPr>
        <w:t xml:space="preserve">The </w:t>
      </w:r>
      <w:r>
        <w:rPr>
          <w:rFonts w:eastAsia="等线" w:ascii="Arial" w:cs="Arial" w:hAnsi="Arial"/>
          <w:b w:val="true"/>
          <w:sz w:val="22"/>
        </w:rPr>
        <w:t>Talent</w:t>
      </w:r>
      <w:r>
        <w:rPr>
          <w:rFonts w:eastAsia="等线" w:ascii="Arial" w:cs="Arial" w:hAnsi="Arial"/>
          <w:sz w:val="22"/>
        </w:rPr>
        <w:t xml:space="preserve"> will ensure that all deliverables fully adhere to the "Content Guidelines" as outlined below.</w:t>
      </w:r>
    </w:p>
    <w:p>
      <w:pPr>
        <w:numPr>
          <w:numId w:val="28"/>
        </w:numPr>
        <w:spacing w:before="120" w:after="120" w:line="288" w:lineRule="auto"/>
        <w:ind w:left="0"/>
        <w:jc w:val="left"/>
      </w:pPr>
      <w:r>
        <w:rPr>
          <w:rFonts w:eastAsia="等线" w:ascii="Arial" w:cs="Arial" w:hAnsi="Arial"/>
          <w:sz w:val="22"/>
        </w:rPr>
        <w:t xml:space="preserve">The standard of the deliverables must match or surpass the quality evident in the </w:t>
      </w:r>
      <w:r>
        <w:rPr>
          <w:rFonts w:eastAsia="等线" w:ascii="Arial" w:cs="Arial" w:hAnsi="Arial"/>
          <w:b w:val="true"/>
          <w:sz w:val="22"/>
        </w:rPr>
        <w:t>Talent</w:t>
      </w:r>
      <w:r>
        <w:rPr>
          <w:rFonts w:eastAsia="等线" w:ascii="Arial" w:cs="Arial" w:hAnsi="Arial"/>
          <w:sz w:val="22"/>
        </w:rPr>
        <w:t>'s recent posts at the time the sponsorship agreement is enacted.</w:t>
      </w:r>
    </w:p>
    <w:p>
      <w:pPr>
        <w:numPr>
          <w:numId w:val="29"/>
        </w:numPr>
        <w:spacing w:before="120" w:after="120" w:line="288" w:lineRule="auto"/>
        <w:ind w:left="0"/>
        <w:jc w:val="left"/>
      </w:pPr>
      <w:r>
        <w:rPr>
          <w:rFonts w:eastAsia="等线" w:ascii="Arial" w:cs="Arial" w:hAnsi="Arial"/>
          <w:sz w:val="22"/>
        </w:rPr>
        <w:t>The deliverables' content should portray the product(s) in a favourable manner and inspire the audience to purchase the product.</w:t>
      </w:r>
    </w:p>
    <w:p>
      <w:pPr>
        <w:numPr>
          <w:numId w:val="30"/>
        </w:numPr>
        <w:spacing w:before="120" w:after="120" w:line="288" w:lineRule="auto"/>
        <w:ind w:left="0"/>
        <w:jc w:val="left"/>
      </w:pPr>
      <w:r>
        <w:rPr>
          <w:rFonts w:eastAsia="等线" w:ascii="Arial" w:cs="Arial" w:hAnsi="Arial"/>
          <w:sz w:val="22"/>
        </w:rPr>
        <w:t>Refrain from featuring other brands, particularly products which may be considered competitors, in any of the project's deliverables.</w:t>
      </w:r>
    </w:p>
    <w:p>
      <w:pPr>
        <w:numPr>
          <w:numId w:val="31"/>
        </w:numPr>
        <w:spacing w:before="120" w:after="120" w:line="288" w:lineRule="auto"/>
        <w:ind w:left="0"/>
        <w:jc w:val="left"/>
      </w:pPr>
      <w:r>
        <w:rPr>
          <w:rFonts w:eastAsia="等线" w:ascii="Arial" w:cs="Arial" w:hAnsi="Arial"/>
          <w:sz w:val="22"/>
        </w:rPr>
        <w:t>The Client reserves the right to request one reshoot following the draft review if the content is deemed unsatisfactory. Any subsequent reshoots will be necessitated only by a material factual error in the resultant video.</w:t>
      </w:r>
    </w:p>
    <w:p>
      <w:pPr>
        <w:numPr>
          <w:numId w:val="32"/>
        </w:numPr>
        <w:spacing w:before="120" w:after="120" w:line="288" w:lineRule="auto"/>
        <w:ind w:left="0"/>
        <w:jc w:val="left"/>
      </w:pPr>
    </w:p>
    <w:p>
      <w:pPr>
        <w:spacing w:before="120" w:after="120" w:line="288" w:lineRule="auto"/>
        <w:ind w:left="0" w:firstLine="0"/>
        <w:jc w:val="center"/>
      </w:pPr>
      <w:r>
        <w:rPr>
          <w:rFonts w:eastAsia="等线" w:ascii="Arial" w:cs="Arial" w:hAnsi="Arial"/>
          <w:b w:val="true"/>
          <w:sz w:val="22"/>
        </w:rPr>
        <w:t>Modifications to the services provided can be made if both parties agree to the modifications in writing.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40"/>
        <w:gridCol w:w="3270"/>
        <w:gridCol w:w="3270"/>
      </w:tblGrid>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PRODUCT: </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Deliverable #1</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Deliverable #2</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Channel</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e928"/>
              </w:rPr>
              <w:t>[Channel Here]</w:t>
            </w:r>
          </w:p>
        </w:tc>
        <w:tc>
          <w:tcPr>
            <w:tcW w:w="3270" w:type="dxa"/>
            <w:tcMar>
              <w:top w:type="dxa" w:w="60"/>
              <w:left w:type="dxa" w:w="120"/>
              <w:bottom w:type="dxa" w:w="30"/>
              <w:right w:type="dxa" w:w="120"/>
            </w:tcMar>
          </w:tcPr>
          <w:p>
            <w:pPr>
              <w:spacing w:before="120" w:after="120" w:line="288" w:lineRule="auto"/>
              <w:ind w:left="0"/>
              <w:jc w:val="left"/>
            </w:pP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e928"/>
              </w:rPr>
              <w:t>[Format Here]</w:t>
            </w:r>
          </w:p>
        </w:tc>
        <w:tc>
          <w:tcPr>
            <w:tcW w:w="3270" w:type="dxa"/>
            <w:tcMar>
              <w:top w:type="dxa" w:w="60"/>
              <w:left w:type="dxa" w:w="120"/>
              <w:bottom w:type="dxa" w:w="30"/>
              <w:right w:type="dxa" w:w="120"/>
            </w:tcMar>
          </w:tcPr>
          <w:p>
            <w:pPr>
              <w:spacing w:before="120" w:after="120" w:line="288" w:lineRule="auto"/>
              <w:ind w:left="0"/>
              <w:jc w:val="left"/>
            </w:pP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Due Date/Time</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e928"/>
              </w:rPr>
              <w:t>[Draft Due Date Here]</w:t>
            </w:r>
          </w:p>
        </w:tc>
        <w:tc>
          <w:tcPr>
            <w:tcW w:w="3270" w:type="dxa"/>
            <w:tcMar>
              <w:top w:type="dxa" w:w="60"/>
              <w:left w:type="dxa" w:w="120"/>
              <w:bottom w:type="dxa" w:w="30"/>
              <w:right w:type="dxa" w:w="120"/>
            </w:tcMar>
          </w:tcPr>
          <w:p>
            <w:pPr>
              <w:spacing w:before="120" w:after="120" w:line="288" w:lineRule="auto"/>
              <w:ind w:left="0"/>
              <w:jc w:val="left"/>
            </w:pP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Public Date/Time</w:t>
            </w:r>
          </w:p>
        </w:tc>
        <w:tc>
          <w:tcPr>
            <w:tcW w:w="32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shd w:fill="ffe928"/>
              </w:rPr>
              <w:t>[Launch Date Here]</w:t>
            </w:r>
          </w:p>
        </w:tc>
        <w:tc>
          <w:tcPr>
            <w:tcW w:w="32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right"/>
      </w:pPr>
      <w:r>
        <w:rPr>
          <w:rFonts w:eastAsia="等线" w:ascii="Arial" w:cs="Arial" w:hAnsi="Arial"/>
          <w:b w:val="true"/>
          <w:sz w:val="22"/>
        </w:rPr>
        <w:t>Appendix 1</w:t>
      </w:r>
      <w:r>
        <w:rPr>
          <w:rFonts w:eastAsia="等线" w:ascii="Arial" w:cs="Arial" w:hAnsi="Arial"/>
          <w:sz w:val="22"/>
        </w:rPr>
        <w:br/>
      </w:r>
    </w:p>
    <w:p>
      <w:pPr>
        <w:spacing w:before="120" w:after="120" w:line="288" w:lineRule="auto"/>
        <w:ind w:left="0" w:firstLine="0"/>
        <w:jc w:val="center"/>
      </w:pPr>
      <w:r>
        <w:rPr>
          <w:rFonts w:eastAsia="等线" w:ascii="Arial" w:cs="Arial" w:hAnsi="Arial"/>
          <w:b w:val="true"/>
          <w:sz w:val="22"/>
        </w:rPr>
        <w:t>CONTENT GUIDELINES</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shd w:fill="ffe928"/>
        </w:rPr>
        <w:t>[Production Instruction Here]</w:t>
      </w:r>
    </w:p>
    <w:p>
      <w:pPr>
        <w:spacing w:before="120" w:after="120" w:line="288" w:lineRule="auto"/>
        <w:ind w:left="0" w:firstLine="0"/>
        <w:jc w:val="left"/>
      </w:pPr>
      <w:r>
        <w:rPr>
          <w:rFonts w:eastAsia="等线" w:ascii="Arial" w:cs="Arial" w:hAnsi="Arial"/>
          <w:sz w:val="22"/>
        </w:rPr>
        <w:t>- OR-</w:t>
      </w:r>
    </w:p>
    <w:p>
      <w:pPr>
        <w:spacing w:before="120" w:after="120" w:line="288" w:lineRule="auto"/>
        <w:ind w:left="0" w:firstLine="0"/>
        <w:jc w:val="left"/>
      </w:pPr>
      <w:r>
        <w:rPr>
          <w:rFonts w:eastAsia="等线" w:ascii="Arial" w:cs="Arial" w:hAnsi="Arial"/>
          <w:sz w:val="22"/>
        </w:rPr>
        <w:t>The creative brief is the document titled “</w:t>
      </w:r>
      <w:r>
        <w:rPr>
          <w:rFonts w:eastAsia="等线" w:ascii="Arial" w:cs="Arial" w:hAnsi="Arial"/>
          <w:sz w:val="22"/>
          <w:shd w:fill="ffe928"/>
        </w:rPr>
        <w:t>[Insert File Name]</w:t>
      </w:r>
      <w:r>
        <w:rPr>
          <w:rFonts w:eastAsia="等线" w:ascii="Arial" w:cs="Arial" w:hAnsi="Arial"/>
          <w:sz w:val="22"/>
        </w:rPr>
        <w:t xml:space="preserve">”. It is located here: </w:t>
      </w:r>
      <w:r>
        <w:rPr>
          <w:rFonts w:eastAsia="等线" w:ascii="Arial" w:cs="Arial" w:hAnsi="Arial"/>
          <w:sz w:val="22"/>
          <w:shd w:fill="ffe928"/>
        </w:rPr>
        <w:t>[Insert Weblink]</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41290">
    <w:lvl>
      <w:start w:val="1"/>
      <w:numFmt w:val="decimal"/>
      <w:suff w:val="tab"/>
      <w:lvlText w:val="%1."/>
      <w:rPr>
        <w:color w:val="3370ff"/>
      </w:rPr>
    </w:lvl>
  </w:abstractNum>
  <w:abstractNum w:abstractNumId="1141291">
    <w:lvl>
      <w:start w:val="1"/>
      <w:numFmt w:val="lowerLetter"/>
      <w:suff w:val="tab"/>
      <w:lvlText w:val="%1."/>
      <w:rPr>
        <w:color w:val="3370ff"/>
      </w:rPr>
    </w:lvl>
  </w:abstractNum>
  <w:abstractNum w:abstractNumId="1141292">
    <w:lvl>
      <w:start w:val="2"/>
      <w:numFmt w:val="decimal"/>
      <w:suff w:val="tab"/>
      <w:lvlText w:val="%1."/>
      <w:rPr>
        <w:color w:val="3370ff"/>
      </w:rPr>
    </w:lvl>
  </w:abstractNum>
  <w:abstractNum w:abstractNumId="1141293">
    <w:lvl>
      <w:start w:val="1"/>
      <w:numFmt w:val="lowerLetter"/>
      <w:suff w:val="tab"/>
      <w:lvlText w:val="%1."/>
      <w:rPr>
        <w:color w:val="3370ff"/>
      </w:rPr>
    </w:lvl>
  </w:abstractNum>
  <w:abstractNum w:abstractNumId="1141294">
    <w:lvl>
      <w:start w:val="2"/>
      <w:numFmt w:val="lowerLetter"/>
      <w:suff w:val="tab"/>
      <w:lvlText w:val="%1."/>
      <w:rPr>
        <w:color w:val="3370ff"/>
      </w:rPr>
    </w:lvl>
  </w:abstractNum>
  <w:abstractNum w:abstractNumId="1141295">
    <w:lvl>
      <w:start w:val="3"/>
      <w:numFmt w:val="lowerLetter"/>
      <w:suff w:val="tab"/>
      <w:lvlText w:val="%1."/>
      <w:rPr>
        <w:color w:val="3370ff"/>
      </w:rPr>
    </w:lvl>
  </w:abstractNum>
  <w:abstractNum w:abstractNumId="1141296">
    <w:lvl>
      <w:start w:val="3"/>
      <w:numFmt w:val="decimal"/>
      <w:suff w:val="tab"/>
      <w:lvlText w:val="%1."/>
      <w:rPr>
        <w:color w:val="3370ff"/>
      </w:rPr>
    </w:lvl>
  </w:abstractNum>
  <w:abstractNum w:abstractNumId="1141297">
    <w:lvl>
      <w:start w:val="1"/>
      <w:numFmt w:val="lowerLetter"/>
      <w:suff w:val="tab"/>
      <w:lvlText w:val="%1."/>
      <w:rPr>
        <w:color w:val="3370ff"/>
      </w:rPr>
    </w:lvl>
  </w:abstractNum>
  <w:abstractNum w:abstractNumId="1141298">
    <w:lvl>
      <w:start w:val="2"/>
      <w:numFmt w:val="lowerLetter"/>
      <w:suff w:val="tab"/>
      <w:lvlText w:val="%1."/>
      <w:rPr>
        <w:color w:val="3370ff"/>
      </w:rPr>
    </w:lvl>
  </w:abstractNum>
  <w:abstractNum w:abstractNumId="1141299">
    <w:lvl>
      <w:start w:val="4"/>
      <w:numFmt w:val="decimal"/>
      <w:suff w:val="tab"/>
      <w:lvlText w:val="%1."/>
      <w:rPr>
        <w:color w:val="3370ff"/>
      </w:rPr>
    </w:lvl>
  </w:abstractNum>
  <w:abstractNum w:abstractNumId="1141300">
    <w:lvl>
      <w:start w:val="1"/>
      <w:numFmt w:val="lowerLetter"/>
      <w:suff w:val="tab"/>
      <w:lvlText w:val="%1."/>
      <w:rPr>
        <w:color w:val="3370ff"/>
      </w:rPr>
    </w:lvl>
  </w:abstractNum>
  <w:abstractNum w:abstractNumId="1141301">
    <w:lvl>
      <w:start w:val="2"/>
      <w:numFmt w:val="lowerLetter"/>
      <w:suff w:val="tab"/>
      <w:lvlText w:val="%1."/>
      <w:rPr>
        <w:color w:val="3370ff"/>
      </w:rPr>
    </w:lvl>
  </w:abstractNum>
  <w:abstractNum w:abstractNumId="1141302">
    <w:lvl>
      <w:start w:val="5"/>
      <w:numFmt w:val="decimal"/>
      <w:suff w:val="tab"/>
      <w:lvlText w:val="%1."/>
      <w:rPr>
        <w:color w:val="3370ff"/>
      </w:rPr>
    </w:lvl>
  </w:abstractNum>
  <w:abstractNum w:abstractNumId="1141303">
    <w:lvl>
      <w:start w:val="1"/>
      <w:numFmt w:val="lowerLetter"/>
      <w:suff w:val="tab"/>
      <w:lvlText w:val="%1."/>
      <w:rPr>
        <w:color w:val="3370ff"/>
      </w:rPr>
    </w:lvl>
  </w:abstractNum>
  <w:abstractNum w:abstractNumId="1141304">
    <w:lvl>
      <w:start w:val="6"/>
      <w:numFmt w:val="decimal"/>
      <w:suff w:val="tab"/>
      <w:lvlText w:val="%1."/>
      <w:rPr>
        <w:color w:val="3370ff"/>
      </w:rPr>
    </w:lvl>
  </w:abstractNum>
  <w:abstractNum w:abstractNumId="1141305">
    <w:lvl>
      <w:start w:val="1"/>
      <w:numFmt w:val="lowerLetter"/>
      <w:suff w:val="tab"/>
      <w:lvlText w:val="%1."/>
      <w:rPr>
        <w:color w:val="3370ff"/>
      </w:rPr>
    </w:lvl>
  </w:abstractNum>
  <w:abstractNum w:abstractNumId="1141306">
    <w:lvl>
      <w:start w:val="2"/>
      <w:numFmt w:val="lowerLetter"/>
      <w:suff w:val="tab"/>
      <w:lvlText w:val="%1."/>
      <w:rPr>
        <w:color w:val="3370ff"/>
      </w:rPr>
    </w:lvl>
  </w:abstractNum>
  <w:abstractNum w:abstractNumId="1141307">
    <w:lvl>
      <w:start w:val="3"/>
      <w:numFmt w:val="lowerLetter"/>
      <w:suff w:val="tab"/>
      <w:lvlText w:val="%1."/>
      <w:rPr>
        <w:color w:val="3370ff"/>
      </w:rPr>
    </w:lvl>
  </w:abstractNum>
  <w:abstractNum w:abstractNumId="1141308">
    <w:lvl>
      <w:start w:val="7"/>
      <w:numFmt w:val="decimal"/>
      <w:suff w:val="tab"/>
      <w:lvlText w:val="%1."/>
      <w:rPr>
        <w:color w:val="3370ff"/>
      </w:rPr>
    </w:lvl>
  </w:abstractNum>
  <w:abstractNum w:abstractNumId="1141309">
    <w:lvl>
      <w:start w:val="1"/>
      <w:numFmt w:val="lowerLetter"/>
      <w:suff w:val="tab"/>
      <w:lvlText w:val="%1."/>
      <w:rPr>
        <w:color w:val="3370ff"/>
      </w:rPr>
    </w:lvl>
  </w:abstractNum>
  <w:abstractNum w:abstractNumId="1141310">
    <w:lvl>
      <w:start w:val="2"/>
      <w:numFmt w:val="lowerLetter"/>
      <w:suff w:val="tab"/>
      <w:lvlText w:val="%1."/>
      <w:rPr>
        <w:color w:val="3370ff"/>
      </w:rPr>
    </w:lvl>
  </w:abstractNum>
  <w:abstractNum w:abstractNumId="1141311">
    <w:lvl>
      <w:start w:val="3"/>
      <w:numFmt w:val="lowerLetter"/>
      <w:suff w:val="tab"/>
      <w:lvlText w:val="%1."/>
      <w:rPr>
        <w:color w:val="3370ff"/>
      </w:rPr>
    </w:lvl>
  </w:abstractNum>
  <w:abstractNum w:abstractNumId="1141312">
    <w:lvl>
      <w:start w:val="4"/>
      <w:numFmt w:val="lowerLetter"/>
      <w:suff w:val="tab"/>
      <w:lvlText w:val="%1."/>
      <w:rPr>
        <w:color w:val="3370ff"/>
      </w:rPr>
    </w:lvl>
  </w:abstractNum>
  <w:abstractNum w:abstractNumId="1141313">
    <w:lvl>
      <w:start w:val="8"/>
      <w:numFmt w:val="decimal"/>
      <w:suff w:val="tab"/>
      <w:lvlText w:val="%1."/>
      <w:rPr>
        <w:color w:val="3370ff"/>
      </w:rPr>
    </w:lvl>
  </w:abstractNum>
  <w:abstractNum w:abstractNumId="1141314">
    <w:lvl>
      <w:start w:val="1"/>
      <w:numFmt w:val="lowerLetter"/>
      <w:suff w:val="tab"/>
      <w:lvlText w:val="%1."/>
      <w:rPr>
        <w:color w:val="3370ff"/>
      </w:rPr>
    </w:lvl>
  </w:abstractNum>
  <w:abstractNum w:abstractNumId="1141315">
    <w:lvl>
      <w:start w:val="1"/>
      <w:numFmt w:val="decimal"/>
      <w:suff w:val="tab"/>
      <w:lvlText w:val="%1."/>
      <w:rPr>
        <w:color w:val="3370ff"/>
      </w:rPr>
    </w:lvl>
  </w:abstractNum>
  <w:abstractNum w:abstractNumId="1141316">
    <w:lvl>
      <w:start w:val="2"/>
      <w:numFmt w:val="decimal"/>
      <w:suff w:val="tab"/>
      <w:lvlText w:val="%1."/>
      <w:rPr>
        <w:color w:val="3370ff"/>
      </w:rPr>
    </w:lvl>
  </w:abstractNum>
  <w:abstractNum w:abstractNumId="1141317">
    <w:lvl>
      <w:start w:val="3"/>
      <w:numFmt w:val="decimal"/>
      <w:suff w:val="tab"/>
      <w:lvlText w:val="%1."/>
      <w:rPr>
        <w:color w:val="3370ff"/>
      </w:rPr>
    </w:lvl>
  </w:abstractNum>
  <w:abstractNum w:abstractNumId="1141318">
    <w:lvl>
      <w:start w:val="4"/>
      <w:numFmt w:val="decimal"/>
      <w:suff w:val="tab"/>
      <w:lvlText w:val="%1."/>
      <w:rPr>
        <w:color w:val="3370ff"/>
      </w:rPr>
    </w:lvl>
  </w:abstractNum>
  <w:abstractNum w:abstractNumId="1141319">
    <w:lvl>
      <w:start w:val="5"/>
      <w:numFmt w:val="decimal"/>
      <w:suff w:val="tab"/>
      <w:lvlText w:val="%1."/>
      <w:rPr>
        <w:color w:val="3370ff"/>
      </w:rPr>
    </w:lvl>
  </w:abstractNum>
  <w:abstractNum w:abstractNumId="1141320">
    <w:lvl>
      <w:start w:val="6"/>
      <w:numFmt w:val="decimal"/>
      <w:suff w:val="tab"/>
      <w:lvlText w:val="%1."/>
      <w:rPr>
        <w:color w:val="3370ff"/>
      </w:rPr>
    </w:lvl>
  </w:abstractNum>
  <w:abstractNum w:abstractNumId="1141321">
    <w:lvl>
      <w:start w:val="7"/>
      <w:numFmt w:val="decimal"/>
      <w:suff w:val="tab"/>
      <w:lvlText w:val="%1."/>
      <w:rPr>
        <w:color w:val="3370ff"/>
      </w:rPr>
    </w:lvl>
  </w:abstractNum>
  <w:num w:numId="1">
    <w:abstractNumId w:val="1141290"/>
  </w:num>
  <w:num w:numId="2">
    <w:abstractNumId w:val="1141291"/>
  </w:num>
  <w:num w:numId="3">
    <w:abstractNumId w:val="1141292"/>
  </w:num>
  <w:num w:numId="4">
    <w:abstractNumId w:val="1141293"/>
  </w:num>
  <w:num w:numId="5">
    <w:abstractNumId w:val="1141294"/>
  </w:num>
  <w:num w:numId="6">
    <w:abstractNumId w:val="1141295"/>
  </w:num>
  <w:num w:numId="7">
    <w:abstractNumId w:val="1141296"/>
  </w:num>
  <w:num w:numId="8">
    <w:abstractNumId w:val="1141297"/>
  </w:num>
  <w:num w:numId="9">
    <w:abstractNumId w:val="1141298"/>
  </w:num>
  <w:num w:numId="10">
    <w:abstractNumId w:val="1141299"/>
  </w:num>
  <w:num w:numId="11">
    <w:abstractNumId w:val="1141300"/>
  </w:num>
  <w:num w:numId="12">
    <w:abstractNumId w:val="1141301"/>
  </w:num>
  <w:num w:numId="13">
    <w:abstractNumId w:val="1141302"/>
  </w:num>
  <w:num w:numId="14">
    <w:abstractNumId w:val="1141303"/>
  </w:num>
  <w:num w:numId="15">
    <w:abstractNumId w:val="1141304"/>
  </w:num>
  <w:num w:numId="16">
    <w:abstractNumId w:val="1141305"/>
  </w:num>
  <w:num w:numId="17">
    <w:abstractNumId w:val="1141306"/>
  </w:num>
  <w:num w:numId="18">
    <w:abstractNumId w:val="1141307"/>
  </w:num>
  <w:num w:numId="19">
    <w:abstractNumId w:val="1141308"/>
  </w:num>
  <w:num w:numId="20">
    <w:abstractNumId w:val="1141309"/>
  </w:num>
  <w:num w:numId="21">
    <w:abstractNumId w:val="1141310"/>
  </w:num>
  <w:num w:numId="22">
    <w:abstractNumId w:val="1141311"/>
  </w:num>
  <w:num w:numId="23">
    <w:abstractNumId w:val="1141312"/>
  </w:num>
  <w:num w:numId="24">
    <w:abstractNumId w:val="1141313"/>
  </w:num>
  <w:num w:numId="25">
    <w:abstractNumId w:val="1141314"/>
  </w:num>
  <w:num w:numId="26">
    <w:abstractNumId w:val="1141315"/>
  </w:num>
  <w:num w:numId="27">
    <w:abstractNumId w:val="1141316"/>
  </w:num>
  <w:num w:numId="28">
    <w:abstractNumId w:val="1141317"/>
  </w:num>
  <w:num w:numId="29">
    <w:abstractNumId w:val="1141318"/>
  </w:num>
  <w:num w:numId="30">
    <w:abstractNumId w:val="1141319"/>
  </w:num>
  <w:num w:numId="31">
    <w:abstractNumId w:val="1141320"/>
  </w:num>
  <w:num w:numId="32">
    <w:abstractNumId w:val="11413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2025-12-10T07:41:15Z</dcterms:created>
  <dc:creator>Apache POI</dc:creator>
</cp:coreProperties>
</file>