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V1112-2025-广告发布合同全媒体-人民币-广告发布费</w:t>
      </w:r>
    </w:p>
    <w:p>
      <w:pPr>
        <w:spacing w:before="120" w:after="120" w:line="288" w:lineRule="auto"/>
        <w:ind w:left="0" w:firstLine="0"/>
        <w:jc w:val="center"/>
      </w:pPr>
      <w:r>
        <w:rPr>
          <w:rFonts w:eastAsia="等线" w:ascii="Arial" w:cs="Arial" w:hAnsi="Arial"/>
          <w:b w:val="true"/>
          <w:sz w:val="22"/>
        </w:rPr>
        <w:t xml:space="preserve"> 广告发布合同</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甲方为提高甲方或甲方客户的品牌及业务的认知度和美誉度，特此委托乙方为其在广告发布媒体平台（“媒体”）上提供广告发布服务，并为此达成本合同，以资双方共同遵守。</w:t>
      </w:r>
    </w:p>
    <w:p>
      <w:pPr>
        <w:spacing w:before="120" w:after="120" w:line="288" w:lineRule="auto"/>
        <w:ind w:left="0" w:firstLine="0"/>
        <w:jc w:val="left"/>
      </w:pPr>
    </w:p>
    <w:p>
      <w:pPr>
        <w:pStyle w:val="1"/>
        <w:spacing w:before="380" w:after="140" w:line="288" w:lineRule="auto"/>
        <w:ind w:left="453"/>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广告发布要求：</w:t>
      </w:r>
      <w:bookmarkEnd w:id="0"/>
    </w:p>
    <w:p>
      <w:pPr>
        <w:numPr>
          <w:numId w:val="1"/>
        </w:numPr>
        <w:spacing w:before="120" w:after="120" w:line="288" w:lineRule="auto"/>
        <w:ind w:left="453"/>
        <w:jc w:val="left"/>
      </w:pPr>
      <w:r>
        <w:rPr>
          <w:rFonts w:eastAsia="等线" w:ascii="Arial" w:cs="Arial" w:hAnsi="Arial"/>
          <w:sz w:val="22"/>
        </w:rPr>
        <w:t>广告发布形式：乙方为甲方提供媒体平台开户、充值、代为投放（如有）等事宜。具体以合作媒体所提供的广告内容发布形式为准，实际合作细节与流程以乙方书面告知为准。</w:t>
      </w:r>
    </w:p>
    <w:p>
      <w:pPr>
        <w:numPr>
          <w:numId w:val="2"/>
        </w:numPr>
        <w:spacing w:before="120" w:after="120" w:line="288" w:lineRule="auto"/>
        <w:ind w:left="453"/>
        <w:jc w:val="left"/>
      </w:pPr>
      <w:r>
        <w:rPr>
          <w:rFonts w:eastAsia="等线" w:ascii="Arial" w:cs="Arial" w:hAnsi="Arial"/>
          <w:sz w:val="22"/>
        </w:rPr>
        <w:t>合作期限：自 2025 年      月     日 至 2028 年       月       日</w:t>
      </w:r>
    </w:p>
    <w:p>
      <w:pPr>
        <w:numPr>
          <w:numId w:val="3"/>
        </w:numPr>
        <w:spacing w:before="120" w:after="120" w:line="288" w:lineRule="auto"/>
        <w:ind w:left="453"/>
        <w:jc w:val="left"/>
      </w:pPr>
      <w:r>
        <w:rPr>
          <w:rFonts w:eastAsia="等线" w:ascii="Arial" w:cs="Arial" w:hAnsi="Arial"/>
          <w:sz w:val="22"/>
        </w:rPr>
        <w:t>具体投放媒体、账期、商务政策等以双方签署的《广告发布合同政策》以及相关的补充协议为准。</w:t>
      </w:r>
    </w:p>
    <w:p>
      <w:pPr>
        <w:numPr>
          <w:numId w:val="4"/>
        </w:numPr>
        <w:spacing w:before="120" w:after="120" w:line="288" w:lineRule="auto"/>
        <w:ind w:left="453"/>
        <w:jc w:val="left"/>
      </w:pPr>
      <w:r>
        <w:rPr>
          <w:rFonts w:eastAsia="等线" w:ascii="Arial" w:cs="Arial" w:hAnsi="Arial"/>
          <w:sz w:val="22"/>
        </w:rPr>
        <w:t>合作过程中的合作内容（包括但不限于账单、特殊定制等），双方可通过本合同第三条中约定的以及补充协议约定的双方指定项目联系人以书面形式进行确认。</w:t>
      </w:r>
    </w:p>
    <w:p>
      <w:pPr>
        <w:spacing w:before="120" w:after="120" w:line="288" w:lineRule="auto"/>
        <w:ind w:left="0" w:firstLine="0"/>
        <w:jc w:val="left"/>
      </w:pPr>
    </w:p>
    <w:p>
      <w:pPr>
        <w:pStyle w:val="1"/>
        <w:spacing w:before="380" w:after="140" w:line="288" w:lineRule="auto"/>
        <w:ind w:left="453"/>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双方的账户信息如下：</w:t>
      </w:r>
      <w:bookmarkEnd w:id="1"/>
    </w:p>
    <w:p>
      <w:pPr>
        <w:numPr>
          <w:numId w:val="5"/>
        </w:numPr>
        <w:spacing w:before="120" w:after="120" w:line="288" w:lineRule="auto"/>
        <w:ind w:left="453"/>
        <w:jc w:val="left"/>
      </w:pPr>
      <w:r>
        <w:rPr>
          <w:rFonts w:eastAsia="等线" w:ascii="Arial" w:cs="Arial" w:hAnsi="Arial"/>
          <w:sz w:val="22"/>
          <w:u w:val="single"/>
        </w:rPr>
        <w:t>甲方账户信息：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 xml:space="preserve">银行地址： </w:t>
      </w:r>
    </w:p>
    <w:p>
      <w:pPr>
        <w:numPr>
          <w:numId w:val="6"/>
        </w:numPr>
        <w:spacing w:before="120" w:after="120" w:line="288" w:lineRule="auto"/>
        <w:ind w:left="453"/>
        <w:jc w:val="left"/>
      </w:pPr>
      <w:r>
        <w:rPr>
          <w:rFonts w:eastAsia="等线" w:ascii="Arial" w:cs="Arial" w:hAnsi="Arial"/>
          <w:sz w:val="22"/>
          <w:u w:val="single"/>
        </w:rPr>
        <w:t>乙方账户信息：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 xml:space="preserve">账  号： </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Swift Code：</w:t>
      </w:r>
    </w:p>
    <w:p>
      <w:pPr>
        <w:spacing w:before="120" w:after="120" w:line="288" w:lineRule="auto"/>
        <w:ind w:left="0" w:firstLine="420"/>
        <w:jc w:val="left"/>
      </w:pPr>
      <w:r>
        <w:rPr>
          <w:rFonts w:eastAsia="等线" w:ascii="Arial" w:cs="Arial" w:hAnsi="Arial"/>
          <w:sz w:val="22"/>
        </w:rPr>
        <w:t>银行地址：</w:t>
      </w:r>
    </w:p>
    <w:p>
      <w:pPr>
        <w:pStyle w:val="1"/>
        <w:spacing w:before="380" w:after="140" w:line="288" w:lineRule="auto"/>
        <w:ind w:left="453"/>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双方项目联系人：</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65"/>
        <w:gridCol w:w="4215"/>
      </w:tblGrid>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甲方项目联系人姓名</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乙方项目联系人姓名</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numPr>
          <w:numId w:val="7"/>
        </w:numPr>
        <w:spacing w:before="120" w:after="120" w:line="288" w:lineRule="auto"/>
        <w:ind w:left="0"/>
        <w:jc w:val="left"/>
      </w:pPr>
    </w:p>
    <w:p>
      <w:pPr>
        <w:numPr>
          <w:numId w:val="8"/>
        </w:numPr>
        <w:spacing w:before="120" w:after="120" w:line="288" w:lineRule="auto"/>
        <w:ind w:left="0"/>
        <w:jc w:val="left"/>
      </w:pPr>
    </w:p>
    <w:p>
      <w:pPr>
        <w:numPr>
          <w:numId w:val="9"/>
        </w:numPr>
        <w:spacing w:before="120" w:after="120" w:line="288" w:lineRule="auto"/>
        <w:ind w:left="0"/>
        <w:jc w:val="left"/>
      </w:pPr>
    </w:p>
    <w:p>
      <w:pPr>
        <w:numPr>
          <w:numId w:val="10"/>
        </w:numPr>
        <w:spacing w:before="120" w:after="120" w:line="288" w:lineRule="auto"/>
        <w:ind w:left="453"/>
        <w:jc w:val="left"/>
      </w:pPr>
      <w:r>
        <w:rPr>
          <w:rFonts w:eastAsia="等线" w:ascii="Arial" w:cs="Arial" w:hAnsi="Arial"/>
          <w:sz w:val="22"/>
        </w:rPr>
        <w:t>本条约定的通知地址以及补充协议约定的亦为双方工作联系往来、法律文书及争议解决时人民法院和/或仲裁机构的法律文书送达地址，人民法院和/或仲裁机构的诉讼文书（含裁判文书）向合同任何一方当事人的上述地址和/或工商登记公示地址（居民身份证登记地址）送达的，视为有效送达。当事人对电子通信终端的联系送达适用于争议解决时的送达。</w:t>
      </w:r>
    </w:p>
    <w:p>
      <w:pPr>
        <w:numPr>
          <w:numId w:val="11"/>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微信/QQ/电子邮件，自前述电子文件内容在发送方正确填写地址且未被系统退回的情况下，视为进入对方数据电文接收系统即视为送达。若送达日为非工作日, 则视为在下一工作日送达。</w:t>
      </w:r>
    </w:p>
    <w:p>
      <w:pPr>
        <w:numPr>
          <w:numId w:val="12"/>
        </w:numPr>
        <w:spacing w:before="120" w:after="120" w:line="288" w:lineRule="auto"/>
        <w:ind w:left="453"/>
        <w:jc w:val="left"/>
      </w:pPr>
      <w:r>
        <w:rPr>
          <w:rFonts w:eastAsia="等线" w:ascii="Arial" w:cs="Arial" w:hAnsi="Arial"/>
          <w:sz w:val="22"/>
        </w:rPr>
        <w:t>本合同所列的双方联系人以及甲方后缀为【 】的邮箱、乙方后缀为【@the-tomato.com】的邮箱均为甲乙方确认的有权分别代表甲乙方发送、或确认与本合同以及与本合同执行过程中相关的文件和信息的有效联系人及有效邮箱。包括但不限于订单、确认件、结算及确认付款的材料以及与业务相关的任何电子邮件等。</w:t>
      </w:r>
    </w:p>
    <w:p>
      <w:pPr>
        <w:spacing w:before="120" w:after="120" w:line="288" w:lineRule="auto"/>
        <w:ind w:left="0" w:firstLine="0"/>
        <w:jc w:val="left"/>
      </w:pPr>
    </w:p>
    <w:p>
      <w:pPr>
        <w:pStyle w:val="1"/>
        <w:spacing w:before="380" w:after="140" w:line="288" w:lineRule="auto"/>
        <w:ind w:left="453"/>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生效及其他</w:t>
      </w:r>
      <w:bookmarkEnd w:id="3"/>
    </w:p>
    <w:p>
      <w:pPr>
        <w:numPr>
          <w:numId w:val="13"/>
        </w:numPr>
        <w:spacing w:before="120" w:after="120" w:line="288" w:lineRule="auto"/>
        <w:ind w:left="0"/>
        <w:jc w:val="left"/>
      </w:pPr>
    </w:p>
    <w:p>
      <w:pPr>
        <w:numPr>
          <w:numId w:val="14"/>
        </w:numPr>
        <w:spacing w:before="120" w:after="120" w:line="288" w:lineRule="auto"/>
        <w:ind w:left="453"/>
        <w:jc w:val="left"/>
      </w:pPr>
      <w:r>
        <w:rPr>
          <w:rFonts w:eastAsia="等线" w:ascii="Arial" w:cs="Arial" w:hAnsi="Arial"/>
          <w:sz w:val="22"/>
        </w:rPr>
        <w:t>《广告发布合同条款》、《广告发布合同政策》是本合同的组成部分，与本合同具有同等法律效力。</w:t>
      </w:r>
    </w:p>
    <w:p>
      <w:pPr>
        <w:numPr>
          <w:numId w:val="15"/>
        </w:numPr>
        <w:spacing w:before="120" w:after="120" w:line="288" w:lineRule="auto"/>
        <w:ind w:left="453"/>
        <w:jc w:val="left"/>
      </w:pPr>
      <w:r>
        <w:rPr>
          <w:rFonts w:eastAsia="等线" w:ascii="Arial" w:cs="Arial" w:hAnsi="Arial"/>
          <w:sz w:val="22"/>
        </w:rPr>
        <w:t>本合同自双方盖章之日起生效。本合同壹式贰份，双方各执壹份。具有等同的法律效力。</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b w:val="true"/>
          <w:sz w:val="22"/>
        </w:rPr>
        <w:t>广告发布合同条款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pStyle w:val="1"/>
        <w:spacing w:before="380" w:after="140" w:line="288" w:lineRule="auto"/>
        <w:ind w:left="453"/>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定义与解释</w:t>
      </w:r>
      <w:bookmarkEnd w:id="4"/>
    </w:p>
    <w:p>
      <w:pPr>
        <w:spacing w:before="120" w:after="120" w:line="288" w:lineRule="auto"/>
        <w:ind w:left="0" w:firstLine="420"/>
        <w:jc w:val="left"/>
      </w:pPr>
      <w:r>
        <w:rPr>
          <w:rFonts w:eastAsia="等线" w:ascii="Arial" w:cs="Arial" w:hAnsi="Arial"/>
          <w:sz w:val="22"/>
        </w:rPr>
        <w:t>除非本合同中另有定义，下列可能出现在本合同的词语均应具有以下特定涵义：</w:t>
      </w:r>
    </w:p>
    <w:p>
      <w:pPr>
        <w:numPr>
          <w:numId w:val="16"/>
        </w:numPr>
        <w:spacing w:before="120" w:after="120" w:line="288" w:lineRule="auto"/>
        <w:ind w:left="453"/>
        <w:jc w:val="left"/>
      </w:pPr>
      <w:r>
        <w:rPr>
          <w:rFonts w:eastAsia="等线" w:ascii="Arial" w:cs="Arial" w:hAnsi="Arial"/>
          <w:sz w:val="22"/>
        </w:rPr>
        <w:t>CPM：Cost Per Mille，每千次展示成本，即所发布的广告每一千次在网络用户前展现所对应的价格。</w:t>
      </w:r>
    </w:p>
    <w:p>
      <w:pPr>
        <w:numPr>
          <w:numId w:val="17"/>
        </w:numPr>
        <w:spacing w:before="120" w:after="120" w:line="288" w:lineRule="auto"/>
        <w:ind w:left="453"/>
        <w:jc w:val="left"/>
      </w:pPr>
      <w:r>
        <w:rPr>
          <w:rFonts w:eastAsia="等线" w:ascii="Arial" w:cs="Arial" w:hAnsi="Arial"/>
          <w:sz w:val="22"/>
        </w:rPr>
        <w:t>CPA：Cost Per Action，每次行动成本，即所发布的广告每一次获得网络用户以特定形式回应的价格。</w:t>
      </w:r>
    </w:p>
    <w:p>
      <w:pPr>
        <w:numPr>
          <w:numId w:val="18"/>
        </w:numPr>
        <w:spacing w:before="120" w:after="120" w:line="288" w:lineRule="auto"/>
        <w:ind w:left="453"/>
        <w:jc w:val="left"/>
      </w:pPr>
      <w:r>
        <w:rPr>
          <w:rFonts w:eastAsia="等线" w:ascii="Arial" w:cs="Arial" w:hAnsi="Arial"/>
          <w:sz w:val="22"/>
        </w:rPr>
        <w:t>CPL: Cost Per Leads，每次网络用户通过特定链接，进入相关平台注册成功后的价格。</w:t>
      </w:r>
    </w:p>
    <w:p>
      <w:pPr>
        <w:numPr>
          <w:numId w:val="19"/>
        </w:numPr>
        <w:spacing w:before="120" w:after="120" w:line="288" w:lineRule="auto"/>
        <w:ind w:left="453"/>
        <w:jc w:val="left"/>
      </w:pPr>
      <w:r>
        <w:rPr>
          <w:rFonts w:eastAsia="等线" w:ascii="Arial" w:cs="Arial" w:hAnsi="Arial"/>
          <w:sz w:val="22"/>
        </w:rPr>
        <w:t>CPC：Cost Per Click，每次网络用户点击特定广告栏目或广告链接的价格。</w:t>
      </w:r>
    </w:p>
    <w:p>
      <w:pPr>
        <w:pStyle w:val="2"/>
        <w:spacing w:before="320" w:after="120" w:line="288" w:lineRule="auto"/>
        <w:ind w:left="453"/>
        <w:jc w:val="left"/>
        <w:outlineLvl w:val="1"/>
      </w:pPr>
      <w:bookmarkStart w:name="heading_5" w:id="5"/>
      <w:r>
        <w:rPr>
          <w:rFonts w:eastAsia="等线" w:ascii="Arial" w:cs="Arial" w:hAnsi="Arial"/>
          <w:color w:val="3370ff"/>
          <w:sz w:val="32"/>
        </w:rPr>
        <w:t xml:space="preserve">5.1 </w:t>
      </w:r>
      <w:r>
        <w:rPr>
          <w:rFonts w:eastAsia="等线" w:ascii="Arial" w:cs="Arial" w:hAnsi="Arial"/>
          <w:b w:val="true"/>
          <w:sz w:val="32"/>
        </w:rPr>
        <w:t>PV值：Page View，即页面被浏览的次数。</w:t>
      </w:r>
      <w:bookmarkEnd w:id="5"/>
    </w:p>
    <w:p>
      <w:pPr>
        <w:numPr>
          <w:numId w:val="20"/>
        </w:numPr>
        <w:spacing w:before="120" w:after="120" w:line="288" w:lineRule="auto"/>
        <w:ind w:left="453"/>
        <w:jc w:val="left"/>
      </w:pPr>
      <w:r>
        <w:rPr>
          <w:rFonts w:eastAsia="等线" w:ascii="Arial" w:cs="Arial" w:hAnsi="Arial"/>
          <w:sz w:val="22"/>
        </w:rPr>
        <w:t>CPT：Cost Per Time，每次网络广告展示价格。</w:t>
      </w:r>
    </w:p>
    <w:p>
      <w:pPr>
        <w:numPr>
          <w:numId w:val="21"/>
        </w:numPr>
        <w:spacing w:before="120" w:after="120" w:line="288" w:lineRule="auto"/>
        <w:ind w:left="453"/>
        <w:jc w:val="left"/>
      </w:pPr>
      <w:r>
        <w:rPr>
          <w:rFonts w:eastAsia="等线" w:ascii="Arial" w:cs="Arial" w:hAnsi="Arial"/>
          <w:sz w:val="22"/>
        </w:rPr>
        <w:t>CPI：Cost Per Install，每次安装成本。</w:t>
      </w:r>
    </w:p>
    <w:p>
      <w:pPr>
        <w:numPr>
          <w:numId w:val="22"/>
        </w:numPr>
        <w:spacing w:before="120" w:after="120" w:line="288" w:lineRule="auto"/>
        <w:ind w:left="453"/>
        <w:jc w:val="left"/>
      </w:pPr>
      <w:r>
        <w:rPr>
          <w:rFonts w:eastAsia="等线" w:ascii="Arial" w:cs="Arial" w:hAnsi="Arial"/>
          <w:sz w:val="22"/>
        </w:rPr>
        <w:t>广告/软件推送：乙方将甲方指定的广告内容/软件主动推送到网络客户端平台的显示页面上并加以显示，以引导网络用户使用该软件。</w:t>
      </w:r>
    </w:p>
    <w:p>
      <w:pPr>
        <w:pStyle w:val="2"/>
        <w:spacing w:before="320" w:after="120" w:line="288" w:lineRule="auto"/>
        <w:ind w:left="453"/>
        <w:jc w:val="left"/>
        <w:outlineLvl w:val="1"/>
      </w:pPr>
      <w:bookmarkStart w:name="heading_6" w:id="6"/>
      <w:r>
        <w:rPr>
          <w:rFonts w:eastAsia="等线" w:ascii="Arial" w:cs="Arial" w:hAnsi="Arial"/>
          <w:color w:val="3370ff"/>
          <w:sz w:val="32"/>
        </w:rPr>
        <w:t xml:space="preserve">5.2 </w:t>
      </w:r>
      <w:r>
        <w:rPr>
          <w:rFonts w:eastAsia="等线" w:ascii="Arial" w:cs="Arial" w:hAnsi="Arial"/>
          <w:b w:val="true"/>
          <w:sz w:val="32"/>
        </w:rPr>
        <w:t>发布平台：指提供网络广告发布的媒体平台。</w:t>
      </w:r>
      <w:bookmarkEnd w:id="6"/>
    </w:p>
    <w:p>
      <w:pPr>
        <w:numPr>
          <w:numId w:val="23"/>
        </w:numPr>
        <w:spacing w:before="120" w:after="120" w:line="288" w:lineRule="auto"/>
        <w:ind w:left="453"/>
        <w:jc w:val="left"/>
      </w:pPr>
      <w:r>
        <w:rPr>
          <w:rFonts w:eastAsia="等线" w:ascii="Arial" w:cs="Arial" w:hAnsi="Arial"/>
          <w:sz w:val="22"/>
        </w:rPr>
        <w:t>效果类广告：在以效果为基础的广告系统中，只需要为可衡量的结果而付费的广告类型。</w:t>
      </w:r>
    </w:p>
    <w:p>
      <w:pPr>
        <w:numPr>
          <w:numId w:val="24"/>
        </w:numPr>
        <w:spacing w:before="120" w:after="120" w:line="288" w:lineRule="auto"/>
        <w:ind w:left="453"/>
        <w:jc w:val="left"/>
      </w:pPr>
      <w:r>
        <w:rPr>
          <w:rFonts w:eastAsia="等线" w:ascii="Arial" w:cs="Arial" w:hAnsi="Arial"/>
          <w:sz w:val="22"/>
        </w:rPr>
        <w:t>品牌类广告：以树立品牌形象，提高品牌的市场占有率为直接目的，突出传播品牌在消费者心目中确定的位置的一种广告类型。</w:t>
      </w:r>
    </w:p>
    <w:p>
      <w:pPr>
        <w:spacing w:before="120" w:after="120" w:line="288" w:lineRule="auto"/>
        <w:ind w:left="0" w:firstLine="0"/>
        <w:jc w:val="left"/>
      </w:pPr>
    </w:p>
    <w:p>
      <w:pPr>
        <w:pStyle w:val="1"/>
        <w:spacing w:before="380" w:after="140" w:line="288" w:lineRule="auto"/>
        <w:ind w:left="453"/>
        <w:jc w:val="left"/>
        <w:outlineLvl w:val="0"/>
      </w:pPr>
      <w:bookmarkStart w:name="heading_7" w:id="7"/>
      <w:r>
        <w:rPr>
          <w:rFonts w:eastAsia="等线" w:ascii="Arial" w:cs="Arial" w:hAnsi="Arial"/>
          <w:color w:val="3370ff"/>
          <w:sz w:val="36"/>
        </w:rPr>
        <w:t xml:space="preserve">6. </w:t>
      </w:r>
      <w:r>
        <w:rPr>
          <w:rFonts w:eastAsia="等线" w:ascii="Arial" w:cs="Arial" w:hAnsi="Arial"/>
          <w:b w:val="true"/>
          <w:sz w:val="36"/>
        </w:rPr>
        <w:t>协议结构</w:t>
      </w:r>
      <w:bookmarkEnd w:id="7"/>
    </w:p>
    <w:p>
      <w:pPr>
        <w:numPr>
          <w:numId w:val="25"/>
        </w:numPr>
        <w:spacing w:before="120" w:after="120" w:line="288" w:lineRule="auto"/>
        <w:ind w:left="0"/>
        <w:jc w:val="left"/>
      </w:pPr>
    </w:p>
    <w:p>
      <w:pPr>
        <w:numPr>
          <w:numId w:val="26"/>
        </w:numPr>
        <w:spacing w:before="120" w:after="120" w:line="288" w:lineRule="auto"/>
        <w:ind w:left="0"/>
        <w:jc w:val="left"/>
      </w:pPr>
    </w:p>
    <w:p>
      <w:pPr>
        <w:numPr>
          <w:numId w:val="27"/>
        </w:numPr>
        <w:spacing w:before="120" w:after="120" w:line="288" w:lineRule="auto"/>
        <w:ind w:left="453"/>
        <w:jc w:val="left"/>
      </w:pPr>
      <w:r>
        <w:rPr>
          <w:rFonts w:eastAsia="等线" w:ascii="Arial" w:cs="Arial" w:hAnsi="Arial"/>
          <w:sz w:val="22"/>
        </w:rPr>
        <w:t>《广告发布合同》，《广告发布合同条款》、《广告发布合同政策》、双方签署或通过合同约定的双方指定的有效联系人电子邮件确认的制定的任何补充附件、通知文件、有效联系人沟通邮件等，共同构成双方就合作事宜达成的完整协议。</w:t>
      </w:r>
    </w:p>
    <w:p>
      <w:pPr>
        <w:spacing w:before="120" w:after="120" w:line="288" w:lineRule="auto"/>
        <w:ind w:left="0" w:firstLine="0"/>
        <w:jc w:val="left"/>
      </w:pPr>
    </w:p>
    <w:p>
      <w:pPr>
        <w:pStyle w:val="1"/>
        <w:spacing w:before="380" w:after="140" w:line="288" w:lineRule="auto"/>
        <w:ind w:left="453"/>
        <w:jc w:val="left"/>
        <w:outlineLvl w:val="0"/>
      </w:pPr>
      <w:bookmarkStart w:name="heading_8" w:id="8"/>
      <w:r>
        <w:rPr>
          <w:rFonts w:eastAsia="等线" w:ascii="Arial" w:cs="Arial" w:hAnsi="Arial"/>
          <w:color w:val="3370ff"/>
          <w:sz w:val="36"/>
        </w:rPr>
        <w:t xml:space="preserve">7. </w:t>
      </w:r>
      <w:r>
        <w:rPr>
          <w:rFonts w:eastAsia="等线" w:ascii="Arial" w:cs="Arial" w:hAnsi="Arial"/>
          <w:b w:val="true"/>
          <w:sz w:val="36"/>
        </w:rPr>
        <w:t>统计数据</w:t>
      </w:r>
      <w:bookmarkEnd w:id="8"/>
    </w:p>
    <w:p>
      <w:pPr>
        <w:spacing w:before="120" w:after="120" w:line="288" w:lineRule="auto"/>
        <w:ind w:left="0" w:firstLine="0"/>
        <w:jc w:val="left"/>
      </w:pPr>
      <w:r>
        <w:rPr>
          <w:rFonts w:eastAsia="等线" w:ascii="Arial" w:cs="Arial" w:hAnsi="Arial"/>
          <w:sz w:val="22"/>
        </w:rPr>
        <w:t>3.1. 双方广告投放统计结算数据以广告发布媒体平台（“媒体”）的统计数据为准。</w:t>
      </w:r>
    </w:p>
    <w:p>
      <w:pPr>
        <w:pStyle w:val="1"/>
        <w:spacing w:before="380" w:after="140" w:line="288" w:lineRule="auto"/>
        <w:ind w:left="0"/>
        <w:jc w:val="left"/>
        <w:outlineLvl w:val="0"/>
      </w:pPr>
      <w:bookmarkStart w:name="heading_9" w:id="9"/>
      <w:bookmarkEnd w:id="9"/>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8. </w:t>
      </w:r>
      <w:r>
        <w:rPr>
          <w:rFonts w:eastAsia="等线" w:ascii="Arial" w:cs="Arial" w:hAnsi="Arial"/>
          <w:b w:val="true"/>
          <w:sz w:val="36"/>
        </w:rPr>
        <w:t>投放方式</w:t>
      </w:r>
      <w:bookmarkEnd w:id="10"/>
    </w:p>
    <w:p>
      <w:pPr>
        <w:pStyle w:val="2"/>
        <w:spacing w:before="320" w:after="120" w:line="288" w:lineRule="auto"/>
        <w:ind w:left="453"/>
        <w:jc w:val="left"/>
        <w:outlineLvl w:val="1"/>
      </w:pPr>
      <w:bookmarkStart w:name="heading_11" w:id="11"/>
      <w:r>
        <w:rPr>
          <w:rFonts w:eastAsia="等线" w:ascii="Arial" w:cs="Arial" w:hAnsi="Arial"/>
          <w:color w:val="3370ff"/>
          <w:sz w:val="32"/>
        </w:rPr>
        <w:t xml:space="preserve">8.1 </w:t>
      </w:r>
      <w:r>
        <w:rPr>
          <w:rFonts w:eastAsia="等线" w:ascii="Arial" w:cs="Arial" w:hAnsi="Arial"/>
          <w:b w:val="true"/>
          <w:sz w:val="32"/>
        </w:rPr>
        <w:t>本合同项下的广告投放方式包括“自投”与“代投”两种模式，具体定义如下：</w:t>
      </w:r>
      <w:bookmarkEnd w:id="11"/>
    </w:p>
    <w:p>
      <w:pPr>
        <w:pStyle w:val="2"/>
        <w:spacing w:before="320" w:after="120" w:line="288" w:lineRule="auto"/>
        <w:ind w:left="453"/>
        <w:jc w:val="left"/>
        <w:outlineLvl w:val="1"/>
      </w:pPr>
      <w:bookmarkStart w:name="heading_12" w:id="12"/>
      <w:r>
        <w:rPr>
          <w:rFonts w:eastAsia="等线" w:ascii="Arial" w:cs="Arial" w:hAnsi="Arial"/>
          <w:color w:val="3370ff"/>
          <w:sz w:val="32"/>
        </w:rPr>
        <w:t xml:space="preserve">8.2 </w:t>
      </w:r>
      <w:r>
        <w:rPr>
          <w:rFonts w:eastAsia="等线" w:ascii="Arial" w:cs="Arial" w:hAnsi="Arial"/>
          <w:b w:val="true"/>
          <w:sz w:val="32"/>
        </w:rPr>
        <w:t>自投：指甲方自行在媒体平台的广告账户中进行广告投放操作，包含但不限于账户运营、素材上传、策略设定、投放管理及数据分析等行为。</w:t>
      </w:r>
      <w:bookmarkEnd w:id="12"/>
    </w:p>
    <w:p>
      <w:pPr>
        <w:pStyle w:val="2"/>
        <w:spacing w:before="320" w:after="120" w:line="288" w:lineRule="auto"/>
        <w:ind w:left="453"/>
        <w:jc w:val="left"/>
        <w:outlineLvl w:val="1"/>
      </w:pPr>
      <w:bookmarkStart w:name="heading_13" w:id="13"/>
      <w:r>
        <w:rPr>
          <w:rFonts w:eastAsia="等线" w:ascii="Arial" w:cs="Arial" w:hAnsi="Arial"/>
          <w:color w:val="3370ff"/>
          <w:sz w:val="32"/>
        </w:rPr>
        <w:t xml:space="preserve">8.3 </w:t>
      </w:r>
      <w:r>
        <w:rPr>
          <w:rFonts w:eastAsia="等线" w:ascii="Arial" w:cs="Arial" w:hAnsi="Arial"/>
          <w:b w:val="true"/>
          <w:sz w:val="32"/>
        </w:rPr>
        <w:t>代投：指甲方委托乙方代为在媒体平台的广告账户中进行广告投放操作，由乙方承担日常投放管理、账户维护、素材投放、效果优化等工作。</w:t>
      </w:r>
      <w:bookmarkEnd w:id="13"/>
    </w:p>
    <w:p>
      <w:pPr>
        <w:pStyle w:val="2"/>
        <w:spacing w:before="320" w:after="120" w:line="288" w:lineRule="auto"/>
        <w:ind w:left="453"/>
        <w:jc w:val="left"/>
        <w:outlineLvl w:val="1"/>
      </w:pPr>
      <w:bookmarkStart w:name="heading_14" w:id="14"/>
      <w:r>
        <w:rPr>
          <w:rFonts w:eastAsia="等线" w:ascii="Arial" w:cs="Arial" w:hAnsi="Arial"/>
          <w:color w:val="3370ff"/>
          <w:sz w:val="32"/>
        </w:rPr>
        <w:t xml:space="preserve">8.4 </w:t>
      </w:r>
      <w:r>
        <w:rPr>
          <w:rFonts w:eastAsia="等线" w:ascii="Arial" w:cs="Arial" w:hAnsi="Arial"/>
          <w:b w:val="true"/>
          <w:sz w:val="32"/>
        </w:rPr>
        <w:t>各媒体平台对应的投放模式如下：</w:t>
      </w:r>
      <w:bookmarkEnd w:id="14"/>
    </w:p>
    <w:p>
      <w:pPr>
        <w:pStyle w:val="2"/>
        <w:spacing w:before="320" w:after="120" w:line="288" w:lineRule="auto"/>
        <w:ind w:left="453"/>
        <w:jc w:val="left"/>
        <w:outlineLvl w:val="1"/>
      </w:pPr>
      <w:bookmarkStart w:name="heading_15" w:id="15"/>
      <w:r>
        <w:rPr>
          <w:rFonts w:eastAsia="等线" w:ascii="Arial" w:cs="Arial" w:hAnsi="Arial"/>
          <w:color w:val="3370ff"/>
          <w:sz w:val="32"/>
        </w:rPr>
        <w:t xml:space="preserve">8.5 </w:t>
      </w:r>
      <w:r>
        <w:rPr>
          <w:rFonts w:eastAsia="等线" w:ascii="Arial" w:cs="Arial" w:hAnsi="Arial"/>
          <w:b w:val="true"/>
          <w:sz w:val="32"/>
        </w:rPr>
        <w:t>在【】媒体中采用自投模式</w:t>
      </w:r>
      <w:bookmarkEnd w:id="15"/>
    </w:p>
    <w:p>
      <w:pPr>
        <w:pStyle w:val="2"/>
        <w:spacing w:before="320" w:after="120" w:line="288" w:lineRule="auto"/>
        <w:ind w:left="453"/>
        <w:jc w:val="left"/>
        <w:outlineLvl w:val="1"/>
      </w:pPr>
      <w:bookmarkStart w:name="heading_16" w:id="16"/>
      <w:r>
        <w:rPr>
          <w:rFonts w:eastAsia="等线" w:ascii="Arial" w:cs="Arial" w:hAnsi="Arial"/>
          <w:color w:val="3370ff"/>
          <w:sz w:val="32"/>
        </w:rPr>
        <w:t xml:space="preserve">8.6 </w:t>
      </w:r>
      <w:r>
        <w:rPr>
          <w:rFonts w:eastAsia="等线" w:ascii="Arial" w:cs="Arial" w:hAnsi="Arial"/>
          <w:b w:val="true"/>
          <w:sz w:val="32"/>
        </w:rPr>
        <w:t>在【】媒体中采用代投模式</w:t>
      </w:r>
      <w:bookmarkEnd w:id="16"/>
    </w:p>
    <w:p>
      <w:pPr>
        <w:pStyle w:val="2"/>
        <w:spacing w:before="320" w:after="120" w:line="288" w:lineRule="auto"/>
        <w:ind w:left="453"/>
        <w:jc w:val="left"/>
        <w:outlineLvl w:val="1"/>
      </w:pPr>
      <w:bookmarkStart w:name="heading_17" w:id="17"/>
      <w:r>
        <w:rPr>
          <w:rFonts w:eastAsia="等线" w:ascii="Arial" w:cs="Arial" w:hAnsi="Arial"/>
          <w:color w:val="3370ff"/>
          <w:sz w:val="32"/>
        </w:rPr>
        <w:t xml:space="preserve">8.7 </w:t>
      </w:r>
      <w:r>
        <w:rPr>
          <w:rFonts w:eastAsia="等线" w:ascii="Arial" w:cs="Arial" w:hAnsi="Arial"/>
          <w:b w:val="true"/>
          <w:sz w:val="32"/>
        </w:rPr>
        <w:t>如甲方在同一媒体平台下同时存在自投及委托乙方代投的账户，双方应以各账户对应的投放模式区分适用本合同第5.2条(自投模式)或第5.3条(代投模式)之约定，乙方按账户维度分别结算费用与返点。</w:t>
      </w:r>
      <w:bookmarkEnd w:id="17"/>
    </w:p>
    <w:p>
      <w:pPr>
        <w:pStyle w:val="2"/>
        <w:spacing w:before="320" w:after="120" w:line="288" w:lineRule="auto"/>
        <w:ind w:left="0"/>
        <w:jc w:val="left"/>
        <w:outlineLvl w:val="1"/>
      </w:pPr>
      <w:bookmarkStart w:name="heading_18" w:id="18"/>
      <w:bookmarkEnd w:id="18"/>
    </w:p>
    <w:p>
      <w:pPr>
        <w:pStyle w:val="2"/>
        <w:spacing w:before="320" w:after="120" w:line="288" w:lineRule="auto"/>
        <w:ind w:left="453"/>
        <w:jc w:val="left"/>
        <w:outlineLvl w:val="1"/>
      </w:pPr>
      <w:bookmarkStart w:name="heading_19" w:id="19"/>
      <w:r>
        <w:rPr>
          <w:rFonts w:eastAsia="等线" w:ascii="Arial" w:cs="Arial" w:hAnsi="Arial"/>
          <w:color w:val="3370ff"/>
          <w:sz w:val="32"/>
        </w:rPr>
        <w:t xml:space="preserve">8.8 </w:t>
      </w:r>
      <w:r>
        <w:rPr>
          <w:rFonts w:eastAsia="等线" w:ascii="Arial" w:cs="Arial" w:hAnsi="Arial"/>
          <w:b w:val="true"/>
          <w:sz w:val="32"/>
        </w:rPr>
        <w:t>双方的权利与义务</w:t>
      </w:r>
      <w:bookmarkEnd w:id="19"/>
    </w:p>
    <w:p>
      <w:pPr>
        <w:pStyle w:val="2"/>
        <w:spacing w:before="320" w:after="120" w:line="288" w:lineRule="auto"/>
        <w:ind w:left="453"/>
        <w:jc w:val="left"/>
        <w:outlineLvl w:val="1"/>
      </w:pPr>
      <w:bookmarkStart w:name="heading_20" w:id="20"/>
      <w:r>
        <w:rPr>
          <w:rFonts w:eastAsia="等线" w:ascii="Arial" w:cs="Arial" w:hAnsi="Arial"/>
          <w:color w:val="3370ff"/>
          <w:sz w:val="32"/>
        </w:rPr>
        <w:t xml:space="preserve">8.9 </w:t>
      </w:r>
      <w:r>
        <w:rPr>
          <w:rFonts w:eastAsia="等线" w:ascii="Arial" w:cs="Arial" w:hAnsi="Arial"/>
          <w:b w:val="true"/>
          <w:sz w:val="32"/>
        </w:rPr>
        <w:t>通用权利与义务</w:t>
      </w:r>
      <w:bookmarkEnd w:id="20"/>
    </w:p>
    <w:p>
      <w:pPr>
        <w:pStyle w:val="2"/>
        <w:spacing w:before="320" w:after="120" w:line="288" w:lineRule="auto"/>
        <w:ind w:left="453"/>
        <w:jc w:val="left"/>
        <w:outlineLvl w:val="1"/>
      </w:pPr>
      <w:bookmarkStart w:name="heading_21" w:id="21"/>
      <w:r>
        <w:rPr>
          <w:rFonts w:eastAsia="等线" w:ascii="Arial" w:cs="Arial" w:hAnsi="Arial"/>
          <w:color w:val="3370ff"/>
          <w:sz w:val="32"/>
        </w:rPr>
        <w:t xml:space="preserve">8.10 </w:t>
      </w:r>
      <w:r>
        <w:rPr>
          <w:rFonts w:eastAsia="等线" w:ascii="Arial" w:cs="Arial" w:hAnsi="Arial"/>
          <w:b w:val="true"/>
          <w:sz w:val="32"/>
        </w:rPr>
        <w:t>甲方在签署本合同前应当熟悉并了解媒体平台的投放规则和要求，甲方可以就不清楚的部分向乙方联系人咨询，未提出咨询要求的，视为甲方已知悉并接受媒体平台的全部投放规则和要求。甲方应在本合同期内持续关注上述服务平台方系统上的提示或政策，如上述服务平台方通过其系统就服务不定期发布和更新相关规则的，包括但不限于信息上传、点击统计管理等，甲方不同意遵守新规则的，应当及时向乙方提出并协商解决办法，未提出的，视为接受新规则。甲方自行承担违反媒体平台的投放规则和要求而产生的全部责任，包括但不限于扣除保证金（如有）、罚款、相应账号被封停且/或被封停账号的所有投放不享受任何返点政策等，如给乙方造成损失的，甲方还应赔偿乙方全部损失，包括但不限于乙方因此需向平台方承担的违约和赔偿责任，同时乙方有权解除本合同。</w:t>
      </w:r>
      <w:bookmarkEnd w:id="21"/>
    </w:p>
    <w:p>
      <w:pPr>
        <w:pStyle w:val="2"/>
        <w:spacing w:before="320" w:after="120" w:line="288" w:lineRule="auto"/>
        <w:ind w:left="453"/>
        <w:jc w:val="left"/>
        <w:outlineLvl w:val="1"/>
      </w:pPr>
      <w:bookmarkStart w:name="heading_22" w:id="22"/>
      <w:r>
        <w:rPr>
          <w:rFonts w:eastAsia="等线" w:ascii="Arial" w:cs="Arial" w:hAnsi="Arial"/>
          <w:color w:val="3370ff"/>
          <w:sz w:val="32"/>
        </w:rPr>
        <w:t xml:space="preserve">8.11 </w:t>
      </w:r>
      <w:r>
        <w:rPr>
          <w:rFonts w:eastAsia="等线" w:ascii="Arial" w:cs="Arial" w:hAnsi="Arial"/>
          <w:b w:val="true"/>
          <w:sz w:val="32"/>
        </w:rPr>
        <w:t>甲方应保证所发布的广告文件不包含下述内容，任何由该内容引起之争议、诉求、纠纷均与乙方无关，且应由甲方自行承担相关法律责任，如乙方因此蒙受任何损失，甲方有义务向乙方提供赔偿。</w:t>
      </w:r>
      <w:bookmarkEnd w:id="22"/>
    </w:p>
    <w:p>
      <w:pPr>
        <w:pStyle w:val="2"/>
        <w:spacing w:before="320" w:after="120" w:line="288" w:lineRule="auto"/>
        <w:ind w:left="453"/>
        <w:jc w:val="left"/>
        <w:outlineLvl w:val="1"/>
      </w:pPr>
      <w:bookmarkStart w:name="heading_23" w:id="23"/>
      <w:r>
        <w:rPr>
          <w:rFonts w:eastAsia="等线" w:ascii="Arial" w:cs="Arial" w:hAnsi="Arial"/>
          <w:color w:val="3370ff"/>
          <w:sz w:val="32"/>
        </w:rPr>
        <w:t xml:space="preserve">8.12 </w:t>
      </w:r>
      <w:r>
        <w:rPr>
          <w:rFonts w:eastAsia="等线" w:ascii="Arial" w:cs="Arial" w:hAnsi="Arial"/>
          <w:b w:val="true"/>
          <w:sz w:val="32"/>
        </w:rPr>
        <w:t>中国法律认为是反动、诽谤、色情、淫秽或毁谤等违法性内容；</w:t>
      </w:r>
      <w:bookmarkEnd w:id="23"/>
    </w:p>
    <w:p>
      <w:pPr>
        <w:pStyle w:val="2"/>
        <w:spacing w:before="320" w:after="120" w:line="288" w:lineRule="auto"/>
        <w:ind w:left="453"/>
        <w:jc w:val="left"/>
        <w:outlineLvl w:val="1"/>
      </w:pPr>
      <w:bookmarkStart w:name="heading_24" w:id="24"/>
      <w:r>
        <w:rPr>
          <w:rFonts w:eastAsia="等线" w:ascii="Arial" w:cs="Arial" w:hAnsi="Arial"/>
          <w:color w:val="3370ff"/>
          <w:sz w:val="32"/>
        </w:rPr>
        <w:t xml:space="preserve">8.13 </w:t>
      </w:r>
      <w:r>
        <w:rPr>
          <w:rFonts w:eastAsia="等线" w:ascii="Arial" w:cs="Arial" w:hAnsi="Arial"/>
          <w:b w:val="true"/>
          <w:sz w:val="32"/>
        </w:rPr>
        <w:t>侵犯任何第三方知识产权或其他权利(包括但不仅限于版权、专利、商标、商业秘密和技术秘密等)的内容；</w:t>
      </w:r>
      <w:bookmarkEnd w:id="24"/>
    </w:p>
    <w:p>
      <w:pPr>
        <w:pStyle w:val="2"/>
        <w:spacing w:before="320" w:after="120" w:line="288" w:lineRule="auto"/>
        <w:ind w:left="453"/>
        <w:jc w:val="left"/>
        <w:outlineLvl w:val="1"/>
      </w:pPr>
      <w:bookmarkStart w:name="heading_25" w:id="25"/>
      <w:r>
        <w:rPr>
          <w:rFonts w:eastAsia="等线" w:ascii="Arial" w:cs="Arial" w:hAnsi="Arial"/>
          <w:color w:val="3370ff"/>
          <w:sz w:val="32"/>
        </w:rPr>
        <w:t xml:space="preserve">8.14 </w:t>
      </w:r>
      <w:r>
        <w:rPr>
          <w:rFonts w:eastAsia="等线" w:ascii="Arial" w:cs="Arial" w:hAnsi="Arial"/>
          <w:b w:val="true"/>
          <w:sz w:val="32"/>
        </w:rPr>
        <w:t>侵犯任何第三方公众形象或隐私的内容；</w:t>
      </w:r>
      <w:bookmarkEnd w:id="25"/>
    </w:p>
    <w:p>
      <w:pPr>
        <w:pStyle w:val="2"/>
        <w:spacing w:before="320" w:after="120" w:line="288" w:lineRule="auto"/>
        <w:ind w:left="453"/>
        <w:jc w:val="left"/>
        <w:outlineLvl w:val="1"/>
      </w:pPr>
      <w:bookmarkStart w:name="heading_26" w:id="26"/>
      <w:r>
        <w:rPr>
          <w:rFonts w:eastAsia="等线" w:ascii="Arial" w:cs="Arial" w:hAnsi="Arial"/>
          <w:color w:val="3370ff"/>
          <w:sz w:val="32"/>
        </w:rPr>
        <w:t xml:space="preserve">8.15 </w:t>
      </w:r>
      <w:r>
        <w:rPr>
          <w:rFonts w:eastAsia="等线" w:ascii="Arial" w:cs="Arial" w:hAnsi="Arial"/>
          <w:b w:val="true"/>
          <w:sz w:val="32"/>
        </w:rPr>
        <w:t>其他法律法规规定的不得包含的内容。</w:t>
      </w:r>
      <w:bookmarkEnd w:id="26"/>
    </w:p>
    <w:p>
      <w:pPr>
        <w:pStyle w:val="2"/>
        <w:spacing w:before="320" w:after="120" w:line="288" w:lineRule="auto"/>
        <w:ind w:left="453"/>
        <w:jc w:val="left"/>
        <w:outlineLvl w:val="1"/>
      </w:pPr>
      <w:bookmarkStart w:name="heading_27" w:id="27"/>
      <w:r>
        <w:rPr>
          <w:rFonts w:eastAsia="等线" w:ascii="Arial" w:cs="Arial" w:hAnsi="Arial"/>
          <w:color w:val="3370ff"/>
          <w:sz w:val="32"/>
        </w:rPr>
        <w:t xml:space="preserve">8.16 </w:t>
      </w:r>
      <w:r>
        <w:rPr>
          <w:rFonts w:eastAsia="等线" w:ascii="Arial" w:cs="Arial" w:hAnsi="Arial"/>
          <w:b w:val="true"/>
          <w:sz w:val="32"/>
        </w:rPr>
        <w:t>对于乙方在合同执行过程中提交给甲方的各类申请、确认、审核文件，甲方应当在收到该等文件后的24小时内予以回复，逾期未回复的，视为甲方认可乙方提交的文件并同意按照该等文件的内容执行，并承担相应的后果。</w:t>
      </w:r>
      <w:bookmarkEnd w:id="27"/>
    </w:p>
    <w:p>
      <w:pPr>
        <w:pStyle w:val="2"/>
        <w:spacing w:before="320" w:after="120" w:line="288" w:lineRule="auto"/>
        <w:ind w:left="453"/>
        <w:jc w:val="left"/>
        <w:outlineLvl w:val="1"/>
      </w:pPr>
      <w:bookmarkStart w:name="heading_28" w:id="28"/>
      <w:r>
        <w:rPr>
          <w:rFonts w:eastAsia="等线" w:ascii="Arial" w:cs="Arial" w:hAnsi="Arial"/>
          <w:color w:val="3370ff"/>
          <w:sz w:val="32"/>
        </w:rPr>
        <w:t xml:space="preserve">8.17 </w:t>
      </w:r>
      <w:r>
        <w:rPr>
          <w:rFonts w:eastAsia="等线" w:ascii="Arial" w:cs="Arial" w:hAnsi="Arial"/>
          <w:b w:val="true"/>
          <w:sz w:val="32"/>
        </w:rPr>
        <w:t>甲方的各项执行、确认、验收意见以本合同指定的甲方联系人以邮件或者其他形式发出的意见为准。</w:t>
      </w:r>
      <w:bookmarkEnd w:id="28"/>
    </w:p>
    <w:p>
      <w:pPr>
        <w:pStyle w:val="2"/>
        <w:spacing w:before="320" w:after="120" w:line="288" w:lineRule="auto"/>
        <w:ind w:left="453"/>
        <w:jc w:val="left"/>
        <w:outlineLvl w:val="1"/>
      </w:pPr>
      <w:bookmarkStart w:name="heading_29" w:id="29"/>
      <w:r>
        <w:rPr>
          <w:rFonts w:eastAsia="等线" w:ascii="Arial" w:cs="Arial" w:hAnsi="Arial"/>
          <w:color w:val="3370ff"/>
          <w:sz w:val="32"/>
        </w:rPr>
        <w:t xml:space="preserve">8.18 </w:t>
      </w:r>
      <w:r>
        <w:rPr>
          <w:rFonts w:eastAsia="等线" w:ascii="Arial" w:cs="Arial" w:hAnsi="Arial"/>
          <w:b w:val="true"/>
          <w:sz w:val="32"/>
        </w:rPr>
        <w:t>如因本合同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bookmarkEnd w:id="29"/>
    </w:p>
    <w:p>
      <w:pPr>
        <w:pStyle w:val="2"/>
        <w:spacing w:before="320" w:after="120" w:line="288" w:lineRule="auto"/>
        <w:ind w:left="453"/>
        <w:jc w:val="left"/>
        <w:outlineLvl w:val="1"/>
      </w:pPr>
      <w:bookmarkStart w:name="heading_30" w:id="30"/>
      <w:r>
        <w:rPr>
          <w:rFonts w:eastAsia="等线" w:ascii="Arial" w:cs="Arial" w:hAnsi="Arial"/>
          <w:color w:val="3370ff"/>
          <w:sz w:val="32"/>
        </w:rPr>
        <w:t xml:space="preserve">8.19 </w:t>
      </w:r>
      <w:r>
        <w:rPr>
          <w:rFonts w:eastAsia="等线" w:ascii="Arial" w:cs="Arial" w:hAnsi="Arial"/>
          <w:b w:val="true"/>
          <w:sz w:val="32"/>
        </w:rPr>
        <w:t>因账户信息泄露、被盗用或遭遇其他安全风险而产生的广告投放消耗（包括但不限于盗刷行为），甲方应自行承担全部责任和后果，且该部分广告投放消耗对应的广告费用应当按照合同约定账期向乙方支付。乙方可就该等消耗协助甲方向媒体平台发起申诉，申诉结果以媒体最终反馈为准。若申诉被媒体驳回，甲方仍应承担全部相关费用；若申诉成功并由媒体退还相应款项，乙方在实际收到该等退款后【7】个工作日内将等额款项退还给甲方。</w:t>
      </w:r>
      <w:bookmarkEnd w:id="30"/>
    </w:p>
    <w:p>
      <w:pPr>
        <w:pStyle w:val="2"/>
        <w:spacing w:before="320" w:after="120" w:line="288" w:lineRule="auto"/>
        <w:ind w:left="453"/>
        <w:jc w:val="left"/>
        <w:outlineLvl w:val="1"/>
      </w:pPr>
      <w:bookmarkStart w:name="heading_31" w:id="31"/>
      <w:r>
        <w:rPr>
          <w:rFonts w:eastAsia="等线" w:ascii="Arial" w:cs="Arial" w:hAnsi="Arial"/>
          <w:color w:val="3370ff"/>
          <w:sz w:val="32"/>
        </w:rPr>
        <w:t xml:space="preserve">8.20 </w:t>
      </w:r>
      <w:r>
        <w:rPr>
          <w:rFonts w:eastAsia="等线" w:ascii="Arial" w:cs="Arial" w:hAnsi="Arial"/>
          <w:b w:val="true"/>
          <w:sz w:val="32"/>
        </w:rPr>
        <w:t>乙方帮助甲方开设的广告账户所有权归属乙方，甲方只享有广告账户的使用权。甲方明确知悉该广告账户的相关权限仅能为甲方自身做广告投放之用，若甲方超出该使用目的给乙方造成损失的应予以赔偿，乙方有权在判断账户存在风险的情况下，对账户立即进行冻结、封停、清零等操作以防止损失扩大。</w:t>
      </w:r>
      <w:bookmarkEnd w:id="31"/>
    </w:p>
    <w:p>
      <w:pPr>
        <w:pStyle w:val="2"/>
        <w:spacing w:before="320" w:after="120" w:line="288" w:lineRule="auto"/>
        <w:ind w:left="453"/>
        <w:jc w:val="left"/>
        <w:outlineLvl w:val="1"/>
      </w:pPr>
      <w:bookmarkStart w:name="heading_32" w:id="32"/>
      <w:r>
        <w:rPr>
          <w:rFonts w:eastAsia="等线" w:ascii="Arial" w:cs="Arial" w:hAnsi="Arial"/>
          <w:color w:val="3370ff"/>
          <w:sz w:val="32"/>
        </w:rPr>
        <w:t xml:space="preserve">8.21 </w:t>
      </w:r>
      <w:r>
        <w:rPr>
          <w:rFonts w:eastAsia="等线" w:ascii="Arial" w:cs="Arial" w:hAnsi="Arial"/>
          <w:b w:val="true"/>
          <w:sz w:val="32"/>
        </w:rPr>
        <w:t>甲方知悉媒体平台存在数据回滚、系统操作延迟等情况，亦明确其广告账户的管理与操作责任（即便本合同终止后亦同）。若在本合同约定的合作期限届满或双方终止合作后，甲方广告账户中仍存在剩余金额（以下简称“该等金额”），则处理方式如下：</w:t>
      </w:r>
      <w:bookmarkEnd w:id="32"/>
    </w:p>
    <w:p>
      <w:pPr>
        <w:pStyle w:val="2"/>
        <w:spacing w:before="320" w:after="120" w:line="288" w:lineRule="auto"/>
        <w:ind w:left="907"/>
        <w:jc w:val="left"/>
        <w:outlineLvl w:val="1"/>
      </w:pPr>
      <w:bookmarkStart w:name="heading_33" w:id="33"/>
      <w:r>
        <w:rPr>
          <w:rFonts w:eastAsia="等线" w:ascii="Arial" w:cs="Arial" w:hAnsi="Arial"/>
          <w:color w:val="3370ff"/>
          <w:sz w:val="32"/>
        </w:rPr>
        <w:t xml:space="preserve">8.22 </w:t>
      </w:r>
      <w:r>
        <w:rPr>
          <w:rFonts w:eastAsia="等线" w:ascii="Arial" w:cs="Arial" w:hAnsi="Arial"/>
          <w:b w:val="true"/>
          <w:sz w:val="32"/>
        </w:rPr>
        <w:t>如甲方为后付费客户，甲乙双方可协商一致决定将该等金额保留在广告账户中继      续使用，如甲方继续使用该等金额进行广告消耗的，应于该等金额消耗完毕后【20】个工作日内，将相应款项一次性支付给乙方。如该等金额不予保留，则由乙方发起广告账户清零操作。</w:t>
      </w:r>
      <w:bookmarkEnd w:id="33"/>
    </w:p>
    <w:p>
      <w:pPr>
        <w:numPr>
          <w:numId w:val="28"/>
        </w:numPr>
        <w:spacing w:before="120" w:after="120" w:line="288" w:lineRule="auto"/>
        <w:ind w:left="907"/>
        <w:jc w:val="left"/>
      </w:pPr>
      <w:r>
        <w:rPr>
          <w:rFonts w:eastAsia="等线" w:ascii="Arial" w:cs="Arial" w:hAnsi="Arial"/>
          <w:sz w:val="22"/>
        </w:rPr>
        <w:t>如甲方为预付费客户，甲乙双方可协商一致决定将该等金额保留在广告账户中继续使用。如该等金额不予保留，甲方可向乙方申请进行广告账户清零操作，乙方应在核对无误后完成清零，并将该等金额退还至甲方在乙方开设的预存账户。</w:t>
      </w:r>
    </w:p>
    <w:p>
      <w:pPr>
        <w:numPr>
          <w:numId w:val="29"/>
        </w:numPr>
        <w:spacing w:before="120" w:after="120" w:line="288" w:lineRule="auto"/>
        <w:ind w:left="907"/>
        <w:jc w:val="left"/>
      </w:pPr>
      <w:r>
        <w:rPr>
          <w:rFonts w:eastAsia="等线" w:ascii="Arial" w:cs="Arial" w:hAnsi="Arial"/>
          <w:sz w:val="22"/>
        </w:rPr>
        <w:t>如甲方为预付费+后付费客户，则该等金额对应部分应分别按照上述（1）或（2）项处理，乙方将基于账户充值记录及平台系统识别的付款来源进行区分后分别执行。</w:t>
      </w:r>
    </w:p>
    <w:p>
      <w:pPr>
        <w:pStyle w:val="2"/>
        <w:spacing w:before="320" w:after="120" w:line="288" w:lineRule="auto"/>
        <w:ind w:left="453"/>
        <w:jc w:val="left"/>
        <w:outlineLvl w:val="1"/>
      </w:pPr>
      <w:bookmarkStart w:name="heading_34" w:id="34"/>
      <w:r>
        <w:rPr>
          <w:rFonts w:eastAsia="等线" w:ascii="Arial" w:cs="Arial" w:hAnsi="Arial"/>
          <w:color w:val="3370ff"/>
          <w:sz w:val="32"/>
        </w:rPr>
        <w:t xml:space="preserve">8.23 </w:t>
      </w:r>
      <w:r>
        <w:rPr>
          <w:rFonts w:eastAsia="等线" w:ascii="Arial" w:cs="Arial" w:hAnsi="Arial"/>
          <w:b w:val="true"/>
          <w:sz w:val="32"/>
        </w:rPr>
        <w:t>在不影响甲方账户的正常广告投放、账款结算、返点计算和信息隐私保障的情况下，乙方有权根据实际情况调整甲方账户所对应的账单计费主体的设置。</w:t>
      </w:r>
      <w:bookmarkEnd w:id="34"/>
    </w:p>
    <w:p>
      <w:pPr>
        <w:pStyle w:val="2"/>
        <w:spacing w:before="320" w:after="120" w:line="288" w:lineRule="auto"/>
        <w:ind w:left="0"/>
        <w:jc w:val="left"/>
        <w:outlineLvl w:val="1"/>
      </w:pPr>
      <w:bookmarkStart w:name="heading_35" w:id="35"/>
      <w:bookmarkEnd w:id="35"/>
    </w:p>
    <w:p>
      <w:pPr>
        <w:pStyle w:val="2"/>
        <w:spacing w:before="320" w:after="120" w:line="288" w:lineRule="auto"/>
        <w:ind w:left="453"/>
        <w:jc w:val="left"/>
        <w:outlineLvl w:val="1"/>
      </w:pPr>
      <w:bookmarkStart w:name="heading_36" w:id="36"/>
      <w:r>
        <w:rPr>
          <w:rFonts w:eastAsia="等线" w:ascii="Arial" w:cs="Arial" w:hAnsi="Arial"/>
          <w:color w:val="3370ff"/>
          <w:sz w:val="32"/>
        </w:rPr>
        <w:t xml:space="preserve">8.24 </w:t>
      </w:r>
      <w:r>
        <w:rPr>
          <w:rFonts w:eastAsia="等线" w:ascii="Arial" w:cs="Arial" w:hAnsi="Arial"/>
          <w:b w:val="true"/>
          <w:sz w:val="32"/>
          <w:u w:val="single"/>
        </w:rPr>
        <w:t>自投模式下双方的权利与义务</w:t>
      </w:r>
      <w:bookmarkEnd w:id="36"/>
    </w:p>
    <w:p>
      <w:pPr>
        <w:pStyle w:val="2"/>
        <w:spacing w:before="320" w:after="120" w:line="288" w:lineRule="auto"/>
        <w:ind w:left="907"/>
        <w:jc w:val="left"/>
        <w:outlineLvl w:val="1"/>
      </w:pPr>
      <w:bookmarkStart w:name="heading_37" w:id="37"/>
      <w:r>
        <w:rPr>
          <w:rFonts w:eastAsia="等线" w:ascii="Arial" w:cs="Arial" w:hAnsi="Arial"/>
          <w:color w:val="3370ff"/>
          <w:sz w:val="32"/>
        </w:rPr>
        <w:t xml:space="preserve">8.25 </w:t>
      </w:r>
      <w:r>
        <w:rPr>
          <w:rFonts w:eastAsia="等线" w:ascii="Arial" w:cs="Arial" w:hAnsi="Arial"/>
          <w:b w:val="true"/>
          <w:sz w:val="32"/>
        </w:rPr>
        <w:t>乙方可以根据甲方的历史支付情况、消耗情况等因素决定在本次投放中是否为甲方充值或者调整甲方的充值金额。</w:t>
      </w:r>
      <w:bookmarkEnd w:id="37"/>
    </w:p>
    <w:p>
      <w:pPr>
        <w:pStyle w:val="2"/>
        <w:spacing w:before="320" w:after="120" w:line="288" w:lineRule="auto"/>
        <w:ind w:left="907"/>
        <w:jc w:val="left"/>
        <w:outlineLvl w:val="1"/>
      </w:pPr>
      <w:bookmarkStart w:name="heading_38" w:id="38"/>
      <w:r>
        <w:rPr>
          <w:rFonts w:eastAsia="等线" w:ascii="Arial" w:cs="Arial" w:hAnsi="Arial"/>
          <w:color w:val="3370ff"/>
          <w:sz w:val="32"/>
        </w:rPr>
        <w:t xml:space="preserve">8.26 </w:t>
      </w:r>
      <w:r>
        <w:rPr>
          <w:rFonts w:eastAsia="等线" w:ascii="Arial" w:cs="Arial" w:hAnsi="Arial"/>
          <w:b w:val="true"/>
          <w:sz w:val="32"/>
        </w:rPr>
        <w:t>如若甲方广告被封停的广告账户被媒体重新解封，期间甲方所产生的广告发布费用应视为甲方接受并认可该等金额并应按本合同的约定支付款项。</w:t>
      </w:r>
      <w:bookmarkEnd w:id="38"/>
    </w:p>
    <w:p>
      <w:pPr>
        <w:pStyle w:val="2"/>
        <w:spacing w:before="320" w:after="120" w:line="288" w:lineRule="auto"/>
        <w:ind w:left="907"/>
        <w:jc w:val="left"/>
        <w:outlineLvl w:val="1"/>
      </w:pPr>
      <w:bookmarkStart w:name="heading_39" w:id="39"/>
      <w:r>
        <w:rPr>
          <w:rFonts w:eastAsia="等线" w:ascii="Arial" w:cs="Arial" w:hAnsi="Arial"/>
          <w:color w:val="3370ff"/>
          <w:sz w:val="32"/>
        </w:rPr>
        <w:t xml:space="preserve">8.27 </w:t>
      </w:r>
      <w:r>
        <w:rPr>
          <w:rFonts w:eastAsia="等线" w:ascii="Arial" w:cs="Arial" w:hAnsi="Arial"/>
          <w:b w:val="true"/>
          <w:sz w:val="32"/>
        </w:rPr>
        <w:t>甲方应对其自行投放的广告内容、投放策略、目标设置及广告素材的合法性、真实性、准确性、有效性承担全部责任。任何由该内容引起之争议、诉求、纠纷均与乙方无关，且应由甲方自行承担相关法律责任，如乙方因此蒙受任何损失，甲方有义务向乙方提供赔偿。</w:t>
      </w:r>
      <w:bookmarkEnd w:id="39"/>
    </w:p>
    <w:p>
      <w:pPr>
        <w:pStyle w:val="2"/>
        <w:spacing w:before="320" w:after="120" w:line="288" w:lineRule="auto"/>
        <w:ind w:left="0"/>
        <w:jc w:val="left"/>
        <w:outlineLvl w:val="1"/>
      </w:pPr>
      <w:bookmarkStart w:name="heading_40" w:id="40"/>
      <w:bookmarkEnd w:id="40"/>
    </w:p>
    <w:p>
      <w:pPr>
        <w:pStyle w:val="2"/>
        <w:spacing w:before="320" w:after="120" w:line="288" w:lineRule="auto"/>
        <w:ind w:left="453"/>
        <w:jc w:val="left"/>
        <w:outlineLvl w:val="1"/>
      </w:pPr>
      <w:bookmarkStart w:name="heading_41" w:id="41"/>
      <w:r>
        <w:rPr>
          <w:rFonts w:eastAsia="等线" w:ascii="Arial" w:cs="Arial" w:hAnsi="Arial"/>
          <w:color w:val="3370ff"/>
          <w:sz w:val="32"/>
        </w:rPr>
        <w:t xml:space="preserve">8.28 </w:t>
      </w:r>
      <w:r>
        <w:rPr>
          <w:rFonts w:eastAsia="等线" w:ascii="Arial" w:cs="Arial" w:hAnsi="Arial"/>
          <w:b w:val="true"/>
          <w:sz w:val="32"/>
        </w:rPr>
        <w:t>代投模式下双方的权利与义务</w:t>
      </w:r>
      <w:bookmarkEnd w:id="41"/>
    </w:p>
    <w:p>
      <w:pPr>
        <w:pStyle w:val="2"/>
        <w:spacing w:before="320" w:after="120" w:line="288" w:lineRule="auto"/>
        <w:ind w:left="907"/>
        <w:jc w:val="left"/>
        <w:outlineLvl w:val="1"/>
      </w:pPr>
      <w:bookmarkStart w:name="heading_42" w:id="42"/>
      <w:r>
        <w:rPr>
          <w:rFonts w:eastAsia="等线" w:ascii="Arial" w:cs="Arial" w:hAnsi="Arial"/>
          <w:color w:val="3370ff"/>
          <w:sz w:val="32"/>
        </w:rPr>
        <w:t xml:space="preserve">8.29 </w:t>
      </w:r>
      <w:r>
        <w:rPr>
          <w:rFonts w:eastAsia="等线" w:ascii="Arial" w:cs="Arial" w:hAnsi="Arial"/>
          <w:b w:val="true"/>
          <w:sz w:val="32"/>
        </w:rPr>
        <w:t>甲方的权利与义务</w:t>
      </w:r>
      <w:bookmarkEnd w:id="42"/>
    </w:p>
    <w:p>
      <w:pPr>
        <w:pStyle w:val="2"/>
        <w:spacing w:before="320" w:after="120" w:line="288" w:lineRule="auto"/>
        <w:ind w:left="907"/>
        <w:jc w:val="left"/>
        <w:outlineLvl w:val="1"/>
      </w:pPr>
      <w:bookmarkStart w:name="heading_43" w:id="43"/>
      <w:r>
        <w:rPr>
          <w:rFonts w:eastAsia="等线" w:ascii="Arial" w:cs="Arial" w:hAnsi="Arial"/>
          <w:color w:val="3370ff"/>
          <w:sz w:val="32"/>
        </w:rPr>
        <w:t xml:space="preserve">8.30 </w:t>
      </w:r>
      <w:r>
        <w:rPr>
          <w:rFonts w:eastAsia="等线" w:ascii="Arial" w:cs="Arial" w:hAnsi="Arial"/>
          <w:b w:val="true"/>
          <w:sz w:val="32"/>
        </w:rPr>
        <w:t>如果甲方自行提供广告文件，应保证在广告发布日前【3】个工作日向乙方提供。</w:t>
      </w:r>
      <w:bookmarkEnd w:id="43"/>
    </w:p>
    <w:p>
      <w:pPr>
        <w:pStyle w:val="2"/>
        <w:spacing w:before="320" w:after="120" w:line="288" w:lineRule="auto"/>
        <w:ind w:left="907"/>
        <w:jc w:val="left"/>
        <w:outlineLvl w:val="1"/>
      </w:pPr>
      <w:bookmarkStart w:name="heading_44" w:id="44"/>
      <w:r>
        <w:rPr>
          <w:rFonts w:eastAsia="等线" w:ascii="Arial" w:cs="Arial" w:hAnsi="Arial"/>
          <w:color w:val="3370ff"/>
          <w:sz w:val="32"/>
        </w:rPr>
        <w:t xml:space="preserve">8.31 </w:t>
      </w:r>
      <w:r>
        <w:rPr>
          <w:rFonts w:eastAsia="等线" w:ascii="Arial" w:cs="Arial" w:hAnsi="Arial"/>
          <w:b w:val="true"/>
          <w:sz w:val="32"/>
        </w:rPr>
        <w:t>甲方若需在发布过程中更换广告文件，需至少提前【3】个工作日书面通知乙方；如果甲方自行提供广告文件创意制作，需同时将广告文件提供给乙方。</w:t>
      </w:r>
      <w:bookmarkEnd w:id="44"/>
    </w:p>
    <w:p>
      <w:pPr>
        <w:pStyle w:val="2"/>
        <w:spacing w:before="320" w:after="120" w:line="288" w:lineRule="auto"/>
        <w:ind w:left="907"/>
        <w:jc w:val="left"/>
        <w:outlineLvl w:val="1"/>
      </w:pPr>
      <w:bookmarkStart w:name="heading_45" w:id="45"/>
      <w:r>
        <w:rPr>
          <w:rFonts w:eastAsia="等线" w:ascii="Arial" w:cs="Arial" w:hAnsi="Arial"/>
          <w:color w:val="3370ff"/>
          <w:sz w:val="32"/>
        </w:rPr>
        <w:t xml:space="preserve">8.32 </w:t>
      </w:r>
      <w:r>
        <w:rPr>
          <w:rFonts w:eastAsia="等线" w:ascii="Arial" w:cs="Arial" w:hAnsi="Arial"/>
          <w:b w:val="true"/>
          <w:sz w:val="32"/>
        </w:rPr>
        <w:t>甲方如需更改已经确认的服务的，应提前【3】个工作日通知乙方，乙方承诺尽量与发布平台方协商更改事宜。如发布平台方不同意更改的，双方应仍按原约定的执行发布。</w:t>
      </w:r>
      <w:bookmarkEnd w:id="45"/>
    </w:p>
    <w:p>
      <w:pPr>
        <w:pStyle w:val="2"/>
        <w:spacing w:before="320" w:after="120" w:line="288" w:lineRule="auto"/>
        <w:ind w:left="907"/>
        <w:jc w:val="left"/>
        <w:outlineLvl w:val="1"/>
      </w:pPr>
      <w:bookmarkStart w:name="heading_46" w:id="46"/>
      <w:r>
        <w:rPr>
          <w:rFonts w:eastAsia="等线" w:ascii="Arial" w:cs="Arial" w:hAnsi="Arial"/>
          <w:color w:val="3370ff"/>
          <w:sz w:val="32"/>
        </w:rPr>
        <w:t xml:space="preserve">8.33 </w:t>
      </w:r>
      <w:r>
        <w:rPr>
          <w:rFonts w:eastAsia="等线" w:ascii="Arial" w:cs="Arial" w:hAnsi="Arial"/>
          <w:b w:val="true"/>
          <w:sz w:val="32"/>
        </w:rPr>
        <w:t>甲方应保证其所提供的广告发布所对应的链接所指向的页面或下载数据是真实准确且客观存在的，不得出现无效链接、非法链接等。</w:t>
      </w:r>
      <w:bookmarkEnd w:id="46"/>
    </w:p>
    <w:p>
      <w:pPr>
        <w:pStyle w:val="2"/>
        <w:spacing w:before="320" w:after="120" w:line="288" w:lineRule="auto"/>
        <w:ind w:left="907"/>
        <w:jc w:val="left"/>
        <w:outlineLvl w:val="1"/>
      </w:pPr>
      <w:bookmarkStart w:name="heading_47" w:id="47"/>
      <w:r>
        <w:rPr>
          <w:rFonts w:eastAsia="等线" w:ascii="Arial" w:cs="Arial" w:hAnsi="Arial"/>
          <w:color w:val="3370ff"/>
          <w:sz w:val="32"/>
        </w:rPr>
        <w:t xml:space="preserve">8.34 </w:t>
      </w:r>
      <w:r>
        <w:rPr>
          <w:rFonts w:eastAsia="等线" w:ascii="Arial" w:cs="Arial" w:hAnsi="Arial"/>
          <w:b w:val="true"/>
          <w:sz w:val="32"/>
        </w:rPr>
        <w:t>甲方应保证其所提供资料内容，不限于图片、文字、字体、视频、音频等，不违反任何法（包括但不限于中华人民共和国、媒体平台政策以及广告投放国家或地区等）律，也不会损害任何第三方的合法权益。任何由该内容引起之争议、诉求、纠纷均与乙方无关，且应由甲方自行承担相关法律责任，以便乙方免于其因甲方所提供的产品或素材内容二引起的任何责任，如乙方因此蒙受任何损失，甲方有义务向乙方提供赔偿。</w:t>
      </w:r>
      <w:bookmarkEnd w:id="47"/>
    </w:p>
    <w:p>
      <w:pPr>
        <w:pStyle w:val="2"/>
        <w:spacing w:before="320" w:after="120" w:line="288" w:lineRule="auto"/>
        <w:ind w:left="907"/>
        <w:jc w:val="left"/>
        <w:outlineLvl w:val="1"/>
      </w:pPr>
      <w:bookmarkStart w:name="heading_48" w:id="48"/>
      <w:r>
        <w:rPr>
          <w:rFonts w:eastAsia="等线" w:ascii="Arial" w:cs="Arial" w:hAnsi="Arial"/>
          <w:color w:val="3370ff"/>
          <w:sz w:val="32"/>
        </w:rPr>
        <w:t xml:space="preserve">8.35 </w:t>
      </w:r>
      <w:r>
        <w:rPr>
          <w:rFonts w:eastAsia="等线" w:ascii="Arial" w:cs="Arial" w:hAnsi="Arial"/>
          <w:b w:val="true"/>
          <w:sz w:val="32"/>
        </w:rPr>
        <w:t>甲方对广告发布有异议的，应在约定的发布期结束后三个工作日内向乙方提出，逾期未提出或验收意见中未涉及乙方产品或服务严重违反甲方合作目的内容的，视为甲方确认委托的广告发布已按照本合同约定执行。</w:t>
      </w:r>
      <w:bookmarkEnd w:id="48"/>
    </w:p>
    <w:p>
      <w:pPr>
        <w:pStyle w:val="2"/>
        <w:spacing w:before="320" w:after="120" w:line="288" w:lineRule="auto"/>
        <w:ind w:left="907"/>
        <w:jc w:val="left"/>
        <w:outlineLvl w:val="1"/>
      </w:pPr>
      <w:bookmarkStart w:name="heading_49" w:id="49"/>
      <w:r>
        <w:rPr>
          <w:rFonts w:eastAsia="等线" w:ascii="Arial" w:cs="Arial" w:hAnsi="Arial"/>
          <w:color w:val="3370ff"/>
          <w:sz w:val="32"/>
        </w:rPr>
        <w:t xml:space="preserve">8.36 </w:t>
      </w:r>
      <w:r>
        <w:rPr>
          <w:rFonts w:eastAsia="等线" w:ascii="Arial" w:cs="Arial" w:hAnsi="Arial"/>
          <w:b w:val="true"/>
          <w:sz w:val="32"/>
        </w:rPr>
        <w:t>甲方如采纳乙方所设计的广告，在交付全部设计费用后，该广告的使用权归甲方所有。否则乙方有权要求甲方承担违约责任，但无论何种情况乙方保留在任何地方展示的权利。</w:t>
      </w:r>
      <w:bookmarkEnd w:id="49"/>
    </w:p>
    <w:p>
      <w:pPr>
        <w:numPr>
          <w:numId w:val="30"/>
        </w:numPr>
        <w:spacing w:before="120" w:after="120" w:line="288" w:lineRule="auto"/>
        <w:ind w:left="907"/>
        <w:jc w:val="left"/>
      </w:pPr>
      <w:r>
        <w:rPr>
          <w:rFonts w:eastAsia="等线" w:ascii="Arial" w:cs="Arial" w:hAnsi="Arial"/>
          <w:sz w:val="22"/>
        </w:rPr>
        <w:t>乙方的权利与义务</w:t>
      </w:r>
    </w:p>
    <w:p>
      <w:pPr>
        <w:pStyle w:val="2"/>
        <w:spacing w:before="320" w:after="120" w:line="288" w:lineRule="auto"/>
        <w:ind w:left="907"/>
        <w:jc w:val="left"/>
        <w:outlineLvl w:val="1"/>
      </w:pPr>
      <w:bookmarkStart w:name="heading_50" w:id="50"/>
      <w:r>
        <w:rPr>
          <w:rFonts w:eastAsia="等线" w:ascii="Arial" w:cs="Arial" w:hAnsi="Arial"/>
          <w:color w:val="3370ff"/>
          <w:sz w:val="32"/>
        </w:rPr>
        <w:t xml:space="preserve">8.37 </w:t>
      </w:r>
      <w:r>
        <w:rPr>
          <w:rFonts w:eastAsia="等线" w:ascii="Arial" w:cs="Arial" w:hAnsi="Arial"/>
          <w:b w:val="true"/>
          <w:sz w:val="32"/>
        </w:rPr>
        <w:t>乙方负责为甲方联系广告发布平台，并制订广告发布计划。乙方保证在网络广告投放期间为甲方提供及时的技术支持服务、技术响应及提供广告优化指导支持。</w:t>
      </w:r>
      <w:bookmarkEnd w:id="50"/>
    </w:p>
    <w:p>
      <w:pPr>
        <w:pStyle w:val="2"/>
        <w:spacing w:before="320" w:after="120" w:line="288" w:lineRule="auto"/>
        <w:ind w:left="907"/>
        <w:jc w:val="left"/>
        <w:outlineLvl w:val="1"/>
      </w:pPr>
      <w:bookmarkStart w:name="heading_51" w:id="51"/>
      <w:r>
        <w:rPr>
          <w:rFonts w:eastAsia="等线" w:ascii="Arial" w:cs="Arial" w:hAnsi="Arial"/>
          <w:color w:val="3370ff"/>
          <w:sz w:val="32"/>
        </w:rPr>
        <w:t xml:space="preserve">8.38 </w:t>
      </w:r>
      <w:r>
        <w:rPr>
          <w:rFonts w:eastAsia="等线" w:ascii="Arial" w:cs="Arial" w:hAnsi="Arial"/>
          <w:b w:val="true"/>
          <w:sz w:val="32"/>
        </w:rPr>
        <w:t>乙方在广告营销领域拥有专业的技术、团队和服务，可以根据甲方及其他客户需求为其定制广告素材创意策略服务、投放优化策略服务等。如在本合同履行期间，甲方需要乙方额外提供前述定制服务的，该笔费用由甲乙双方另行进行结算。</w:t>
      </w:r>
      <w:bookmarkEnd w:id="51"/>
    </w:p>
    <w:p>
      <w:pPr>
        <w:pStyle w:val="2"/>
        <w:spacing w:before="320" w:after="120" w:line="288" w:lineRule="auto"/>
        <w:ind w:left="907"/>
        <w:jc w:val="left"/>
        <w:outlineLvl w:val="1"/>
      </w:pPr>
      <w:bookmarkStart w:name="heading_52" w:id="52"/>
      <w:r>
        <w:rPr>
          <w:rFonts w:eastAsia="等线" w:ascii="Arial" w:cs="Arial" w:hAnsi="Arial"/>
          <w:color w:val="3370ff"/>
          <w:sz w:val="32"/>
        </w:rPr>
        <w:t xml:space="preserve">8.39 </w:t>
      </w:r>
      <w:r>
        <w:rPr>
          <w:rFonts w:eastAsia="等线" w:ascii="Arial" w:cs="Arial" w:hAnsi="Arial"/>
          <w:b w:val="true"/>
          <w:sz w:val="32"/>
        </w:rPr>
        <w:t>乙方负责按照经甲方在发布期间内确认的发布服务内容，为甲方在规定的发布期间进行广告发布管理，并保证甲方广告如约发布；如因发布平台原因造成约定内容执行困难，乙方应在广告发布日前向甲方以书面或邮件形式提出相应的调整计划，在甲方书面或邮件表示同意后方可改变原定计划。</w:t>
      </w:r>
      <w:bookmarkEnd w:id="52"/>
    </w:p>
    <w:p>
      <w:pPr>
        <w:pStyle w:val="2"/>
        <w:spacing w:before="320" w:after="120" w:line="288" w:lineRule="auto"/>
        <w:ind w:left="907"/>
        <w:jc w:val="left"/>
        <w:outlineLvl w:val="1"/>
      </w:pPr>
      <w:bookmarkStart w:name="heading_53" w:id="53"/>
      <w:r>
        <w:rPr>
          <w:rFonts w:eastAsia="等线" w:ascii="Arial" w:cs="Arial" w:hAnsi="Arial"/>
          <w:color w:val="3370ff"/>
          <w:sz w:val="32"/>
        </w:rPr>
        <w:t xml:space="preserve">8.40 </w:t>
      </w:r>
      <w:r>
        <w:rPr>
          <w:rFonts w:eastAsia="等线" w:ascii="Arial" w:cs="Arial" w:hAnsi="Arial"/>
          <w:b w:val="true"/>
          <w:sz w:val="32"/>
        </w:rPr>
        <w:t>乙方应该积极配合实施甲方在约定的期限内提出的修改意见并积极与发布平台方协商更改。</w:t>
      </w:r>
      <w:bookmarkEnd w:id="53"/>
    </w:p>
    <w:p>
      <w:pPr>
        <w:pStyle w:val="2"/>
        <w:spacing w:before="320" w:after="120" w:line="288" w:lineRule="auto"/>
        <w:ind w:left="907"/>
        <w:jc w:val="left"/>
        <w:outlineLvl w:val="1"/>
      </w:pPr>
      <w:bookmarkStart w:name="heading_54" w:id="54"/>
      <w:r>
        <w:rPr>
          <w:rFonts w:eastAsia="等线" w:ascii="Arial" w:cs="Arial" w:hAnsi="Arial"/>
          <w:color w:val="3370ff"/>
          <w:sz w:val="32"/>
        </w:rPr>
        <w:t xml:space="preserve">8.41 </w:t>
      </w:r>
      <w:r>
        <w:rPr>
          <w:rFonts w:eastAsia="等线" w:ascii="Arial" w:cs="Arial" w:hAnsi="Arial"/>
          <w:b w:val="true"/>
          <w:sz w:val="32"/>
        </w:rPr>
        <w:t>乙方自收到甲方书面或邮件更换广告文件通知和提交的新的广告文件之日起【3】个工作日内必须完成相应的更换，需特殊设计的除外。</w:t>
      </w:r>
      <w:bookmarkEnd w:id="54"/>
    </w:p>
    <w:p>
      <w:pPr>
        <w:pStyle w:val="2"/>
        <w:spacing w:before="320" w:after="120" w:line="288" w:lineRule="auto"/>
        <w:ind w:left="907"/>
        <w:jc w:val="left"/>
        <w:outlineLvl w:val="1"/>
      </w:pPr>
      <w:bookmarkStart w:name="heading_55" w:id="55"/>
      <w:r>
        <w:rPr>
          <w:rFonts w:eastAsia="等线" w:ascii="Arial" w:cs="Arial" w:hAnsi="Arial"/>
          <w:color w:val="3370ff"/>
          <w:sz w:val="32"/>
        </w:rPr>
        <w:t xml:space="preserve">8.42 </w:t>
      </w:r>
      <w:r>
        <w:rPr>
          <w:rFonts w:eastAsia="等线" w:ascii="Arial" w:cs="Arial" w:hAnsi="Arial"/>
          <w:b w:val="true"/>
          <w:sz w:val="32"/>
        </w:rPr>
        <w:t>乙方仅有义务按照合同约定为甲方提供广告发布服务，甲方确认，乙方未就甲方的广告发布效果作出过任何承诺，甲方不得以广告发布效果未达预期目标或以其他不合理、不合法的理由延付或拒付相关款项。</w:t>
      </w:r>
      <w:bookmarkEnd w:id="55"/>
    </w:p>
    <w:p>
      <w:pPr>
        <w:pStyle w:val="2"/>
        <w:spacing w:before="320" w:after="120" w:line="288" w:lineRule="auto"/>
        <w:ind w:left="907"/>
        <w:jc w:val="left"/>
        <w:outlineLvl w:val="1"/>
      </w:pPr>
      <w:bookmarkStart w:name="heading_56" w:id="56"/>
      <w:r>
        <w:rPr>
          <w:rFonts w:eastAsia="等线" w:ascii="Arial" w:cs="Arial" w:hAnsi="Arial"/>
          <w:color w:val="3370ff"/>
          <w:sz w:val="32"/>
        </w:rPr>
        <w:t xml:space="preserve">8.43 </w:t>
      </w:r>
      <w:r>
        <w:rPr>
          <w:rFonts w:eastAsia="等线" w:ascii="Arial" w:cs="Arial" w:hAnsi="Arial"/>
          <w:b w:val="true"/>
          <w:sz w:val="32"/>
        </w:rPr>
        <w:t>乙方可帮助甲方对甲方提供的广告内容进行初步审查，乙方对甲方投放广告内容的审查，或者乙方将甲方提供的广告内容投放均不代表乙方对甲方广告内容的任何实质性审查通过或者任何合法性承诺，因广告内容所产生的一切经济与法律责任均应由甲方自行承担，并应赔偿乙方因此遭受的全部损失。甲方应严格按照投放的媒体平台的规则和各国法律、法规的规定投放并保证合法且不侵犯任何第三方权利及其他合法权益，否则甲方应独立承担法律责任，与乙方无关。</w:t>
      </w:r>
      <w:bookmarkEnd w:id="56"/>
    </w:p>
    <w:p>
      <w:pPr>
        <w:pStyle w:val="1"/>
        <w:spacing w:before="380" w:after="140" w:line="288" w:lineRule="auto"/>
        <w:ind w:left="0"/>
        <w:jc w:val="left"/>
        <w:outlineLvl w:val="0"/>
      </w:pPr>
      <w:bookmarkStart w:name="heading_57" w:id="57"/>
      <w:bookmarkEnd w:id="57"/>
    </w:p>
    <w:p>
      <w:pPr>
        <w:pStyle w:val="1"/>
        <w:spacing w:before="380" w:after="140" w:line="288" w:lineRule="auto"/>
        <w:ind w:left="453"/>
        <w:jc w:val="left"/>
        <w:outlineLvl w:val="0"/>
      </w:pPr>
      <w:bookmarkStart w:name="heading_58" w:id="58"/>
      <w:r>
        <w:rPr>
          <w:rFonts w:eastAsia="等线" w:ascii="Arial" w:cs="Arial" w:hAnsi="Arial"/>
          <w:color w:val="3370ff"/>
          <w:sz w:val="36"/>
        </w:rPr>
        <w:t xml:space="preserve">9. </w:t>
      </w:r>
      <w:r>
        <w:rPr>
          <w:rFonts w:eastAsia="等线" w:ascii="Arial" w:cs="Arial" w:hAnsi="Arial"/>
          <w:b w:val="true"/>
          <w:sz w:val="36"/>
        </w:rPr>
        <w:t>知识产权及保密</w:t>
      </w:r>
      <w:bookmarkEnd w:id="58"/>
    </w:p>
    <w:p>
      <w:pPr>
        <w:numPr>
          <w:numId w:val="31"/>
        </w:numPr>
        <w:spacing w:before="120" w:after="120" w:line="288" w:lineRule="auto"/>
        <w:ind w:left="0"/>
        <w:jc w:val="left"/>
      </w:pPr>
    </w:p>
    <w:p>
      <w:pPr>
        <w:numPr>
          <w:numId w:val="32"/>
        </w:numPr>
        <w:spacing w:before="120" w:after="120" w:line="288" w:lineRule="auto"/>
        <w:ind w:left="0"/>
        <w:jc w:val="left"/>
      </w:pPr>
    </w:p>
    <w:p>
      <w:pPr>
        <w:numPr>
          <w:numId w:val="33"/>
        </w:numPr>
        <w:spacing w:before="120" w:after="120" w:line="288" w:lineRule="auto"/>
        <w:ind w:left="0"/>
        <w:jc w:val="left"/>
      </w:pPr>
    </w:p>
    <w:p>
      <w:pPr>
        <w:numPr>
          <w:numId w:val="34"/>
        </w:numPr>
        <w:spacing w:before="120" w:after="120" w:line="288" w:lineRule="auto"/>
        <w:ind w:left="453"/>
        <w:jc w:val="left"/>
      </w:pPr>
      <w:r>
        <w:rPr>
          <w:rFonts w:eastAsia="等线" w:ascii="Arial" w:cs="Arial" w:hAnsi="Arial"/>
          <w:sz w:val="22"/>
        </w:rPr>
        <w:t>双方使用的所有硬件、软件、程序、密码、商品名、技术、许可证、专利、商标、技术知识等皆归各方所有权人所有，不存在任何权利瑕疵，另一方及第三方对于此无任何权利或利益。如甲方委托乙方创作广告的，甲方在支付乙方创作费用之后，对该广告作品的创意、草稿、内容等全部创作过程中任何阶段产生的任何作品享有全部的知识产权。</w:t>
      </w:r>
    </w:p>
    <w:p>
      <w:pPr>
        <w:numPr>
          <w:numId w:val="35"/>
        </w:numPr>
        <w:spacing w:before="120" w:after="120" w:line="288" w:lineRule="auto"/>
        <w:ind w:left="453"/>
        <w:jc w:val="left"/>
      </w:pPr>
      <w:r>
        <w:rPr>
          <w:rFonts w:eastAsia="等线" w:ascii="Arial" w:cs="Arial" w:hAnsi="Arial"/>
          <w:sz w:val="22"/>
        </w:rPr>
        <w:t>双方在本合同有效期间获知的对方的商业秘密、技术秘密、返点比例等需双方保密的事项，在合同期间及合同终止后两年内不得向第三方披露或公开。</w:t>
      </w:r>
    </w:p>
    <w:p>
      <w:pPr>
        <w:numPr>
          <w:numId w:val="36"/>
        </w:numPr>
        <w:spacing w:before="120" w:after="120" w:line="288" w:lineRule="auto"/>
        <w:ind w:left="453"/>
        <w:jc w:val="left"/>
      </w:pPr>
      <w:r>
        <w:rPr>
          <w:rFonts w:eastAsia="等线" w:ascii="Arial" w:cs="Arial" w:hAnsi="Arial"/>
          <w:sz w:val="22"/>
        </w:rPr>
        <w:t>甲乙双方同意并确认，为广告推广/发布，内部培训，外部宣传之目的，乙方可在本合同有效期内使用甲方公司名称、商号、商标、广告作品等信息。除前述约定外，未经对方事先书面同意，本协议任何一方不得擅自使用或复制另一方的商标和标识。甲乙双方应根据广告推广区域的法律法规，提前做好甲方的知识产权保护工作，如在广告发布过程中任何第三方因此提出争议，甲方应负责自行解决与乙方无关。</w:t>
      </w:r>
    </w:p>
    <w:p>
      <w:pPr>
        <w:pStyle w:val="2"/>
        <w:spacing w:before="320" w:after="120" w:line="288" w:lineRule="auto"/>
        <w:ind w:left="453"/>
        <w:jc w:val="left"/>
        <w:outlineLvl w:val="1"/>
      </w:pPr>
      <w:bookmarkStart w:name="heading_59" w:id="59"/>
      <w:r>
        <w:rPr>
          <w:rFonts w:eastAsia="等线" w:ascii="Arial" w:cs="Arial" w:hAnsi="Arial"/>
          <w:color w:val="3370ff"/>
          <w:sz w:val="32"/>
        </w:rPr>
        <w:t xml:space="preserve">9.1 </w:t>
      </w:r>
      <w:r>
        <w:rPr>
          <w:rFonts w:eastAsia="等线" w:ascii="Arial" w:cs="Arial" w:hAnsi="Arial"/>
          <w:b w:val="true"/>
          <w:sz w:val="32"/>
        </w:rPr>
        <w:t>以下情形不作为保密信息，不适用本条规定：</w:t>
      </w:r>
      <w:bookmarkEnd w:id="59"/>
    </w:p>
    <w:p>
      <w:pPr>
        <w:pStyle w:val="3"/>
        <w:spacing w:before="300" w:after="120" w:line="288" w:lineRule="auto"/>
        <w:ind w:left="907"/>
        <w:jc w:val="left"/>
        <w:outlineLvl w:val="2"/>
      </w:pPr>
      <w:bookmarkStart w:name="heading_60" w:id="60"/>
      <w:r>
        <w:rPr>
          <w:rFonts w:eastAsia="等线" w:ascii="Arial" w:cs="Arial" w:hAnsi="Arial"/>
          <w:color w:val="3370ff"/>
          <w:sz w:val="30"/>
        </w:rPr>
        <w:t xml:space="preserve">9.1.1 </w:t>
      </w:r>
      <w:r>
        <w:rPr>
          <w:rFonts w:eastAsia="等线" w:ascii="Arial" w:cs="Arial" w:hAnsi="Arial"/>
          <w:b w:val="true"/>
          <w:sz w:val="30"/>
        </w:rPr>
        <w:t>获知时已经公开的信息；</w:t>
      </w:r>
      <w:bookmarkEnd w:id="60"/>
    </w:p>
    <w:p>
      <w:pPr>
        <w:numPr>
          <w:numId w:val="37"/>
        </w:numPr>
        <w:spacing w:before="120" w:after="120" w:line="288" w:lineRule="auto"/>
        <w:ind w:left="907"/>
        <w:jc w:val="left"/>
      </w:pPr>
      <w:r>
        <w:rPr>
          <w:rFonts w:eastAsia="等线" w:ascii="Arial" w:cs="Arial" w:hAnsi="Arial"/>
          <w:sz w:val="22"/>
        </w:rPr>
        <w:t>获知后非因获知一方的违约或者不当行为而被公开的信息；</w:t>
      </w:r>
    </w:p>
    <w:p>
      <w:pPr>
        <w:numPr>
          <w:numId w:val="38"/>
        </w:numPr>
        <w:spacing w:before="120" w:after="120" w:line="288" w:lineRule="auto"/>
        <w:ind w:left="907"/>
        <w:jc w:val="left"/>
      </w:pPr>
      <w:r>
        <w:rPr>
          <w:rFonts w:eastAsia="等线" w:ascii="Arial" w:cs="Arial" w:hAnsi="Arial"/>
          <w:sz w:val="22"/>
        </w:rPr>
        <w:t>自己独立开发，或从第三方合法取得且不负保密义务的；</w:t>
      </w:r>
    </w:p>
    <w:p>
      <w:pPr>
        <w:numPr>
          <w:numId w:val="39"/>
        </w:numPr>
        <w:spacing w:before="120" w:after="120" w:line="288" w:lineRule="auto"/>
        <w:ind w:left="907"/>
        <w:jc w:val="left"/>
      </w:pPr>
      <w:r>
        <w:rPr>
          <w:rFonts w:eastAsia="等线" w:ascii="Arial" w:cs="Arial" w:hAnsi="Arial"/>
          <w:sz w:val="22"/>
        </w:rPr>
        <w:t>尽管如此，如果法律要求或政府、司法机关提出命令要求披露保密信息，获知保密信息的一方有权根据要求披露信息，但应当在披露后立即通知保密信息的提供方。</w:t>
      </w:r>
    </w:p>
    <w:p>
      <w:pPr>
        <w:pStyle w:val="1"/>
        <w:spacing w:before="380" w:after="140" w:line="288" w:lineRule="auto"/>
        <w:ind w:left="453"/>
        <w:jc w:val="left"/>
        <w:outlineLvl w:val="0"/>
      </w:pPr>
      <w:bookmarkStart w:name="heading_61" w:id="61"/>
      <w:r>
        <w:rPr>
          <w:rFonts w:eastAsia="等线" w:ascii="Arial" w:cs="Arial" w:hAnsi="Arial"/>
          <w:color w:val="3370ff"/>
          <w:sz w:val="36"/>
        </w:rPr>
        <w:t xml:space="preserve">10. </w:t>
      </w:r>
      <w:r>
        <w:rPr>
          <w:rFonts w:eastAsia="等线" w:ascii="Arial" w:cs="Arial" w:hAnsi="Arial"/>
          <w:b w:val="true"/>
          <w:sz w:val="36"/>
        </w:rPr>
        <w:t>审计</w:t>
      </w:r>
      <w:bookmarkEnd w:id="61"/>
    </w:p>
    <w:p>
      <w:pPr>
        <w:numPr>
          <w:numId w:val="40"/>
        </w:numPr>
        <w:spacing w:before="120" w:after="120" w:line="288" w:lineRule="auto"/>
        <w:ind w:left="0"/>
        <w:jc w:val="left"/>
      </w:pPr>
    </w:p>
    <w:p>
      <w:pPr>
        <w:numPr>
          <w:numId w:val="41"/>
        </w:numPr>
        <w:spacing w:before="120" w:after="120" w:line="288" w:lineRule="auto"/>
        <w:ind w:left="453"/>
        <w:jc w:val="left"/>
      </w:pPr>
      <w:r>
        <w:rPr>
          <w:rFonts w:eastAsia="等线" w:ascii="Arial" w:cs="Arial" w:hAnsi="Arial"/>
          <w:sz w:val="22"/>
        </w:rPr>
        <w:t>基于双方友好合作的基础，本合同履行期间以及本合同终止后的【5】年之内，甲方应当积极配合乙方委托的第三方审计或调查要求（包括但不限于配合乙方审计询证函回函，提供与本合同相关发票、记录等文件和材料、与甲方管理层人员和员工进行访谈等）</w:t>
      </w:r>
    </w:p>
    <w:p>
      <w:pPr>
        <w:numPr>
          <w:numId w:val="42"/>
        </w:numPr>
        <w:spacing w:before="120" w:after="120" w:line="288" w:lineRule="auto"/>
        <w:ind w:left="453"/>
        <w:jc w:val="left"/>
      </w:pPr>
      <w:r>
        <w:rPr>
          <w:rFonts w:eastAsia="等线" w:ascii="Arial" w:cs="Arial" w:hAnsi="Arial"/>
          <w:sz w:val="22"/>
        </w:rPr>
        <w:t>甲方应在本合同终止后【5】年之内保存与本合同履行相关的所有文件、往来函件、数据、账目、报告、记录、收据等材料。</w:t>
      </w:r>
    </w:p>
    <w:p>
      <w:pPr>
        <w:spacing w:before="120" w:after="120" w:line="288" w:lineRule="auto"/>
        <w:ind w:left="0" w:firstLine="0"/>
        <w:jc w:val="left"/>
      </w:pPr>
    </w:p>
    <w:p>
      <w:pPr>
        <w:pStyle w:val="1"/>
        <w:spacing w:before="380" w:after="140" w:line="288" w:lineRule="auto"/>
        <w:ind w:left="453"/>
        <w:jc w:val="left"/>
        <w:outlineLvl w:val="0"/>
      </w:pPr>
      <w:bookmarkStart w:name="heading_62" w:id="62"/>
      <w:r>
        <w:rPr>
          <w:rFonts w:eastAsia="等线" w:ascii="Arial" w:cs="Arial" w:hAnsi="Arial"/>
          <w:color w:val="3370ff"/>
          <w:sz w:val="36"/>
        </w:rPr>
        <w:t xml:space="preserve">11. </w:t>
      </w:r>
      <w:r>
        <w:rPr>
          <w:rFonts w:eastAsia="等线" w:ascii="Arial" w:cs="Arial" w:hAnsi="Arial"/>
          <w:b w:val="true"/>
          <w:sz w:val="36"/>
        </w:rPr>
        <w:t>违约责任</w:t>
      </w:r>
      <w:bookmarkEnd w:id="62"/>
    </w:p>
    <w:p>
      <w:pPr>
        <w:numPr>
          <w:numId w:val="43"/>
        </w:numPr>
        <w:spacing w:before="120" w:after="120" w:line="288" w:lineRule="auto"/>
        <w:ind w:left="0"/>
        <w:jc w:val="left"/>
      </w:pPr>
    </w:p>
    <w:p>
      <w:pPr>
        <w:numPr>
          <w:numId w:val="44"/>
        </w:numPr>
        <w:spacing w:before="120" w:after="120" w:line="288" w:lineRule="auto"/>
        <w:ind w:left="453"/>
        <w:jc w:val="left"/>
      </w:pPr>
      <w:r>
        <w:rPr>
          <w:rFonts w:eastAsia="等线" w:ascii="Arial" w:cs="Arial" w:hAnsi="Arial"/>
          <w:sz w:val="22"/>
        </w:rPr>
        <w:t>双方确认，甲方的付款时间以甲方支付款项实际到达乙方银行账户为准（下同）。乙方未能在本合同以及《广告发布合同》中规定的付款期限内足额的收到甲方应当支付的费用的，应当视为甲方根本性违约，甲方应当自违约之日起按照欠款总金额的万分之六点五/每日向乙方支付逾期违约金，且乙方有权单方做出如下决定与行为并不承担任何法律责任：</w:t>
      </w:r>
    </w:p>
    <w:p>
      <w:pPr>
        <w:numPr>
          <w:numId w:val="45"/>
        </w:numPr>
        <w:spacing w:before="120" w:after="120" w:line="288" w:lineRule="auto"/>
        <w:ind w:left="453"/>
        <w:jc w:val="left"/>
      </w:pPr>
      <w:r>
        <w:rPr>
          <w:rFonts w:eastAsia="等线" w:ascii="Arial" w:cs="Arial" w:hAnsi="Arial"/>
          <w:sz w:val="22"/>
        </w:rPr>
        <w:t>甲方逾期支付等于或超过1个自然日的（以下简称“该等行为”），乙方有权停止对甲方提供任何服务包括但不限于取消返点并甲方应向乙方支付欠款费用及违约金，且如若乙方因该等行为遭致任何损失，甲方应承担赔偿责任。</w:t>
      </w:r>
    </w:p>
    <w:p>
      <w:pPr>
        <w:numPr>
          <w:numId w:val="46"/>
        </w:numPr>
        <w:spacing w:before="120" w:after="120" w:line="288" w:lineRule="auto"/>
        <w:ind w:left="453"/>
        <w:jc w:val="left"/>
      </w:pPr>
      <w:r>
        <w:rPr>
          <w:rFonts w:eastAsia="等线" w:ascii="Arial" w:cs="Arial" w:hAnsi="Arial"/>
          <w:sz w:val="22"/>
        </w:rPr>
        <w:t>甲方逾期支付等于或超过5个自然日的（以下简称“该等行为”），除上述条款之外，乙方另有权单方终止本合同以及《广告发布合同》和《广告发布合同政策》，并将甲方的广告账户冻结、封停或清零，且如若乙方因该等行为遭致任何损失，甲方应承担赔偿责任。同时，乙方有权要求甲方退还乙方已享有的全部返点金额。</w:t>
      </w:r>
    </w:p>
    <w:p>
      <w:pPr>
        <w:numPr>
          <w:numId w:val="47"/>
        </w:numPr>
        <w:spacing w:before="120" w:after="120" w:line="288" w:lineRule="auto"/>
        <w:ind w:left="453"/>
        <w:jc w:val="left"/>
      </w:pPr>
      <w:r>
        <w:rPr>
          <w:rFonts w:eastAsia="等线" w:ascii="Arial" w:cs="Arial" w:hAnsi="Arial"/>
          <w:sz w:val="22"/>
        </w:rPr>
        <w:t>甲方明确知悉并同意：如甲方在该季度内任一笔款项未能按时且足额付款的，则乙方有权扣除该季度甲方应得全部返点；在此情形下若经协商乙方同意给予部分返点，则乙方有权将双方确认后的返点金额于某一期账单进行抵扣或按照本条适用的其他支付方式进行支付。</w:t>
      </w:r>
    </w:p>
    <w:p>
      <w:pPr>
        <w:numPr>
          <w:numId w:val="48"/>
        </w:numPr>
        <w:spacing w:before="120" w:after="120" w:line="288" w:lineRule="auto"/>
        <w:ind w:left="453"/>
        <w:jc w:val="left"/>
      </w:pPr>
      <w:r>
        <w:rPr>
          <w:rFonts w:eastAsia="等线" w:ascii="Arial" w:cs="Arial" w:hAnsi="Arial"/>
          <w:sz w:val="22"/>
        </w:rPr>
        <w:t>如因乙方的过错导致甲方的部分或全部广告不能按合同规定的期限、位置进行发布而给甲方造成经济损失的，就未依约发布的广告乙方应给予甲方同等价值的补发，直到原合同规定的广告发布数量和/或广告发布时间全部履行完毕时为止。</w:t>
      </w:r>
    </w:p>
    <w:p>
      <w:pPr>
        <w:numPr>
          <w:numId w:val="49"/>
        </w:numPr>
        <w:spacing w:before="120" w:after="120" w:line="288" w:lineRule="auto"/>
        <w:ind w:left="453"/>
        <w:jc w:val="left"/>
      </w:pPr>
      <w:r>
        <w:rPr>
          <w:rFonts w:eastAsia="等线" w:ascii="Arial" w:cs="Arial" w:hAnsi="Arial"/>
          <w:sz w:val="22"/>
        </w:rPr>
        <w:t>非经乙方书面同意，甲方单方提前终止本合同的，乙方有权单方做出如下决定于行为并不承担任何法律责任：</w:t>
      </w:r>
    </w:p>
    <w:p>
      <w:pPr>
        <w:spacing w:before="120" w:after="120" w:line="288" w:lineRule="auto"/>
        <w:ind w:left="0" w:firstLine="0"/>
        <w:jc w:val="left"/>
      </w:pPr>
      <w:r>
        <w:rPr>
          <w:rFonts w:eastAsia="等线" w:ascii="Arial" w:cs="Arial" w:hAnsi="Arial"/>
          <w:sz w:val="22"/>
        </w:rPr>
        <w:t>8.4.1 乙方有权取消当期返点，立即终止协议。</w:t>
      </w:r>
    </w:p>
    <w:p>
      <w:pPr>
        <w:spacing w:before="120" w:after="120" w:line="288" w:lineRule="auto"/>
        <w:ind w:left="0" w:firstLine="0"/>
        <w:jc w:val="left"/>
      </w:pPr>
      <w:r>
        <w:rPr>
          <w:rFonts w:eastAsia="等线" w:ascii="Arial" w:cs="Arial" w:hAnsi="Arial"/>
          <w:sz w:val="22"/>
        </w:rPr>
        <w:t>8.4.2 乙方已收取的费用款项全部不予退还。</w:t>
      </w:r>
    </w:p>
    <w:p>
      <w:pPr>
        <w:spacing w:before="120" w:after="120" w:line="288" w:lineRule="auto"/>
        <w:ind w:left="0" w:firstLine="420"/>
        <w:jc w:val="left"/>
      </w:pPr>
      <w:r>
        <w:rPr>
          <w:rFonts w:eastAsia="等线" w:ascii="Arial" w:cs="Arial" w:hAnsi="Arial"/>
          <w:sz w:val="22"/>
        </w:rPr>
        <w:t>8.4.3 乙方有权要求甲方在终止后5个自然日内向乙方支付欠款费用，如甲方延迟支付，则应当自终止之日起按照欠款总金额的万分之六点五/每日向乙方支付逾期违约金。</w:t>
      </w:r>
    </w:p>
    <w:p>
      <w:pPr>
        <w:numPr>
          <w:numId w:val="50"/>
        </w:numPr>
        <w:spacing w:before="120" w:after="120" w:line="288" w:lineRule="auto"/>
        <w:ind w:left="453"/>
        <w:jc w:val="left"/>
      </w:pPr>
      <w:r>
        <w:rPr>
          <w:rFonts w:eastAsia="等线" w:ascii="Arial" w:cs="Arial" w:hAnsi="Arial"/>
          <w:sz w:val="22"/>
        </w:rPr>
        <w:t>由于甲方原因造成所发布广告的对应链接形成无效链接、非法链接的（如甲方app被app store下架等），乙方可取消广告位展示，但甲方仍应按照原约定金额支付全部费用。但在约定投放期内，如甲方广告链接恢复有效（如app重新上架），如原约定广告发布期还未届满，乙方可以为甲方补偿发布直至期限届满，具体补偿广告位置由乙方决定；若恢复上架时广告发布期已结束，则乙方无义务为甲方补充发布。</w:t>
      </w:r>
    </w:p>
    <w:p>
      <w:pPr>
        <w:numPr>
          <w:numId w:val="51"/>
        </w:numPr>
        <w:spacing w:before="120" w:after="120" w:line="288" w:lineRule="auto"/>
        <w:ind w:left="453"/>
        <w:jc w:val="left"/>
      </w:pPr>
      <w:r>
        <w:rPr>
          <w:rFonts w:eastAsia="等线" w:ascii="Arial" w:cs="Arial" w:hAnsi="Arial"/>
          <w:sz w:val="22"/>
        </w:rPr>
        <w:t>甲方因违反本合同以及《广告发布合同》《广告发布合同政策》约定应当向乙方承担的损害赔偿责任和乙方遭受的全部损失包括但不限于依照上述合同产生的直接/间接经济损失、预期利益、违约金、赔偿金、诉讼/仲裁费用、公证费、鉴定费、律师费、差旅费，以及乙方因甲方的违约应向平台方承担的包括但不限于前述各项费用在内的全部违约金、赔偿金。其中乙方的直接/间接经济损失及预期利益无法计算的，以不低于欠款总金额的三倍计算。</w:t>
      </w:r>
    </w:p>
    <w:p>
      <w:pPr>
        <w:numPr>
          <w:numId w:val="52"/>
        </w:numPr>
        <w:spacing w:before="120" w:after="120" w:line="288" w:lineRule="auto"/>
        <w:ind w:left="453"/>
        <w:jc w:val="left"/>
      </w:pPr>
      <w:r>
        <w:rPr>
          <w:rFonts w:eastAsia="等线" w:ascii="Arial" w:cs="Arial" w:hAnsi="Arial"/>
          <w:sz w:val="22"/>
        </w:rPr>
        <w:t>除本合同另有约定外，如任何一方违反本合同所规定的义务，违约方在收到守约方要求纠正其违约行为的书面通知之日，应立即停止其违约行为，依照合同继续履行其义务，并在10个自然日内赔偿守约方因此受到的所有损失。如违约方继续违约或不履行其义务，守约方除就其所有损失而获得违约方赔偿外，亦有权提前解除本合同。</w:t>
      </w:r>
    </w:p>
    <w:p>
      <w:pPr>
        <w:numPr>
          <w:numId w:val="53"/>
        </w:numPr>
        <w:spacing w:before="120" w:after="120" w:line="288" w:lineRule="auto"/>
        <w:ind w:left="453"/>
        <w:jc w:val="left"/>
      </w:pPr>
      <w:r>
        <w:rPr>
          <w:rFonts w:eastAsia="等线" w:ascii="Arial" w:cs="Arial" w:hAnsi="Arial"/>
          <w:sz w:val="22"/>
        </w:rPr>
        <w:t>甲方明确知悉，乙方未行使或迟延行使本协议项下的任何权利或补救方法不应视为对该权利、补救方法的放弃；任何单独一次或部分放弃行使任何权利或补救方法的亦不应妨碍将来行使这些权利或补救方法。</w:t>
      </w:r>
    </w:p>
    <w:p>
      <w:pPr>
        <w:spacing w:before="120" w:after="120" w:line="288" w:lineRule="auto"/>
        <w:ind w:left="0" w:firstLine="420"/>
        <w:jc w:val="left"/>
      </w:pPr>
    </w:p>
    <w:p>
      <w:pPr>
        <w:pStyle w:val="1"/>
        <w:spacing w:before="380" w:after="140" w:line="288" w:lineRule="auto"/>
        <w:ind w:left="453"/>
        <w:jc w:val="left"/>
        <w:outlineLvl w:val="0"/>
      </w:pPr>
      <w:bookmarkStart w:name="heading_63" w:id="63"/>
      <w:r>
        <w:rPr>
          <w:rFonts w:eastAsia="等线" w:ascii="Arial" w:cs="Arial" w:hAnsi="Arial"/>
          <w:color w:val="3370ff"/>
          <w:sz w:val="36"/>
        </w:rPr>
        <w:t xml:space="preserve">12. </w:t>
      </w:r>
      <w:r>
        <w:rPr>
          <w:rFonts w:eastAsia="等线" w:ascii="Arial" w:cs="Arial" w:hAnsi="Arial"/>
          <w:b w:val="true"/>
          <w:sz w:val="36"/>
        </w:rPr>
        <w:t>特殊免责</w:t>
      </w:r>
      <w:bookmarkEnd w:id="63"/>
    </w:p>
    <w:p>
      <w:pPr>
        <w:numPr>
          <w:numId w:val="54"/>
        </w:numPr>
        <w:spacing w:before="120" w:after="120" w:line="288" w:lineRule="auto"/>
        <w:ind w:left="0"/>
        <w:jc w:val="left"/>
      </w:pPr>
    </w:p>
    <w:p>
      <w:pPr>
        <w:numPr>
          <w:numId w:val="55"/>
        </w:numPr>
        <w:spacing w:before="120" w:after="120" w:line="288" w:lineRule="auto"/>
        <w:ind w:left="453"/>
        <w:jc w:val="left"/>
      </w:pPr>
      <w:r>
        <w:rPr>
          <w:rFonts w:eastAsia="等线" w:ascii="Arial" w:cs="Arial" w:hAnsi="Arial"/>
          <w:sz w:val="22"/>
        </w:rPr>
        <w:t>甲方理解发布平台运营方为了平台的正常运行，需要定期或不定期地对发布平台进行停机维护，如因此类情况而造成的本合同项下的广告不能按计划进行发布，甲方承诺对此不追究乙方法律责任，但乙方有义务尽力避免服务中断或将中断时间限制在最短时间内。</w:t>
      </w:r>
    </w:p>
    <w:p>
      <w:pPr>
        <w:numPr>
          <w:numId w:val="56"/>
        </w:numPr>
        <w:spacing w:before="120" w:after="120" w:line="288" w:lineRule="auto"/>
        <w:ind w:left="453"/>
        <w:jc w:val="left"/>
      </w:pPr>
      <w:r>
        <w:rPr>
          <w:rFonts w:eastAsia="等线" w:ascii="Arial" w:cs="Arial" w:hAnsi="Arial"/>
          <w:sz w:val="22"/>
        </w:rPr>
        <w:t>基于市场整体利益考虑及经营需要，媒体平台运营方可能不定期对其网站的服务内容、版面布局、页面设计等有关方面进行调整，如因上述调整而影响本合同项下广告的发布(包括发布位置和/或发布期间等)，甲方将给予充分的谅解，乙方应将上述影响减少至最低程度。</w:t>
      </w:r>
    </w:p>
    <w:p>
      <w:pPr>
        <w:numPr>
          <w:numId w:val="57"/>
        </w:numPr>
        <w:spacing w:before="120" w:after="120" w:line="288" w:lineRule="auto"/>
        <w:ind w:left="453"/>
        <w:jc w:val="left"/>
      </w:pPr>
      <w:r>
        <w:rPr>
          <w:rFonts w:eastAsia="等线" w:ascii="Arial" w:cs="Arial" w:hAnsi="Arial"/>
          <w:sz w:val="22"/>
        </w:rPr>
        <w:t>甲方同意，乙方因上述两种情形而不能按计划发布广告的，不视为乙方违约。但乙方应在影响广告发布的情形结束之后，尽可能按照原计划规定的时间和位置发布原广告，或与甲方协商确定其他合理的解决方案。</w:t>
      </w:r>
    </w:p>
    <w:p>
      <w:pPr>
        <w:numPr>
          <w:numId w:val="58"/>
        </w:numPr>
        <w:spacing w:before="120" w:after="120" w:line="288" w:lineRule="auto"/>
        <w:ind w:left="453"/>
        <w:jc w:val="left"/>
      </w:pPr>
      <w:r>
        <w:rPr>
          <w:rFonts w:eastAsia="等线" w:ascii="Arial" w:cs="Arial" w:hAnsi="Arial"/>
          <w:sz w:val="22"/>
        </w:rPr>
        <w:t>甲方同意，如在本合同履行期间，甲方投放的媒体平台的要求或政策有变化的，双方应根据该媒体平台的要求和变化积极变更合作内容，并双方均不向对方承担任何违约责任。</w:t>
      </w:r>
    </w:p>
    <w:p>
      <w:pPr>
        <w:spacing w:before="120" w:after="120" w:line="288" w:lineRule="auto"/>
        <w:ind w:left="0" w:firstLine="0"/>
        <w:jc w:val="left"/>
      </w:pPr>
    </w:p>
    <w:p>
      <w:pPr>
        <w:pStyle w:val="1"/>
        <w:spacing w:before="380" w:after="140" w:line="288" w:lineRule="auto"/>
        <w:ind w:left="453"/>
        <w:jc w:val="left"/>
        <w:outlineLvl w:val="0"/>
      </w:pPr>
      <w:bookmarkStart w:name="heading_64" w:id="64"/>
      <w:r>
        <w:rPr>
          <w:rFonts w:eastAsia="等线" w:ascii="Arial" w:cs="Arial" w:hAnsi="Arial"/>
          <w:color w:val="3370ff"/>
          <w:sz w:val="36"/>
        </w:rPr>
        <w:t xml:space="preserve">13. </w:t>
      </w:r>
      <w:r>
        <w:rPr>
          <w:rFonts w:eastAsia="等线" w:ascii="Arial" w:cs="Arial" w:hAnsi="Arial"/>
          <w:b w:val="true"/>
          <w:sz w:val="36"/>
        </w:rPr>
        <w:t>不可抗力</w:t>
      </w:r>
      <w:bookmarkEnd w:id="64"/>
    </w:p>
    <w:p>
      <w:pPr>
        <w:numPr>
          <w:numId w:val="59"/>
        </w:numPr>
        <w:spacing w:before="120" w:after="120" w:line="288" w:lineRule="auto"/>
        <w:ind w:left="0"/>
        <w:jc w:val="left"/>
      </w:pPr>
    </w:p>
    <w:p>
      <w:pPr>
        <w:numPr>
          <w:numId w:val="60"/>
        </w:numPr>
        <w:spacing w:before="120" w:after="120" w:line="288" w:lineRule="auto"/>
        <w:ind w:left="453"/>
        <w:jc w:val="left"/>
      </w:pPr>
      <w:r>
        <w:rPr>
          <w:rFonts w:eastAsia="等线" w:ascii="Arial" w:cs="Arial" w:hAnsi="Arial"/>
          <w:sz w:val="22"/>
        </w:rPr>
        <w:t>不可抗力：指双方缔结本合同时所不能预见、并且它的发生及其后果是不能克服和不能避免的客观情况，包括但不限于：（1）自然灾害如洪水、冰雹、海啸、台风、旱灾、火灾；（2）政府或政党行为如政府当局或执政党颁布的政策、法律、法规和采取新的行为措施导致本合同不能履行；（3）社会异常现象如骚乱、战争、罢工但不包括双方内部劳资纠纷，所造成的不能履行本合同或延迟履行；（4）黑客攻击、计算机病毒、电信部门技术调整导致之影响、因政府管制而造成的暂时性关闭等在内的任何影响网络正常经营情形。</w:t>
      </w:r>
    </w:p>
    <w:p>
      <w:pPr>
        <w:numPr>
          <w:numId w:val="61"/>
        </w:numPr>
        <w:spacing w:before="120" w:after="120" w:line="288" w:lineRule="auto"/>
        <w:ind w:left="453"/>
        <w:jc w:val="left"/>
      </w:pPr>
      <w:r>
        <w:rPr>
          <w:rFonts w:eastAsia="等线" w:ascii="Arial" w:cs="Arial" w:hAnsi="Arial"/>
          <w:sz w:val="22"/>
        </w:rPr>
        <w:t>如果出现以上不可抗力情形，双方在本合同中的义务在不可抗力影响范围及其持续期间内将中止履行，任何一方均不会因此而承担不履行上述义务的责任，但受影响一方应立即书面通知另一方并提供相关的证明文件。</w:t>
      </w:r>
    </w:p>
    <w:p>
      <w:pPr>
        <w:numPr>
          <w:numId w:val="62"/>
        </w:numPr>
        <w:spacing w:before="120" w:after="120" w:line="288" w:lineRule="auto"/>
        <w:ind w:left="453"/>
        <w:jc w:val="left"/>
      </w:pPr>
      <w:r>
        <w:rPr>
          <w:rFonts w:eastAsia="等线" w:ascii="Arial" w:cs="Arial" w:hAnsi="Arial"/>
          <w:sz w:val="22"/>
        </w:rPr>
        <w:t>如发生不可抗力，双方应立即协商解决问题的方案，合同期限可根据中止的期限而作相应延长。在不可抗力情况消除后，双方应依照协商的延长履行期限及解决问题方案继续履行合同或履行方案。</w:t>
      </w:r>
    </w:p>
    <w:p>
      <w:pPr>
        <w:numPr>
          <w:numId w:val="63"/>
        </w:numPr>
        <w:spacing w:before="120" w:after="120" w:line="288" w:lineRule="auto"/>
        <w:ind w:left="453"/>
        <w:jc w:val="left"/>
      </w:pPr>
      <w:r>
        <w:rPr>
          <w:rFonts w:eastAsia="等线" w:ascii="Arial" w:cs="Arial" w:hAnsi="Arial"/>
          <w:sz w:val="22"/>
        </w:rPr>
        <w:t>如果不可抗力持续三十(30)日以上，且继续履行本合同将产生重大不利影响或者无法继续履行合同，则任何一方均可无条件终止本合同。</w:t>
      </w:r>
    </w:p>
    <w:p>
      <w:pPr>
        <w:spacing w:before="120" w:after="120" w:line="288" w:lineRule="auto"/>
        <w:ind w:left="0" w:firstLine="0"/>
        <w:jc w:val="left"/>
      </w:pPr>
    </w:p>
    <w:p>
      <w:pPr>
        <w:pStyle w:val="1"/>
        <w:spacing w:before="380" w:after="140" w:line="288" w:lineRule="auto"/>
        <w:ind w:left="453"/>
        <w:jc w:val="left"/>
        <w:outlineLvl w:val="0"/>
      </w:pPr>
      <w:bookmarkStart w:name="heading_65" w:id="65"/>
      <w:r>
        <w:rPr>
          <w:rFonts w:eastAsia="等线" w:ascii="Arial" w:cs="Arial" w:hAnsi="Arial"/>
          <w:color w:val="3370ff"/>
          <w:sz w:val="36"/>
        </w:rPr>
        <w:t xml:space="preserve">14. </w:t>
      </w:r>
      <w:r>
        <w:rPr>
          <w:rFonts w:eastAsia="等线" w:ascii="Arial" w:cs="Arial" w:hAnsi="Arial"/>
          <w:b w:val="true"/>
          <w:sz w:val="36"/>
        </w:rPr>
        <w:t>法律适用及争议解决</w:t>
      </w:r>
      <w:bookmarkEnd w:id="65"/>
    </w:p>
    <w:p>
      <w:pPr>
        <w:numPr>
          <w:numId w:val="64"/>
        </w:numPr>
        <w:spacing w:before="120" w:after="120" w:line="288" w:lineRule="auto"/>
        <w:ind w:left="0"/>
        <w:jc w:val="left"/>
      </w:pPr>
    </w:p>
    <w:p>
      <w:pPr>
        <w:numPr>
          <w:numId w:val="65"/>
        </w:numPr>
        <w:spacing w:before="120" w:after="120" w:line="288" w:lineRule="auto"/>
        <w:ind w:left="453"/>
        <w:jc w:val="left"/>
      </w:pPr>
      <w:r>
        <w:rPr>
          <w:rFonts w:eastAsia="等线" w:ascii="Arial" w:cs="Arial" w:hAnsi="Arial"/>
          <w:sz w:val="22"/>
        </w:rPr>
        <w:t>本合同的订立、效力、执行和解释及争议的解决均应适用中华人民共和国法律。</w:t>
      </w:r>
    </w:p>
    <w:p>
      <w:pPr>
        <w:numPr>
          <w:numId w:val="66"/>
        </w:numPr>
        <w:spacing w:before="120" w:after="120" w:line="288" w:lineRule="auto"/>
        <w:ind w:left="453"/>
        <w:jc w:val="left"/>
      </w:pPr>
      <w:r>
        <w:rPr>
          <w:rFonts w:eastAsia="等线" w:ascii="Arial" w:cs="Arial" w:hAnsi="Arial"/>
          <w:sz w:val="22"/>
        </w:rPr>
        <w:t>对于因本合同的订立、效力、执行和解释而产生之争议，双方应首先协商解决，协商不成的，均提请北京仲裁委员会按照其仲裁规则进行仲裁。仲裁裁决是终局的，对双方均有约束力。</w:t>
      </w:r>
    </w:p>
    <w:p>
      <w:pPr>
        <w:spacing w:before="120" w:after="120" w:line="288" w:lineRule="auto"/>
        <w:ind w:left="0" w:firstLine="0"/>
        <w:jc w:val="left"/>
      </w:pPr>
    </w:p>
    <w:p>
      <w:pPr>
        <w:pStyle w:val="1"/>
        <w:spacing w:before="380" w:after="140" w:line="288" w:lineRule="auto"/>
        <w:ind w:left="453"/>
        <w:jc w:val="left"/>
        <w:outlineLvl w:val="0"/>
      </w:pPr>
      <w:bookmarkStart w:name="heading_66" w:id="66"/>
      <w:r>
        <w:rPr>
          <w:rFonts w:eastAsia="等线" w:ascii="Arial" w:cs="Arial" w:hAnsi="Arial"/>
          <w:color w:val="3370ff"/>
          <w:sz w:val="36"/>
        </w:rPr>
        <w:t xml:space="preserve">15. </w:t>
      </w:r>
      <w:r>
        <w:rPr>
          <w:rFonts w:eastAsia="等线" w:ascii="Arial" w:cs="Arial" w:hAnsi="Arial"/>
          <w:b w:val="true"/>
          <w:sz w:val="36"/>
        </w:rPr>
        <w:t>通知</w:t>
      </w:r>
      <w:bookmarkEnd w:id="66"/>
    </w:p>
    <w:p>
      <w:pPr>
        <w:numPr>
          <w:numId w:val="67"/>
        </w:numPr>
        <w:spacing w:before="120" w:after="120" w:line="288" w:lineRule="auto"/>
        <w:ind w:left="0"/>
        <w:jc w:val="left"/>
      </w:pPr>
    </w:p>
    <w:p>
      <w:pPr>
        <w:numPr>
          <w:numId w:val="68"/>
        </w:numPr>
        <w:spacing w:before="120" w:after="120" w:line="288" w:lineRule="auto"/>
        <w:ind w:left="453"/>
        <w:jc w:val="left"/>
      </w:pPr>
      <w:r>
        <w:rPr>
          <w:rFonts w:eastAsia="等线" w:ascii="Arial" w:cs="Arial" w:hAnsi="Arial"/>
          <w:sz w:val="22"/>
        </w:rPr>
        <w:t>双方之间的任何通知或书面函件必须以中文写成，以传真、专人送达（包括特快专递）、挂号邮件或电子邮件之形式发送。</w:t>
      </w:r>
    </w:p>
    <w:p>
      <w:pPr>
        <w:numPr>
          <w:numId w:val="69"/>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QQ/微信/电子邮件，自前述电子文件内容在发送方正确填写地址且未被系统退回的情况下，视为进入对方数据电文接收系统即视为送达。若送达日为非工作日, 则视为在下一工作日送达。</w:t>
      </w:r>
    </w:p>
    <w:p>
      <w:pPr>
        <w:pStyle w:val="2"/>
        <w:spacing w:before="320" w:after="120" w:line="288" w:lineRule="auto"/>
        <w:ind w:left="453"/>
        <w:jc w:val="left"/>
        <w:outlineLvl w:val="1"/>
      </w:pPr>
      <w:bookmarkStart w:name="heading_67" w:id="67"/>
      <w:r>
        <w:rPr>
          <w:rFonts w:eastAsia="等线" w:ascii="Arial" w:cs="Arial" w:hAnsi="Arial"/>
          <w:color w:val="3370ff"/>
          <w:sz w:val="32"/>
        </w:rPr>
        <w:t xml:space="preserve">15.1 </w:t>
      </w:r>
      <w:r>
        <w:rPr>
          <w:rFonts w:eastAsia="等线" w:ascii="Arial" w:cs="Arial" w:hAnsi="Arial"/>
          <w:b w:val="true"/>
          <w:sz w:val="32"/>
        </w:rPr>
        <w:t>双方可通过以下任一方式变更自身联系人：</w:t>
      </w:r>
      <w:bookmarkEnd w:id="67"/>
    </w:p>
    <w:p>
      <w:pPr>
        <w:spacing w:before="120" w:after="120" w:line="288" w:lineRule="auto"/>
        <w:ind w:left="0" w:firstLine="420"/>
        <w:jc w:val="left"/>
      </w:pPr>
      <w:r>
        <w:rPr>
          <w:rFonts w:eastAsia="等线" w:ascii="Arial" w:cs="Arial" w:hAnsi="Arial"/>
          <w:sz w:val="22"/>
        </w:rPr>
        <w:t>（1）变更方以书面通知（应签章）的方式告知对方；</w:t>
      </w:r>
    </w:p>
    <w:p>
      <w:pPr>
        <w:spacing w:before="120" w:after="120" w:line="288" w:lineRule="auto"/>
        <w:ind w:left="0" w:firstLine="420"/>
        <w:jc w:val="left"/>
      </w:pPr>
      <w:r>
        <w:rPr>
          <w:rFonts w:eastAsia="等线" w:ascii="Arial" w:cs="Arial" w:hAnsi="Arial"/>
          <w:sz w:val="22"/>
        </w:rPr>
        <w:t>（2）变更方原联系人以任何形式的书面通知方式告知对方。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广告发布合同政策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68" w:id="68"/>
      <w:r>
        <w:rPr>
          <w:rFonts w:eastAsia="等线" w:ascii="Arial" w:cs="Arial" w:hAnsi="Arial"/>
          <w:b w:val="true"/>
          <w:sz w:val="30"/>
        </w:rPr>
        <w:t>一、媒体政策</w:t>
      </w:r>
      <w:bookmarkEnd w:id="68"/>
    </w:p>
    <w:p>
      <w:pPr>
        <w:spacing w:before="120" w:after="120" w:line="288" w:lineRule="auto"/>
        <w:ind w:left="0" w:firstLine="0"/>
        <w:jc w:val="left"/>
      </w:pPr>
      <w:r>
        <w:rPr>
          <w:rFonts w:eastAsia="等线" w:ascii="Arial" w:cs="Arial" w:hAnsi="Arial"/>
          <w:b w:val="true"/>
          <w:sz w:val="22"/>
        </w:rPr>
        <w:t>本合同适用【】媒体政策</w:t>
      </w:r>
    </w:p>
    <w:p>
      <w:pPr>
        <w:pStyle w:val="4"/>
        <w:spacing w:before="260" w:after="120" w:line="288" w:lineRule="auto"/>
        <w:ind w:left="0"/>
        <w:jc w:val="left"/>
        <w:outlineLvl w:val="3"/>
      </w:pPr>
      <w:bookmarkStart w:name="heading_69" w:id="69"/>
      <w:r>
        <w:rPr>
          <w:rFonts w:eastAsia="等线" w:ascii="Arial" w:cs="Arial" w:hAnsi="Arial"/>
          <w:color w:val="3370ff"/>
          <w:sz w:val="28"/>
        </w:rPr>
        <w:t xml:space="preserve">15.1.1.1 </w:t>
      </w:r>
      <w:r>
        <w:rPr>
          <w:rFonts w:eastAsia="等线" w:ascii="Arial" w:cs="Arial" w:hAnsi="Arial"/>
          <w:b w:val="true"/>
          <w:sz w:val="28"/>
        </w:rPr>
        <w:t>Meta（Facebook）</w:t>
      </w:r>
      <w:bookmarkEnd w:id="69"/>
    </w:p>
    <w:p>
      <w:pPr>
        <w:spacing w:before="120" w:after="120" w:line="288" w:lineRule="auto"/>
        <w:ind w:left="0" w:firstLine="0"/>
        <w:jc w:val="left"/>
      </w:pPr>
      <w:r>
        <w:rPr>
          <w:rFonts w:eastAsia="等线" w:ascii="Arial" w:cs="Arial" w:hAnsi="Arial"/>
          <w:sz w:val="22"/>
        </w:rPr>
        <w:t>1.1甲方需遵循媒体广告政策规范规定进行广告投放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1.2如甲方账户违反Facebook平台的广告准则、隐私政策或使用规则、程序或本协议的约定，则该账户视为排除账户。每出现一次排除账户，Facebook平台有权根据情节严重性采取包括不限于关停账户、警告、扣除返点等处罚措施。因甲方违规操作导致Facebook平台处罚的，甲方应独自承担上述处罚的不利后果，如因情节严重，造成Facebook额外的罚金，甲方也应独自承担处罚。因政策更新导致的损失，乙方有向甲方追究损失的权利。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70" w:id="70"/>
      <w:r>
        <w:rPr>
          <w:rFonts w:eastAsia="等线" w:ascii="Arial" w:cs="Arial" w:hAnsi="Arial"/>
          <w:color w:val="3370ff"/>
          <w:sz w:val="28"/>
        </w:rPr>
        <w:t xml:space="preserve">15.1.1.2 </w:t>
      </w:r>
      <w:r>
        <w:rPr>
          <w:rFonts w:eastAsia="等线" w:ascii="Arial" w:cs="Arial" w:hAnsi="Arial"/>
          <w:b w:val="true"/>
          <w:sz w:val="28"/>
        </w:rPr>
        <w:t>Google</w:t>
      </w:r>
      <w:bookmarkEnd w:id="70"/>
    </w:p>
    <w:p>
      <w:pPr>
        <w:spacing w:before="120" w:after="120" w:line="288" w:lineRule="auto"/>
        <w:ind w:left="0" w:firstLine="0"/>
        <w:jc w:val="left"/>
      </w:pPr>
      <w:r>
        <w:rPr>
          <w:rFonts w:eastAsia="等线" w:ascii="Arial" w:cs="Arial" w:hAnsi="Arial"/>
          <w:sz w:val="22"/>
        </w:rPr>
        <w:t>以Google媒体的政策为准。</w:t>
      </w:r>
    </w:p>
    <w:p>
      <w:pPr>
        <w:spacing w:before="120" w:after="120" w:line="288" w:lineRule="auto"/>
        <w:ind w:left="0" w:firstLine="0"/>
        <w:jc w:val="left"/>
      </w:pPr>
    </w:p>
    <w:p>
      <w:pPr>
        <w:pStyle w:val="4"/>
        <w:spacing w:before="260" w:after="120" w:line="288" w:lineRule="auto"/>
        <w:ind w:left="0"/>
        <w:jc w:val="left"/>
        <w:outlineLvl w:val="3"/>
      </w:pPr>
      <w:bookmarkStart w:name="heading_71" w:id="71"/>
      <w:r>
        <w:rPr>
          <w:rFonts w:eastAsia="等线" w:ascii="Arial" w:cs="Arial" w:hAnsi="Arial"/>
          <w:color w:val="3370ff"/>
          <w:sz w:val="28"/>
        </w:rPr>
        <w:t xml:space="preserve">15.1.1.3 </w:t>
      </w:r>
      <w:r>
        <w:rPr>
          <w:rFonts w:eastAsia="等线" w:ascii="Arial" w:cs="Arial" w:hAnsi="Arial"/>
          <w:b w:val="true"/>
          <w:sz w:val="28"/>
        </w:rPr>
        <w:t>Twitter（X）</w:t>
      </w:r>
      <w:bookmarkEnd w:id="71"/>
    </w:p>
    <w:p>
      <w:pPr>
        <w:spacing w:before="120" w:after="120" w:line="288" w:lineRule="auto"/>
        <w:ind w:left="0" w:firstLine="0"/>
        <w:jc w:val="left"/>
      </w:pPr>
      <w:r>
        <w:rPr>
          <w:rFonts w:eastAsia="等线" w:ascii="Arial" w:cs="Arial" w:hAnsi="Arial"/>
          <w:sz w:val="22"/>
        </w:rPr>
        <w:t>甲方认可因媒体回滚造成的广告费用，甲方需按照媒体账单支付广告费用。</w:t>
      </w:r>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15.1.1.4 </w:t>
      </w:r>
      <w:r>
        <w:rPr>
          <w:rFonts w:eastAsia="等线" w:ascii="Arial" w:cs="Arial" w:hAnsi="Arial"/>
          <w:b w:val="true"/>
          <w:sz w:val="28"/>
        </w:rPr>
        <w:t>TikTok</w:t>
      </w:r>
      <w:bookmarkEnd w:id="72"/>
    </w:p>
    <w:p>
      <w:pPr>
        <w:spacing w:before="120" w:after="120" w:line="288" w:lineRule="auto"/>
        <w:ind w:left="0" w:firstLine="0"/>
        <w:jc w:val="left"/>
      </w:pPr>
      <w:r>
        <w:rPr>
          <w:rFonts w:eastAsia="等线" w:ascii="Arial" w:cs="Arial" w:hAnsi="Arial"/>
          <w:sz w:val="22"/>
        </w:rPr>
        <w:t>4.1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4.2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0"/>
        <w:jc w:val="left"/>
      </w:pPr>
      <w:r>
        <w:rPr>
          <w:rFonts w:eastAsia="等线" w:ascii="Arial" w:cs="Arial" w:hAnsi="Arial"/>
          <w:sz w:val="22"/>
        </w:rPr>
        <w:t>4.3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73" w:id="73"/>
      <w:r>
        <w:rPr>
          <w:rFonts w:eastAsia="等线" w:ascii="Arial" w:cs="Arial" w:hAnsi="Arial"/>
          <w:color w:val="3370ff"/>
          <w:sz w:val="28"/>
        </w:rPr>
        <w:t xml:space="preserve">15.1.1.5 </w:t>
      </w:r>
      <w:r>
        <w:rPr>
          <w:rFonts w:eastAsia="等线" w:ascii="Arial" w:cs="Arial" w:hAnsi="Arial"/>
          <w:b w:val="true"/>
          <w:sz w:val="28"/>
        </w:rPr>
        <w:t>其他媒体</w:t>
      </w:r>
      <w:bookmarkEnd w:id="73"/>
    </w:p>
    <w:p>
      <w:pPr>
        <w:spacing w:before="120" w:after="120" w:line="288" w:lineRule="auto"/>
        <w:ind w:left="0" w:firstLine="0"/>
        <w:jc w:val="left"/>
      </w:pPr>
      <w:r>
        <w:rPr>
          <w:rFonts w:eastAsia="等线" w:ascii="Arial" w:cs="Arial" w:hAnsi="Arial"/>
          <w:sz w:val="22"/>
        </w:rPr>
        <w:t>以投放媒体的政策为准。</w:t>
      </w:r>
    </w:p>
    <w:p>
      <w:pPr>
        <w:spacing w:before="120" w:after="120" w:line="288" w:lineRule="auto"/>
        <w:ind w:left="0" w:firstLine="0"/>
        <w:jc w:val="left"/>
      </w:pPr>
    </w:p>
    <w:p>
      <w:pPr>
        <w:pStyle w:val="3"/>
        <w:spacing w:before="300" w:after="120" w:line="288" w:lineRule="auto"/>
        <w:ind w:left="0"/>
        <w:jc w:val="left"/>
        <w:outlineLvl w:val="2"/>
      </w:pPr>
      <w:bookmarkStart w:name="heading_74" w:id="74"/>
      <w:r>
        <w:rPr>
          <w:rFonts w:eastAsia="等线" w:ascii="Arial" w:cs="Arial" w:hAnsi="Arial"/>
          <w:b w:val="true"/>
          <w:sz w:val="30"/>
        </w:rPr>
        <w:t>二、返点政策</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本合同适用以下第【】种返点政策</w:t>
      </w:r>
      <w:bookmarkEnd w:id="75"/>
    </w:p>
    <w:p>
      <w:pPr>
        <w:pStyle w:val="4"/>
        <w:spacing w:before="260" w:after="120" w:line="288" w:lineRule="auto"/>
        <w:ind w:left="453"/>
        <w:jc w:val="left"/>
        <w:outlineLvl w:val="3"/>
      </w:pPr>
      <w:bookmarkStart w:name="heading_76" w:id="76"/>
      <w:r>
        <w:rPr>
          <w:rFonts w:eastAsia="等线" w:ascii="Arial" w:cs="Arial" w:hAnsi="Arial"/>
          <w:color w:val="3370ff"/>
          <w:sz w:val="28"/>
        </w:rPr>
        <w:t xml:space="preserve">15.1.1.6 </w:t>
      </w:r>
      <w:r>
        <w:rPr>
          <w:rFonts w:eastAsia="等线" w:ascii="Arial" w:cs="Arial" w:hAnsi="Arial"/>
          <w:b w:val="true"/>
          <w:sz w:val="28"/>
        </w:rPr>
        <w:t>Meta（Facebook）</w:t>
      </w:r>
      <w:bookmarkEnd w:id="76"/>
    </w:p>
    <w:p>
      <w:pPr>
        <w:numPr>
          <w:numId w:val="70"/>
        </w:numPr>
        <w:spacing w:before="120" w:after="120" w:line="288" w:lineRule="auto"/>
        <w:ind w:left="453"/>
        <w:jc w:val="left"/>
      </w:pPr>
      <w:r>
        <w:rPr>
          <w:rFonts w:eastAsia="等线" w:ascii="Arial" w:cs="Arial" w:hAnsi="Arial"/>
          <w:sz w:val="22"/>
        </w:rPr>
        <w:t>甲方明确知悉并同意：甲方向乙方按时支付全额广告发布费后，乙方将根据甲方实际支付的广告发布费总额以及所属账户的标准等级向甲方结算返点。媒体将按照自然月度更新标准等级名单（Booklist），甲方账户当月度的返点比例将按照甲方账户当月度在媒体处判定的标准等级计算。</w:t>
      </w:r>
    </w:p>
    <w:p>
      <w:pPr>
        <w:numPr>
          <w:numId w:val="71"/>
        </w:numPr>
        <w:spacing w:before="120" w:after="120" w:line="288" w:lineRule="auto"/>
        <w:ind w:left="453"/>
        <w:jc w:val="left"/>
      </w:pPr>
      <w:r>
        <w:rPr>
          <w:rFonts w:eastAsia="等线" w:ascii="Arial" w:cs="Arial" w:hAnsi="Arial"/>
          <w:sz w:val="22"/>
        </w:rPr>
        <w:t>媒体判断甲方的合并主体（ultimate_parent_name）符合如下标准等级的，则可对应获得如下返点奖励，金额最终以媒体判定为准：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Managed Advertiser</w:t>
      </w:r>
      <w:r>
        <w:rPr>
          <w:rFonts w:eastAsia="等线" w:ascii="Arial" w:cs="Arial" w:hAnsi="Arial"/>
          <w:sz w:val="22"/>
        </w:rPr>
        <w:t>：即大中型且有直客管理的合并主体，以Meta实时更新的分类为准；</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Unmanaged Advertiser</w:t>
      </w:r>
      <w:r>
        <w:rPr>
          <w:rFonts w:eastAsia="等线" w:ascii="Arial" w:cs="Arial" w:hAnsi="Arial"/>
          <w:sz w:val="22"/>
        </w:rPr>
        <w:t>：即无直客管理的合并主体，以Meta实时更新的分类为准。</w:t>
      </w:r>
    </w:p>
    <w:p>
      <w:pPr>
        <w:numPr>
          <w:numId w:val="72"/>
        </w:numPr>
        <w:spacing w:before="120" w:after="120" w:line="288" w:lineRule="auto"/>
        <w:ind w:left="453"/>
        <w:jc w:val="left"/>
      </w:pPr>
      <w:r>
        <w:rPr>
          <w:rFonts w:eastAsia="等线" w:ascii="Arial" w:cs="Arial" w:hAnsi="Arial"/>
          <w:sz w:val="22"/>
        </w:rPr>
        <w:t>甲方确认，任一合并主体下的广告账户如被媒体判定为Disabled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numPr>
          <w:numId w:val="73"/>
        </w:numPr>
        <w:spacing w:before="120" w:after="120" w:line="288" w:lineRule="auto"/>
        <w:ind w:left="453"/>
        <w:jc w:val="left"/>
      </w:pPr>
      <w:r>
        <w:rPr>
          <w:rFonts w:eastAsia="等线" w:ascii="Arial" w:cs="Arial" w:hAnsi="Arial"/>
          <w:sz w:val="22"/>
        </w:rPr>
        <w:t>甲方已悉知针对Meta不提供返点部分的消耗金额或Meta单方面决定不给予返点的，乙方也有权不向甲方提供任何返点。</w:t>
      </w:r>
    </w:p>
    <w:p>
      <w:pPr>
        <w:numPr>
          <w:numId w:val="74"/>
        </w:numPr>
        <w:spacing w:before="120" w:after="120" w:line="288" w:lineRule="auto"/>
        <w:ind w:left="453"/>
        <w:jc w:val="left"/>
      </w:pPr>
      <w:r>
        <w:rPr>
          <w:rFonts w:eastAsia="等线" w:ascii="Arial" w:cs="Arial" w:hAnsi="Arial"/>
          <w:sz w:val="22"/>
        </w:rPr>
        <w:t>甲方如使用非中国大陆主体开户投放的，以及被Meta媒体认为运营或实控主体不符合条件等情况的，则无任何返点。</w:t>
      </w:r>
    </w:p>
    <w:p>
      <w:pPr>
        <w:numPr>
          <w:numId w:val="75"/>
        </w:numPr>
        <w:spacing w:before="120" w:after="120" w:line="288" w:lineRule="auto"/>
        <w:ind w:left="453"/>
        <w:jc w:val="left"/>
      </w:pPr>
      <w:r>
        <w:rPr>
          <w:rFonts w:eastAsia="等线" w:ascii="Arial" w:cs="Arial" w:hAnsi="Arial"/>
          <w:sz w:val="22"/>
        </w:rPr>
        <w:t>甲方悉知，如甲方的任一“Unmanaged Advertiser”合并主体在Meta的季度消耗（包含所有代理）总额超过2000万美元的，则无任何返点。</w:t>
      </w:r>
    </w:p>
    <w:p>
      <w:pPr>
        <w:numPr>
          <w:numId w:val="76"/>
        </w:numPr>
        <w:spacing w:before="120" w:after="120" w:line="288" w:lineRule="auto"/>
        <w:ind w:left="453"/>
        <w:jc w:val="left"/>
      </w:pPr>
      <w:r>
        <w:rPr>
          <w:rFonts w:eastAsia="等线" w:ascii="Arial" w:cs="Arial" w:hAnsi="Arial"/>
          <w:sz w:val="22"/>
        </w:rPr>
        <w:t>甲方应该严格按照合并主体标准等级开设账户并投放广告，如甲方违反上述规则（例如拆分实体或项目从而达到变更合并主体标准等级的），则媒体或/和乙方有权对甲方进行处罚，包括但不限于扣除罚金，取消返点，冻结账户等。</w:t>
      </w:r>
    </w:p>
    <w:p>
      <w:pPr>
        <w:numPr>
          <w:numId w:val="77"/>
        </w:numPr>
        <w:spacing w:before="120" w:after="120" w:line="288" w:lineRule="auto"/>
        <w:ind w:left="453"/>
        <w:jc w:val="left"/>
      </w:pPr>
      <w:r>
        <w:rPr>
          <w:rFonts w:eastAsia="等线" w:ascii="Arial" w:cs="Arial" w:hAnsi="Arial"/>
          <w:sz w:val="22"/>
        </w:rPr>
        <w:t>甲方如被媒体判定为符合“Specified Advertiser”标准等级，即超大型且有直客管理的合并主体，则应与乙方另行签署协议约定返点比例等相关合作内容。</w:t>
      </w:r>
    </w:p>
    <w:p>
      <w:pPr>
        <w:numPr>
          <w:numId w:val="78"/>
        </w:numPr>
        <w:spacing w:before="120" w:after="120" w:line="288" w:lineRule="auto"/>
        <w:ind w:left="453"/>
        <w:jc w:val="left"/>
      </w:pPr>
      <w:r>
        <w:rPr>
          <w:rFonts w:eastAsia="等线" w:ascii="Arial" w:cs="Arial" w:hAnsi="Arial"/>
          <w:sz w:val="22"/>
        </w:rPr>
        <w:t>如甲方投放的广告素材符合乙方或媒体平台要求，乙方可向甲方提供额外的“素材Coupon”支持，具体形式包括但不限于用于广告创意优化、素材制作、测试支持等用途的优惠额度。素材Coupon奖励的获取以媒体平台对甲方合并主体的等级判定为依据，乙方保留根据项目预算、客户投放表现、素材合规性等因素综合评估是否发放的权利。</w:t>
      </w:r>
    </w:p>
    <w:p>
      <w:pPr>
        <w:numPr>
          <w:numId w:val="79"/>
        </w:numPr>
        <w:spacing w:before="120" w:after="120" w:line="288" w:lineRule="auto"/>
        <w:ind w:left="453"/>
        <w:jc w:val="left"/>
      </w:pPr>
      <w:r>
        <w:rPr>
          <w:rFonts w:eastAsia="等线" w:ascii="Arial" w:cs="Arial" w:hAnsi="Arial"/>
          <w:sz w:val="22"/>
        </w:rPr>
        <w:t>如甲方投放的广告素材符合乙方/或媒体平台要求，且甲方所属合并主体等级达到 Managed Advertiser 标准，则可额外获得【】% Coupon奖励；若为 Unmanaged Advertiser 等级，则可获得【】% Coupon奖励。</w:t>
      </w:r>
    </w:p>
    <w:p>
      <w:pPr>
        <w:numPr>
          <w:numId w:val="80"/>
        </w:numPr>
        <w:spacing w:before="120" w:after="120" w:line="288" w:lineRule="auto"/>
        <w:ind w:left="453"/>
        <w:jc w:val="left"/>
      </w:pPr>
      <w:r>
        <w:rPr>
          <w:rFonts w:eastAsia="等线" w:ascii="Arial" w:cs="Arial" w:hAnsi="Arial"/>
          <w:sz w:val="22"/>
        </w:rPr>
        <w:t>素材Coupon的发放周期、结算流程及核算方式及标准原则上与本合同项下的返点条款保持一致。除非双方另有书面约定，乙方应在完成与甲方返点结算周期同步的时间内，确认并发放相应的素材Coupon。</w:t>
      </w:r>
    </w:p>
    <w:p>
      <w:pPr>
        <w:spacing w:before="120" w:after="120" w:line="288" w:lineRule="auto"/>
        <w:ind w:left="0" w:firstLine="420"/>
        <w:jc w:val="left"/>
      </w:pPr>
    </w:p>
    <w:p>
      <w:pPr>
        <w:pStyle w:val="4"/>
        <w:spacing w:before="260" w:after="120" w:line="288" w:lineRule="auto"/>
        <w:ind w:left="453"/>
        <w:jc w:val="left"/>
        <w:outlineLvl w:val="3"/>
      </w:pPr>
      <w:bookmarkStart w:name="heading_77" w:id="77"/>
      <w:r>
        <w:rPr>
          <w:rFonts w:eastAsia="等线" w:ascii="Arial" w:cs="Arial" w:hAnsi="Arial"/>
          <w:color w:val="3370ff"/>
          <w:sz w:val="28"/>
        </w:rPr>
        <w:t xml:space="preserve">15.1.1.7 </w:t>
      </w:r>
      <w:r>
        <w:rPr>
          <w:rFonts w:eastAsia="等线" w:ascii="Arial" w:cs="Arial" w:hAnsi="Arial"/>
          <w:b w:val="true"/>
          <w:sz w:val="28"/>
        </w:rPr>
        <w:t>Google</w:t>
      </w:r>
      <w:bookmarkEnd w:id="77"/>
    </w:p>
    <w:p>
      <w:pPr>
        <w:numPr>
          <w:numId w:val="81"/>
        </w:numPr>
        <w:spacing w:before="120" w:after="120" w:line="288" w:lineRule="auto"/>
        <w:ind w:left="453"/>
        <w:jc w:val="left"/>
      </w:pPr>
      <w:r>
        <w:rPr>
          <w:rFonts w:eastAsia="等线" w:ascii="Arial" w:cs="Arial" w:hAnsi="Arial"/>
          <w:sz w:val="22"/>
        </w:rPr>
        <w:t>甲方在Google中进行广告投放，所涉及的消耗均无任何返点，且甲方需要按照如下标准向乙方支付账户服务费，该服务费用与当月广告消耗费用按约定账期一同结算：</w:t>
      </w:r>
    </w:p>
    <w:p>
      <w:pPr>
        <w:numPr>
          <w:numId w:val="82"/>
        </w:numPr>
        <w:spacing w:before="120" w:after="120" w:line="288" w:lineRule="auto"/>
        <w:ind w:left="453"/>
        <w:jc w:val="left"/>
      </w:pPr>
      <w:r>
        <w:rPr>
          <w:rFonts w:eastAsia="等线" w:ascii="Arial" w:cs="Arial" w:hAnsi="Arial"/>
          <w:sz w:val="22"/>
        </w:rPr>
        <w:t>账期大于等于【30】个自然日的，甲方需要向乙方支付当月广告投放总消耗金额的【 】%作为账户服务费。</w:t>
      </w:r>
    </w:p>
    <w:p>
      <w:pPr>
        <w:numPr>
          <w:numId w:val="83"/>
        </w:numPr>
        <w:spacing w:before="120" w:after="120" w:line="288" w:lineRule="auto"/>
        <w:ind w:left="453"/>
        <w:jc w:val="left"/>
      </w:pPr>
      <w:r>
        <w:rPr>
          <w:rFonts w:eastAsia="等线" w:ascii="Arial" w:cs="Arial" w:hAnsi="Arial"/>
          <w:sz w:val="22"/>
        </w:rPr>
        <w:t>账期在 【30】 个自然日以内的，甲方需要向乙方支付当月广告投放总消耗金额的【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numPr>
          <w:numId w:val="84"/>
        </w:numPr>
        <w:spacing w:before="120" w:after="120" w:line="288" w:lineRule="auto"/>
        <w:ind w:left="453"/>
        <w:jc w:val="left"/>
      </w:pPr>
      <w:r>
        <w:rPr>
          <w:rFonts w:eastAsia="等线" w:ascii="Arial" w:cs="Arial" w:hAnsi="Arial"/>
          <w:sz w:val="22"/>
        </w:rPr>
        <w:t>甲方在Google中使用</w:t>
      </w:r>
      <w:r>
        <w:rPr>
          <w:rFonts w:eastAsia="等线" w:ascii="Arial" w:cs="Arial" w:hAnsi="Arial"/>
          <w:b w:val="true"/>
          <w:sz w:val="22"/>
        </w:rPr>
        <w:t>Non-AC</w:t>
      </w:r>
      <w:r>
        <w:rPr>
          <w:rFonts w:eastAsia="等线" w:ascii="Arial" w:cs="Arial" w:hAnsi="Arial"/>
          <w:sz w:val="22"/>
        </w:rPr>
        <w:t>产品进行广告投放且账户被媒体判断为【新客】标准的，则甲方满足标准的账户消耗可以额外获得【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numPr>
          <w:numId w:val="85"/>
        </w:numPr>
        <w:spacing w:before="120" w:after="120" w:line="288" w:lineRule="auto"/>
        <w:ind w:left="907"/>
        <w:jc w:val="left"/>
      </w:pPr>
      <w:r>
        <w:rPr>
          <w:rFonts w:eastAsia="等线" w:ascii="Arial" w:cs="Arial" w:hAnsi="Arial"/>
          <w:sz w:val="22"/>
        </w:rPr>
        <w:t>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numPr>
          <w:numId w:val="86"/>
        </w:numPr>
        <w:spacing w:before="120" w:after="120" w:line="288" w:lineRule="auto"/>
        <w:ind w:left="453"/>
        <w:jc w:val="left"/>
      </w:pPr>
      <w:r>
        <w:rPr>
          <w:rFonts w:eastAsia="等线" w:ascii="Arial" w:cs="Arial" w:hAnsi="Arial"/>
          <w:sz w:val="22"/>
        </w:rPr>
        <w:t>甲方已悉知DV360, The Third Party Exchange, YouTube Masthead, Other front-end bookings等广告形式不享受Google返点，如Google政策更新，乙方也会对此部分计算方式进行相应更新。</w:t>
      </w:r>
    </w:p>
    <w:p>
      <w:pPr>
        <w:numPr>
          <w:numId w:val="87"/>
        </w:numPr>
        <w:spacing w:before="120" w:after="120" w:line="288" w:lineRule="auto"/>
        <w:ind w:left="453"/>
        <w:jc w:val="left"/>
      </w:pPr>
      <w:r>
        <w:rPr>
          <w:rFonts w:eastAsia="等线" w:ascii="Arial" w:cs="Arial" w:hAnsi="Arial"/>
          <w:sz w:val="22"/>
        </w:rPr>
        <w:t>甲方在Google中进行广告投放，需要满足Broad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numPr>
          <w:numId w:val="88"/>
        </w:numPr>
        <w:spacing w:before="120" w:after="120" w:line="288" w:lineRule="auto"/>
        <w:ind w:left="453"/>
        <w:jc w:val="left"/>
      </w:pPr>
      <w:r>
        <w:rPr>
          <w:rFonts w:eastAsia="等线" w:ascii="Arial" w:cs="Arial" w:hAnsi="Arial"/>
          <w:sz w:val="22"/>
        </w:rPr>
        <w:t>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numPr>
          <w:numId w:val="89"/>
        </w:numPr>
        <w:spacing w:before="120" w:after="120" w:line="288" w:lineRule="auto"/>
        <w:ind w:left="453"/>
        <w:jc w:val="left"/>
      </w:pPr>
      <w:r>
        <w:rPr>
          <w:rFonts w:eastAsia="等线" w:ascii="Arial" w:cs="Arial" w:hAnsi="Arial"/>
          <w:sz w:val="22"/>
        </w:rPr>
        <w:t>针对俄罗斯、法国和匈牙利的所有广告类型投放所涉及的消耗金额均无任何返点。</w:t>
      </w:r>
    </w:p>
    <w:p>
      <w:pPr>
        <w:numPr>
          <w:numId w:val="90"/>
        </w:numPr>
        <w:spacing w:before="120" w:after="120" w:line="288" w:lineRule="auto"/>
        <w:ind w:left="453"/>
        <w:jc w:val="left"/>
      </w:pPr>
      <w:r>
        <w:rPr>
          <w:rFonts w:eastAsia="等线" w:ascii="Arial" w:cs="Arial" w:hAnsi="Arial"/>
          <w:sz w:val="22"/>
        </w:rPr>
        <w:t>Google数字服务税不计入广告投放消耗金额，甲方不享受任何返点。</w:t>
      </w:r>
    </w:p>
    <w:p>
      <w:pPr>
        <w:numPr>
          <w:numId w:val="91"/>
        </w:numPr>
        <w:spacing w:before="120" w:after="120" w:line="288" w:lineRule="auto"/>
        <w:ind w:left="453"/>
        <w:jc w:val="left"/>
      </w:pPr>
      <w:r>
        <w:rPr>
          <w:rFonts w:eastAsia="等线" w:ascii="Arial" w:cs="Arial" w:hAnsi="Arial"/>
          <w:sz w:val="22"/>
        </w:rPr>
        <w:t>甲方通过乙方投放的Google Ads广告账户不得关联乙方外的任何代理商，否则将导致此类账户甲方无法享受上述返点。</w:t>
      </w:r>
    </w:p>
    <w:p>
      <w:pPr>
        <w:numPr>
          <w:numId w:val="92"/>
        </w:numPr>
        <w:spacing w:before="120" w:after="120" w:line="288" w:lineRule="auto"/>
        <w:ind w:left="453"/>
        <w:jc w:val="left"/>
      </w:pPr>
      <w:r>
        <w:rPr>
          <w:rFonts w:eastAsia="等线" w:ascii="Arial" w:cs="Arial" w:hAnsi="Arial"/>
          <w:sz w:val="22"/>
        </w:rPr>
        <w:t>如甲方与Google媒体进行了API对接，则无法享受上述返点优惠。</w:t>
      </w:r>
    </w:p>
    <w:p>
      <w:pPr>
        <w:numPr>
          <w:numId w:val="93"/>
        </w:numPr>
        <w:spacing w:before="120" w:after="120" w:line="288" w:lineRule="auto"/>
        <w:ind w:left="453"/>
        <w:jc w:val="left"/>
      </w:pPr>
      <w:r>
        <w:rPr>
          <w:rFonts w:eastAsia="等线" w:ascii="Arial" w:cs="Arial" w:hAnsi="Arial"/>
          <w:sz w:val="22"/>
        </w:rPr>
        <w:t>甲方通过乙方投放的Google Ads广告如被媒体判定为违规投放的或者在该季度CID违规率超过【10%】的，则所有投放消耗均无返点。乙方有权保留追究因甲方违规而产生的媒体罚金而遭受的损失的权利，最终将以媒体判定为准。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numPr>
          <w:numId w:val="94"/>
        </w:numPr>
        <w:spacing w:before="120" w:after="120" w:line="288" w:lineRule="auto"/>
        <w:ind w:left="453"/>
        <w:jc w:val="left"/>
      </w:pPr>
      <w:r>
        <w:rPr>
          <w:rFonts w:eastAsia="等线" w:ascii="Arial" w:cs="Arial" w:hAnsi="Arial"/>
          <w:sz w:val="22"/>
        </w:rPr>
        <w:t>甲方Google Ads账户的Billing归属为乙方，且Billing Country需为中国或/和中国香港，否则无法享受上述返点。</w:t>
      </w:r>
    </w:p>
    <w:p>
      <w:pPr>
        <w:numPr>
          <w:numId w:val="95"/>
        </w:numPr>
        <w:spacing w:before="120" w:after="120" w:line="288" w:lineRule="auto"/>
        <w:ind w:left="453"/>
        <w:jc w:val="left"/>
      </w:pPr>
      <w:r>
        <w:rPr>
          <w:rFonts w:eastAsia="等线" w:ascii="Arial" w:cs="Arial" w:hAnsi="Arial"/>
          <w:sz w:val="22"/>
        </w:rPr>
        <w:t>甲方已悉知针对Google不提供返点部分的消耗金额或因Google单方面决定不给予返点的，乙方也有权不向甲方提供任何返点。</w:t>
      </w:r>
    </w:p>
    <w:p>
      <w:pPr>
        <w:numPr>
          <w:numId w:val="96"/>
        </w:numPr>
        <w:spacing w:before="120" w:after="120" w:line="288" w:lineRule="auto"/>
        <w:ind w:left="453"/>
        <w:jc w:val="left"/>
      </w:pPr>
      <w:r>
        <w:rPr>
          <w:rFonts w:eastAsia="等线" w:ascii="Arial" w:cs="Arial" w:hAnsi="Arial"/>
          <w:sz w:val="22"/>
        </w:rPr>
        <w:t>Google媒体平台广告投放所涉及的数字服务税（Digital Service Tax），应由甲方承担。该数字服务税目前为英国：2%；奥地利：5%；土耳其：5%；数字服务税的国家或地区及税费标准如有增加或变更的，均以谷歌的要求为准。</w:t>
      </w:r>
    </w:p>
    <w:p>
      <w:pPr>
        <w:numPr>
          <w:numId w:val="97"/>
        </w:numPr>
        <w:spacing w:before="120" w:after="120" w:line="288" w:lineRule="auto"/>
        <w:ind w:left="453"/>
        <w:jc w:val="left"/>
      </w:pPr>
      <w:r>
        <w:rPr>
          <w:rFonts w:eastAsia="等线" w:ascii="Arial" w:cs="Arial" w:hAnsi="Arial"/>
          <w:sz w:val="22"/>
        </w:rPr>
        <w:t>针对上述所有政策，如Google媒体有相关更新的，则以Google媒体更新后的指标为准。</w:t>
      </w:r>
    </w:p>
    <w:p>
      <w:pPr>
        <w:spacing w:before="120" w:after="120" w:line="288" w:lineRule="auto"/>
        <w:ind w:left="0" w:firstLine="0"/>
        <w:jc w:val="left"/>
      </w:pPr>
    </w:p>
    <w:p>
      <w:pPr>
        <w:pStyle w:val="4"/>
        <w:spacing w:before="260" w:after="120" w:line="288" w:lineRule="auto"/>
        <w:ind w:left="453"/>
        <w:jc w:val="left"/>
        <w:outlineLvl w:val="3"/>
      </w:pPr>
      <w:bookmarkStart w:name="heading_78" w:id="78"/>
      <w:r>
        <w:rPr>
          <w:rFonts w:eastAsia="等线" w:ascii="Arial" w:cs="Arial" w:hAnsi="Arial"/>
          <w:color w:val="3370ff"/>
          <w:sz w:val="28"/>
        </w:rPr>
        <w:t xml:space="preserve">15.1.1.8 </w:t>
      </w:r>
      <w:r>
        <w:rPr>
          <w:rFonts w:eastAsia="等线" w:ascii="Arial" w:cs="Arial" w:hAnsi="Arial"/>
          <w:b w:val="true"/>
          <w:sz w:val="28"/>
        </w:rPr>
        <w:t xml:space="preserve">TikTok </w:t>
      </w:r>
      <w:bookmarkEnd w:id="78"/>
    </w:p>
    <w:p>
      <w:pPr>
        <w:numPr>
          <w:numId w:val="98"/>
        </w:numPr>
        <w:spacing w:before="120" w:after="120" w:line="288" w:lineRule="auto"/>
        <w:ind w:left="453"/>
        <w:jc w:val="left"/>
      </w:pPr>
      <w:r>
        <w:rPr>
          <w:rFonts w:eastAsia="等线" w:ascii="Arial" w:cs="Arial" w:hAnsi="Arial"/>
          <w:sz w:val="22"/>
        </w:rPr>
        <w:t>基础返点</w:t>
      </w:r>
    </w:p>
    <w:p>
      <w:pPr>
        <w:numPr>
          <w:numId w:val="99"/>
        </w:numPr>
        <w:spacing w:before="120" w:after="120" w:line="288" w:lineRule="auto"/>
        <w:ind w:left="907"/>
        <w:jc w:val="left"/>
      </w:pPr>
      <w:r>
        <w:rPr>
          <w:rFonts w:eastAsia="等线" w:ascii="Arial" w:cs="Arial" w:hAnsi="Arial"/>
          <w:sz w:val="22"/>
        </w:rPr>
        <w:t>甲方投放TikTok for Business广告的，可以获得以下返点：</w:t>
      </w:r>
    </w:p>
    <w:p>
      <w:pPr>
        <w:numPr>
          <w:numId w:val="100"/>
        </w:numPr>
        <w:spacing w:before="120" w:after="120" w:line="288" w:lineRule="auto"/>
        <w:ind w:left="453"/>
        <w:jc w:val="left"/>
      </w:pPr>
      <w:r>
        <w:rPr>
          <w:rFonts w:eastAsia="等线" w:ascii="Arial" w:cs="Arial" w:hAnsi="Arial"/>
          <w:sz w:val="22"/>
        </w:rPr>
        <w:t>基础返点：【 %】</w:t>
      </w:r>
    </w:p>
    <w:p>
      <w:pPr>
        <w:numPr>
          <w:numId w:val="101"/>
        </w:numPr>
        <w:spacing w:before="120" w:after="120" w:line="288" w:lineRule="auto"/>
        <w:ind w:left="453"/>
        <w:jc w:val="left"/>
      </w:pPr>
      <w:r>
        <w:rPr>
          <w:rFonts w:eastAsia="等线" w:ascii="Arial" w:cs="Arial" w:hAnsi="Arial"/>
          <w:sz w:val="22"/>
        </w:rPr>
        <w:t>季度X返点：【  %】，最终以乙方核算结果为准。</w:t>
      </w:r>
    </w:p>
    <w:p>
      <w:pPr>
        <w:numPr>
          <w:numId w:val="102"/>
        </w:numPr>
        <w:spacing w:before="120" w:after="120" w:line="288" w:lineRule="auto"/>
        <w:ind w:left="0"/>
        <w:jc w:val="left"/>
      </w:pPr>
      <w:r>
        <w:rPr>
          <w:rFonts w:eastAsia="等线" w:ascii="Arial" w:cs="Arial" w:hAnsi="Arial"/>
          <w:sz w:val="22"/>
        </w:rPr>
        <w:t xml:space="preserve">  美国地区(US)、欧盟地区(EU)及拉丁美洲地区(LATAM)的本本店铺无任何返点。</w:t>
      </w:r>
    </w:p>
    <w:p>
      <w:pPr>
        <w:numPr>
          <w:numId w:val="103"/>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numPr>
          <w:numId w:val="104"/>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numPr>
          <w:numId w:val="105"/>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numPr>
          <w:numId w:val="106"/>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numPr>
          <w:numId w:val="107"/>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numPr>
          <w:numId w:val="108"/>
        </w:numPr>
        <w:spacing w:before="120" w:after="120" w:line="288" w:lineRule="auto"/>
        <w:ind w:left="453"/>
        <w:jc w:val="left"/>
      </w:pPr>
      <w:r>
        <w:rPr>
          <w:rFonts w:eastAsia="等线" w:ascii="Arial" w:cs="Arial" w:hAnsi="Arial"/>
          <w:sz w:val="22"/>
        </w:rPr>
        <w:t>专项返点</w:t>
      </w:r>
    </w:p>
    <w:p>
      <w:pPr>
        <w:numPr>
          <w:numId w:val="109"/>
        </w:numPr>
        <w:spacing w:before="120" w:after="120" w:line="288" w:lineRule="auto"/>
        <w:ind w:left="453"/>
        <w:jc w:val="left"/>
      </w:pPr>
      <w:r>
        <w:rPr>
          <w:rFonts w:eastAsia="等线" w:ascii="Arial" w:cs="Arial" w:hAnsi="Arial"/>
          <w:sz w:val="22"/>
        </w:rPr>
        <w:t>甲方的Shop被媒体判断符合【通用新开】标准的，则甲方满足标准的每个Shop有机会可以额外获得如下返点奖励，金额最终以媒体判定为准：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10"/>
              </w:numPr>
              <w:spacing w:before="120" w:after="120" w:line="288" w:lineRule="auto"/>
              <w:ind w:left="0"/>
              <w:jc w:val="left"/>
            </w:pPr>
            <w:r>
              <w:rPr>
                <w:rFonts w:eastAsia="等线" w:ascii="Arial" w:cs="Arial" w:hAnsi="Arial"/>
                <w:sz w:val="22"/>
              </w:rPr>
              <w:t>Shop在TikTok的首次广告消耗发生在本季度；</w:t>
            </w:r>
          </w:p>
          <w:p>
            <w:pPr>
              <w:numPr>
                <w:numId w:val="111"/>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numPr>
                <w:numId w:val="112"/>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numPr>
                <w:numId w:val="113"/>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numPr>
                <w:numId w:val="114"/>
              </w:numPr>
              <w:spacing w:before="120" w:after="120" w:line="288" w:lineRule="auto"/>
              <w:ind w:left="0"/>
              <w:jc w:val="left"/>
            </w:pPr>
            <w:r>
              <w:rPr>
                <w:rFonts w:eastAsia="等线" w:ascii="Arial" w:cs="Arial" w:hAnsi="Arial"/>
                <w:sz w:val="22"/>
              </w:rPr>
              <w:t>投放地的划分基于TTS Operation Country来判定</w:t>
            </w:r>
          </w:p>
          <w:p>
            <w:pPr>
              <w:numPr>
                <w:numId w:val="115"/>
              </w:numPr>
              <w:spacing w:before="120" w:after="120" w:line="288" w:lineRule="auto"/>
              <w:ind w:left="0"/>
              <w:jc w:val="left"/>
            </w:pPr>
            <w:r>
              <w:rPr>
                <w:rFonts w:eastAsia="等线" w:ascii="Arial" w:cs="Arial" w:hAnsi="Arial"/>
                <w:sz w:val="22"/>
              </w:rPr>
              <w:t xml:space="preserve">投放客户集团的认定以媒体判定为准； </w:t>
            </w:r>
          </w:p>
          <w:p>
            <w:pPr>
              <w:numPr>
                <w:numId w:val="116"/>
              </w:numPr>
              <w:spacing w:before="120" w:after="120" w:line="288" w:lineRule="auto"/>
              <w:ind w:left="0"/>
              <w:jc w:val="left"/>
            </w:pPr>
            <w:r>
              <w:rPr>
                <w:rFonts w:eastAsia="等线" w:ascii="Arial" w:cs="Arial" w:hAnsi="Arial"/>
                <w:sz w:val="22"/>
              </w:rPr>
              <w:t>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117"/>
        </w:numPr>
        <w:spacing w:before="120" w:after="120" w:line="288" w:lineRule="auto"/>
        <w:ind w:left="453"/>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numPr>
                <w:numId w:val="119"/>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120"/>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121"/>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22"/>
              </w:numPr>
              <w:spacing w:before="120" w:after="120" w:line="288" w:lineRule="auto"/>
              <w:ind w:left="0"/>
              <w:jc w:val="left"/>
            </w:pPr>
            <w:r>
              <w:rPr>
                <w:rFonts w:eastAsia="等线" w:ascii="Arial" w:cs="Arial" w:hAnsi="Arial"/>
                <w:sz w:val="22"/>
              </w:rPr>
              <w:t>Shop在TikTok for Business的首次LSA消耗投放均发生在本季度；且Shop本季度的LSA业绩不低于$1,000。LSA的产品类型包含Level 5 product = 'GMV Max Live'、'Shop Ads Custom LSA'，业绩以 【Shop Self Live Revenue】为准。</w:t>
            </w:r>
          </w:p>
          <w:p>
            <w:pPr>
              <w:numPr>
                <w:numId w:val="123"/>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124"/>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125"/>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26"/>
        </w:numPr>
        <w:spacing w:before="120" w:after="120" w:line="288" w:lineRule="auto"/>
        <w:ind w:left="453"/>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sz w:val="22"/>
              </w:rPr>
              <w:t>剧目在TikTok for Business的首次广告消耗发生在本季度；</w:t>
            </w:r>
          </w:p>
          <w:p>
            <w:pPr>
              <w:numPr>
                <w:numId w:val="128"/>
              </w:numPr>
              <w:spacing w:before="120" w:after="120" w:line="288" w:lineRule="auto"/>
              <w:ind w:left="0"/>
              <w:jc w:val="left"/>
            </w:pPr>
            <w:r>
              <w:rPr>
                <w:rFonts w:eastAsia="等线" w:ascii="Arial" w:cs="Arial" w:hAnsi="Arial"/>
                <w:sz w:val="22"/>
              </w:rPr>
              <w:t>剧目在本季度的广告消耗不低于$2,000；</w:t>
            </w:r>
          </w:p>
          <w:p>
            <w:pPr>
              <w:numPr>
                <w:numId w:val="129"/>
              </w:numPr>
              <w:spacing w:before="120" w:after="120" w:line="288" w:lineRule="auto"/>
              <w:ind w:left="0"/>
              <w:jc w:val="left"/>
            </w:pPr>
            <w:r>
              <w:rPr>
                <w:rFonts w:eastAsia="等线" w:ascii="Arial" w:cs="Arial" w:hAnsi="Arial"/>
                <w:sz w:val="22"/>
              </w:rPr>
              <w:t>剧目的达标情况以【Short Drama Name】为维度，若核算期间存在剧目合并等原因导致剧目合计消耗发生变动，以媒体核算期间的系统导出数据为准。</w:t>
            </w:r>
          </w:p>
          <w:p>
            <w:pPr>
              <w:numPr>
                <w:numId w:val="130"/>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31"/>
        </w:numPr>
        <w:spacing w:before="120" w:after="120" w:line="288" w:lineRule="auto"/>
        <w:ind w:left="453"/>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32"/>
              </w:numPr>
              <w:spacing w:before="120" w:after="120" w:line="288" w:lineRule="auto"/>
              <w:ind w:left="0"/>
              <w:jc w:val="left"/>
            </w:pPr>
            <w:r>
              <w:rPr>
                <w:rFonts w:eastAsia="等线" w:ascii="Arial" w:cs="Arial" w:hAnsi="Arial"/>
                <w:sz w:val="22"/>
              </w:rPr>
              <w:t>App/甲方公司/集团在TikTok for Business的首次广告消耗发生在本季度；</w:t>
            </w:r>
          </w:p>
          <w:p>
            <w:pPr>
              <w:numPr>
                <w:numId w:val="133"/>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numPr>
                <w:numId w:val="134"/>
              </w:numPr>
              <w:spacing w:before="120" w:after="120" w:line="288" w:lineRule="auto"/>
              <w:ind w:left="0"/>
              <w:jc w:val="left"/>
            </w:pPr>
            <w:r>
              <w:rPr>
                <w:rFonts w:eastAsia="等线" w:ascii="Arial" w:cs="Arial" w:hAnsi="Arial"/>
                <w:sz w:val="22"/>
              </w:rPr>
              <w:t>App在本季度的广告消耗不低于$1,000；</w:t>
            </w:r>
          </w:p>
          <w:p>
            <w:pPr>
              <w:numPr>
                <w:numId w:val="135"/>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numPr>
          <w:numId w:val="136"/>
        </w:numPr>
        <w:spacing w:before="120" w:after="120" w:line="288" w:lineRule="auto"/>
        <w:ind w:left="453"/>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季度APP广告消耗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37"/>
              </w:numPr>
              <w:spacing w:before="120" w:after="120" w:line="288" w:lineRule="auto"/>
              <w:ind w:left="0"/>
              <w:jc w:val="left"/>
            </w:pPr>
            <w:r>
              <w:rPr>
                <w:rFonts w:eastAsia="等线" w:ascii="Arial" w:cs="Arial" w:hAnsi="Arial"/>
                <w:sz w:val="22"/>
              </w:rPr>
              <w:t>App在TikTok for Business的首次广告消耗发生在本季度；</w:t>
            </w:r>
          </w:p>
          <w:p>
            <w:pPr>
              <w:numPr>
                <w:numId w:val="138"/>
              </w:numPr>
              <w:spacing w:before="120" w:after="120" w:line="288" w:lineRule="auto"/>
              <w:ind w:left="0"/>
              <w:jc w:val="left"/>
            </w:pPr>
            <w:r>
              <w:rPr>
                <w:rFonts w:eastAsia="等线" w:ascii="Arial" w:cs="Arial" w:hAnsi="Arial"/>
                <w:sz w:val="22"/>
              </w:rPr>
              <w:t>应用非短剧App的类型划分以媒体判定为准;</w:t>
            </w:r>
          </w:p>
          <w:p>
            <w:pPr>
              <w:numPr>
                <w:numId w:val="139"/>
              </w:numPr>
              <w:spacing w:before="120" w:after="120" w:line="288" w:lineRule="auto"/>
              <w:ind w:left="0"/>
              <w:jc w:val="left"/>
            </w:pPr>
            <w:r>
              <w:rPr>
                <w:rFonts w:eastAsia="等线" w:ascii="Arial" w:cs="Arial" w:hAnsi="Arial"/>
                <w:sz w:val="22"/>
              </w:rPr>
              <w:t xml:space="preserve"> App在本季度的广告消耗不低于$2,000；</w:t>
            </w:r>
          </w:p>
          <w:p>
            <w:pPr>
              <w:numPr>
                <w:numId w:val="140"/>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41"/>
        </w:numPr>
        <w:spacing w:before="120" w:after="120" w:line="288" w:lineRule="auto"/>
        <w:ind w:left="453"/>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1650"/>
        <w:gridCol w:w="493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4935" w:type="dxa"/>
            <w:hMerge w:val="continue"/>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返点比例（新客）</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返点比例（老客）</w:t>
            </w:r>
          </w:p>
        </w:tc>
        <w:tc>
          <w:tcPr>
            <w:tcW w:w="4935" w:type="dxa"/>
            <w:vMerge w:val="restart"/>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sz w:val="22"/>
              </w:rPr>
              <w:t>投广客户集团在TikTok for Business的首次品牌广告消耗发生在本季度的为新客，新/老客的判定最终以媒体确认为准；</w:t>
            </w:r>
          </w:p>
          <w:p>
            <w:pPr>
              <w:numPr>
                <w:numId w:val="143"/>
              </w:numPr>
              <w:spacing w:before="120" w:after="120" w:line="288" w:lineRule="auto"/>
              <w:ind w:left="0"/>
              <w:jc w:val="left"/>
            </w:pPr>
            <w:r>
              <w:rPr>
                <w:rFonts w:eastAsia="等线" w:ascii="Arial" w:cs="Arial" w:hAnsi="Arial"/>
                <w:sz w:val="22"/>
              </w:rPr>
              <w:t>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tc>
      </w:tr>
      <w:tr>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tc>
        <w:tc>
          <w:tcPr>
            <w:tcW w:w="493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44"/>
        </w:numPr>
        <w:spacing w:before="120" w:after="120" w:line="288" w:lineRule="auto"/>
        <w:ind w:left="453"/>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40"/>
        <w:gridCol w:w="1740"/>
        <w:gridCol w:w="2865"/>
        <w:gridCol w:w="193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 自播投广成长激励</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r>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季度日均GMV</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Shop消耗QoQ</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Shop自播投广消耗QoQ</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45"/>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numPr>
                <w:numId w:val="146"/>
              </w:numPr>
              <w:spacing w:before="120" w:after="120" w:line="288" w:lineRule="auto"/>
              <w:ind w:left="0"/>
              <w:jc w:val="left"/>
            </w:pPr>
            <w:r>
              <w:rPr>
                <w:rFonts w:eastAsia="等线" w:ascii="Arial" w:cs="Arial" w:hAnsi="Arial"/>
                <w:sz w:val="22"/>
              </w:rPr>
              <w:t>Shop日均GMV = Shop在Q4期间的总成交额(Total GMV) ÷ Q4整体天数；</w:t>
            </w:r>
          </w:p>
          <w:p>
            <w:pPr>
              <w:numPr>
                <w:numId w:val="147"/>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numPr>
                <w:numId w:val="148"/>
              </w:numPr>
              <w:spacing w:before="120" w:after="120" w:line="288" w:lineRule="auto"/>
              <w:ind w:left="0"/>
              <w:jc w:val="left"/>
            </w:pPr>
            <w:r>
              <w:rPr>
                <w:rFonts w:eastAsia="等线" w:ascii="Arial" w:cs="Arial" w:hAnsi="Arial"/>
                <w:sz w:val="22"/>
              </w:rPr>
              <w:t>Shop自播投广业绩以【Shop Self Live Revenue】为准；</w:t>
            </w:r>
          </w:p>
          <w:p>
            <w:pPr>
              <w:numPr>
                <w:numId w:val="149"/>
              </w:numPr>
              <w:spacing w:before="120" w:after="120" w:line="288" w:lineRule="auto"/>
              <w:ind w:left="0"/>
              <w:jc w:val="left"/>
            </w:pPr>
            <w:r>
              <w:rPr>
                <w:rFonts w:eastAsia="等线" w:ascii="Arial" w:cs="Arial" w:hAnsi="Arial"/>
                <w:sz w:val="22"/>
              </w:rPr>
              <w:t>投放地的划分基于 TTS Operation Country来判定。</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3.2.8  甲方的消耗被媒体判断符合【中小客户成长专项】标准的，则甲方满足标准的部分有机会可以额外获得如下返点奖励，返点金额最终以媒体判定为准：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梯度</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日均消耗(V)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0"/>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w:t>
            </w:r>
          </w:p>
          <w:p>
            <w:pPr>
              <w:numPr>
                <w:numId w:val="151"/>
              </w:numPr>
              <w:spacing w:before="120" w:after="120" w:line="288" w:lineRule="auto"/>
              <w:ind w:left="0"/>
              <w:jc w:val="left"/>
            </w:pPr>
            <w:r>
              <w:rPr>
                <w:rFonts w:eastAsia="等线" w:ascii="Arial" w:cs="Arial" w:hAnsi="Arial"/>
                <w:sz w:val="22"/>
              </w:rPr>
              <w:t>直客：除虚客以外的广告主；</w:t>
            </w:r>
          </w:p>
          <w:p>
            <w:pPr>
              <w:numPr>
                <w:numId w:val="152"/>
              </w:numPr>
              <w:spacing w:before="120" w:after="120" w:line="288" w:lineRule="auto"/>
              <w:ind w:left="0"/>
              <w:jc w:val="left"/>
            </w:pPr>
            <w:r>
              <w:rPr>
                <w:rFonts w:eastAsia="等线" w:ascii="Arial" w:cs="Arial" w:hAnsi="Arial"/>
                <w:sz w:val="22"/>
              </w:rPr>
              <w:t xml:space="preserve">日均广告消耗：2025年Q3季度为虚客、且本季度虚客日均消耗 QoQ&gt;0%的广告主(Daily消耗QoQ有增长)，在本季度产生的虚客日均现金广告消耗； </w:t>
            </w:r>
          </w:p>
          <w:p>
            <w:pPr>
              <w:numPr>
                <w:numId w:val="153"/>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numPr>
                <w:numId w:val="154"/>
              </w:numPr>
              <w:spacing w:before="120" w:after="120" w:line="288" w:lineRule="auto"/>
              <w:ind w:left="0"/>
              <w:jc w:val="left"/>
            </w:pPr>
            <w:r>
              <w:rPr>
                <w:rFonts w:eastAsia="等线" w:ascii="Arial" w:cs="Arial" w:hAnsi="Arial"/>
                <w:sz w:val="22"/>
              </w:rPr>
              <w:t>以上数据及直客/虚客类型的判定最终以媒体确认为准。</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3.2.9  甲方的消耗被媒体判断符合【Web-EC客户成长专项】标准的，则甲方满足标准的部分有机会可以额外获得如下返点奖励，返点金额最终以媒体判定为准：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5"/>
              </w:numPr>
              <w:spacing w:before="120" w:after="120" w:line="288" w:lineRule="auto"/>
              <w:ind w:left="0"/>
              <w:jc w:val="left"/>
            </w:pPr>
            <w:r>
              <w:rPr>
                <w:rFonts w:eastAsia="等线" w:ascii="Arial" w:cs="Arial" w:hAnsi="Arial"/>
                <w:sz w:val="22"/>
              </w:rPr>
              <w:t>本政策适用于Q2 Web-EC消耗&gt;$0、且QoQ增幅≥10%的客户；</w:t>
            </w:r>
          </w:p>
          <w:p>
            <w:pPr>
              <w:numPr>
                <w:numId w:val="156"/>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numPr>
                <w:numId w:val="157"/>
              </w:numPr>
              <w:spacing w:before="120" w:after="120" w:line="288" w:lineRule="auto"/>
              <w:ind w:left="0"/>
              <w:jc w:val="left"/>
            </w:pPr>
            <w:r>
              <w:rPr>
                <w:rFonts w:eastAsia="等线" w:ascii="Arial" w:cs="Arial" w:hAnsi="Arial"/>
                <w:sz w:val="22"/>
              </w:rPr>
              <w:t>Web-EC客户的判定以媒体确认为准；</w:t>
            </w:r>
          </w:p>
          <w:p>
            <w:pPr>
              <w:numPr>
                <w:numId w:val="158"/>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9"/>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numPr>
                <w:numId w:val="160"/>
              </w:numPr>
              <w:spacing w:before="120" w:after="120" w:line="288" w:lineRule="auto"/>
              <w:ind w:left="0"/>
              <w:jc w:val="left"/>
            </w:pPr>
            <w:r>
              <w:rPr>
                <w:rFonts w:eastAsia="等线" w:ascii="Arial" w:cs="Arial" w:hAnsi="Arial"/>
                <w:sz w:val="22"/>
              </w:rPr>
              <w:t>Web-EC客户的判定以媒体确认为准；</w:t>
            </w:r>
          </w:p>
          <w:p>
            <w:pPr>
              <w:numPr>
                <w:numId w:val="161"/>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numPr>
                <w:numId w:val="162"/>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3.2.10 甲方的消耗被媒体判断符合【优质素材专项】标准的，则甲方满足标准的部分有机会可以额外获得如下返点奖励，返点金额最终以媒体判定为准：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20"/>
        <w:gridCol w:w="42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 季度</w:t>
            </w:r>
          </w:p>
          <w:p>
            <w:pPr>
              <w:spacing w:before="120" w:after="120" w:line="288" w:lineRule="auto"/>
              <w:ind w:left="0"/>
              <w:jc w:val="center"/>
            </w:pPr>
            <w:r>
              <w:rPr>
                <w:rFonts w:eastAsia="等线" w:ascii="Arial" w:cs="Arial" w:hAnsi="Arial"/>
                <w:b w:val="true"/>
                <w:sz w:val="22"/>
              </w:rPr>
              <w:t>优质素材激励</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c>
          <w:tcPr>
            <w:tcW w:w="4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特别说明</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vMerge w:val="restart"/>
            <w:tcMar>
              <w:top w:type="dxa" w:w="60"/>
              <w:left w:type="dxa" w:w="120"/>
              <w:bottom w:type="dxa" w:w="30"/>
              <w:right w:type="dxa" w:w="120"/>
            </w:tcMar>
          </w:tcPr>
          <w:p>
            <w:pPr>
              <w:numPr>
                <w:numId w:val="163"/>
              </w:numPr>
              <w:spacing w:before="120" w:after="120" w:line="288" w:lineRule="auto"/>
              <w:ind w:left="0"/>
              <w:jc w:val="left"/>
            </w:pPr>
            <w:r>
              <w:rPr>
                <w:rFonts w:eastAsia="等线" w:ascii="Arial" w:cs="Arial" w:hAnsi="Arial"/>
                <w:sz w:val="22"/>
              </w:rPr>
              <w:t>本专项激励政策只针对符合代投标准且在广告账户中TikTok版位的消耗。</w:t>
            </w:r>
          </w:p>
          <w:p>
            <w:pPr>
              <w:numPr>
                <w:numId w:val="164"/>
              </w:numPr>
              <w:spacing w:before="120" w:after="120" w:line="288" w:lineRule="auto"/>
              <w:ind w:left="0"/>
              <w:jc w:val="left"/>
            </w:pPr>
            <w:r>
              <w:rPr>
                <w:rFonts w:eastAsia="等线" w:ascii="Arial" w:cs="Arial" w:hAnsi="Arial"/>
                <w:sz w:val="22"/>
              </w:rPr>
              <w:t>优质素材定义：</w:t>
            </w:r>
          </w:p>
          <w:p>
            <w:pPr>
              <w:numPr>
                <w:numId w:val="165"/>
              </w:numPr>
              <w:spacing w:before="120" w:after="120" w:line="288" w:lineRule="auto"/>
              <w:ind w:left="0"/>
              <w:jc w:val="left"/>
            </w:pPr>
            <w:r>
              <w:rPr>
                <w:rFonts w:eastAsia="等线" w:ascii="Arial" w:cs="Arial" w:hAnsi="Arial"/>
                <w:sz w:val="22"/>
              </w:rPr>
              <w:t>行业：闭环电商：</w:t>
            </w:r>
          </w:p>
          <w:p>
            <w:pPr>
              <w:spacing w:before="120" w:after="120" w:line="288" w:lineRule="auto"/>
              <w:ind w:left="0"/>
              <w:jc w:val="left"/>
            </w:pPr>
          </w:p>
          <w:p>
            <w:pPr>
              <w:numPr>
                <w:numId w:val="166"/>
              </w:numPr>
              <w:spacing w:before="120" w:after="120" w:line="288" w:lineRule="auto"/>
              <w:ind w:left="0"/>
              <w:jc w:val="left"/>
            </w:pPr>
            <w:r>
              <w:rPr>
                <w:rFonts w:eastAsia="等线" w:ascii="Arial" w:cs="Arial" w:hAnsi="Arial"/>
                <w:color w:val="d83931"/>
                <w:sz w:val="22"/>
              </w:rPr>
              <w:t>行业：非闭环电商</w:t>
            </w:r>
          </w:p>
          <w:p>
            <w:pPr>
              <w:spacing w:before="120" w:after="120" w:line="288" w:lineRule="auto"/>
              <w:ind w:left="0"/>
              <w:jc w:val="left"/>
            </w:pPr>
            <w:r>
              <w:rPr>
                <w:rFonts w:eastAsia="等线" w:ascii="Arial" w:cs="Arial" w:hAnsi="Arial"/>
                <w:sz w:val="22"/>
              </w:rPr>
              <w:t>CTR&gt;0.5%，素材季度消耗≥$100</w:t>
            </w:r>
          </w:p>
          <w:p>
            <w:pPr>
              <w:numPr>
                <w:numId w:val="167"/>
              </w:numPr>
              <w:spacing w:before="120" w:after="120" w:line="288" w:lineRule="auto"/>
              <w:ind w:left="0"/>
              <w:jc w:val="left"/>
            </w:pPr>
            <w:r>
              <w:rPr>
                <w:rFonts w:eastAsia="等线" w:ascii="Arial" w:cs="Arial" w:hAnsi="Arial"/>
                <w:color w:val="d83931"/>
                <w:sz w:val="22"/>
              </w:rPr>
              <w:t>行业：App-应用、游戏</w:t>
            </w:r>
          </w:p>
          <w:p>
            <w:pPr>
              <w:spacing w:before="120" w:after="120" w:line="288" w:lineRule="auto"/>
              <w:ind w:left="0"/>
              <w:jc w:val="left"/>
            </w:pPr>
            <w:r>
              <w:rPr>
                <w:rFonts w:eastAsia="等线" w:ascii="Arial" w:cs="Arial" w:hAnsi="Arial"/>
                <w:color w:val="d83931"/>
                <w:sz w:val="22"/>
              </w:rPr>
              <w:t>CTR&gt;0.3%，素材季度消耗≥$100</w:t>
            </w:r>
          </w:p>
          <w:p>
            <w:pPr>
              <w:numPr>
                <w:numId w:val="168"/>
              </w:numPr>
              <w:spacing w:before="120" w:after="120" w:line="288" w:lineRule="auto"/>
              <w:ind w:left="0"/>
              <w:jc w:val="left"/>
            </w:pPr>
            <w:r>
              <w:rPr>
                <w:rFonts w:eastAsia="等线" w:ascii="Arial" w:cs="Arial" w:hAnsi="Arial"/>
                <w:color w:val="d83931"/>
                <w:sz w:val="22"/>
              </w:rPr>
              <w:t>行业：Web-应用、游戏</w:t>
            </w:r>
          </w:p>
          <w:p>
            <w:pPr>
              <w:spacing w:before="120" w:after="120" w:line="288" w:lineRule="auto"/>
              <w:ind w:left="0"/>
              <w:jc w:val="left"/>
            </w:pPr>
            <w:r>
              <w:rPr>
                <w:rFonts w:eastAsia="等线" w:ascii="Arial" w:cs="Arial" w:hAnsi="Arial"/>
                <w:color w:val="d83931"/>
                <w:sz w:val="22"/>
              </w:rPr>
              <w:t>CTR&gt;0.6%，素材季度消耗≥$100</w:t>
            </w:r>
          </w:p>
          <w:p>
            <w:pPr>
              <w:spacing w:before="120" w:after="120" w:line="288" w:lineRule="auto"/>
              <w:ind w:left="0"/>
              <w:jc w:val="left"/>
            </w:pPr>
            <w:r>
              <w:rPr>
                <w:rFonts w:eastAsia="等线" w:ascii="Arial" w:cs="Arial" w:hAnsi="Arial"/>
                <w:color w:val="d83931"/>
                <w:sz w:val="22"/>
              </w:rPr>
              <w:t>*CTR定义：点击率，指促成目标页面点击的展示次数占总展示次数的百分比；</w:t>
            </w:r>
          </w:p>
          <w:p>
            <w:pPr>
              <w:spacing w:before="120" w:after="120" w:line="288" w:lineRule="auto"/>
              <w:ind w:left="0"/>
              <w:jc w:val="left"/>
            </w:pPr>
            <w:r>
              <w:rPr>
                <w:rFonts w:eastAsia="等线" w:ascii="Arial" w:cs="Arial" w:hAnsi="Arial"/>
                <w:color w:val="d83931"/>
                <w:sz w:val="22"/>
              </w:rPr>
              <w:t>以上数据、定义及行业划分，以媒体判定为准；</w:t>
            </w:r>
          </w:p>
          <w:p>
            <w:pPr>
              <w:numPr>
                <w:numId w:val="169"/>
              </w:numPr>
              <w:spacing w:before="120" w:after="120" w:line="288" w:lineRule="auto"/>
              <w:ind w:left="0"/>
              <w:jc w:val="left"/>
            </w:pPr>
            <w:r>
              <w:rPr>
                <w:rFonts w:eastAsia="等线" w:ascii="Arial" w:cs="Arial" w:hAnsi="Arial"/>
                <w:sz w:val="22"/>
              </w:rPr>
              <w:t>素材达标情况以媒体认定为准；</w:t>
            </w:r>
          </w:p>
          <w:p>
            <w:pPr>
              <w:numPr>
                <w:numId w:val="170"/>
              </w:numPr>
              <w:spacing w:before="120" w:after="120" w:line="288" w:lineRule="auto"/>
              <w:ind w:left="0"/>
              <w:jc w:val="left"/>
            </w:pPr>
            <w:r>
              <w:rPr>
                <w:rFonts w:eastAsia="等线" w:ascii="Arial" w:cs="Arial" w:hAnsi="Arial"/>
                <w:sz w:val="22"/>
              </w:rPr>
              <w:t>优质素材广告消耗：符合代投判定标准的广告账户，在25年Q4产生的，投放优质素材的广告消耗。</w:t>
            </w:r>
          </w:p>
          <w:p>
            <w:pPr>
              <w:numPr>
                <w:numId w:val="171"/>
              </w:numPr>
              <w:spacing w:before="120" w:after="120" w:line="288" w:lineRule="auto"/>
              <w:ind w:left="0"/>
              <w:jc w:val="left"/>
            </w:pPr>
            <w:r>
              <w:rPr>
                <w:rFonts w:eastAsia="等线" w:ascii="Arial" w:cs="Arial" w:hAnsi="Arial"/>
                <w:sz w:val="22"/>
              </w:rPr>
              <w:t>甲方应积极配合乙方进行申报及调整，以保证满足媒体关于优质素材的评判标准，若甲方拒绝调整或配合的，则无法取得相应返点激励。</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260" w:type="dxa"/>
            <w:hMerge w:val="continue"/>
            <w:vMerge w:val="restart"/>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p>
    <w:p>
      <w:pPr>
        <w:pStyle w:val="2"/>
        <w:spacing w:before="320" w:after="120" w:line="288" w:lineRule="auto"/>
        <w:ind w:left="0"/>
        <w:jc w:val="left"/>
        <w:outlineLvl w:val="1"/>
      </w:pPr>
      <w:bookmarkStart w:name="heading_79" w:id="79"/>
      <w:r>
        <w:rPr>
          <w:rFonts w:eastAsia="等线" w:ascii="Arial" w:cs="Arial" w:hAnsi="Arial"/>
          <w:b w:val="true"/>
          <w:sz w:val="32"/>
        </w:rPr>
        <w:t>3.3  通用</w:t>
      </w:r>
      <w:bookmarkEnd w:id="79"/>
    </w:p>
    <w:p>
      <w:pPr>
        <w:numPr>
          <w:numId w:val="172"/>
        </w:numPr>
        <w:spacing w:before="120" w:after="120" w:line="288" w:lineRule="auto"/>
        <w:ind w:left="453"/>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numPr>
          <w:numId w:val="173"/>
        </w:numPr>
        <w:spacing w:before="120" w:after="120" w:line="288" w:lineRule="auto"/>
        <w:ind w:left="453"/>
        <w:jc w:val="left"/>
      </w:pPr>
      <w:r>
        <w:rPr>
          <w:rFonts w:eastAsia="等线" w:ascii="Arial" w:cs="Arial" w:hAnsi="Arial"/>
          <w:sz w:val="22"/>
        </w:rPr>
        <w:t>同一客户的基础返点和专项返点如同时满足，可重复叠加，具体以乙方每季度确认的返点金额为准。</w:t>
      </w:r>
    </w:p>
    <w:p>
      <w:pPr>
        <w:numPr>
          <w:numId w:val="174"/>
        </w:numPr>
        <w:spacing w:before="120" w:after="120" w:line="288" w:lineRule="auto"/>
        <w:ind w:left="453"/>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numPr>
          <w:numId w:val="175"/>
        </w:numPr>
        <w:spacing w:before="120" w:after="120" w:line="288" w:lineRule="auto"/>
        <w:ind w:left="453"/>
        <w:jc w:val="left"/>
      </w:pPr>
      <w:r>
        <w:rPr>
          <w:rFonts w:eastAsia="等线" w:ascii="Arial" w:cs="Arial" w:hAnsi="Arial"/>
          <w:sz w:val="22"/>
        </w:rPr>
        <w:t>如甲方被媒体判定为违规投放，则乙方有权保留由于甲方违规而产生的媒体罚金的追究权利， 最终将以媒体判定为准。</w:t>
      </w:r>
    </w:p>
    <w:p>
      <w:pPr>
        <w:numPr>
          <w:numId w:val="176"/>
        </w:numPr>
        <w:spacing w:before="120" w:after="120" w:line="288" w:lineRule="auto"/>
        <w:ind w:left="453"/>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numPr>
          <w:numId w:val="177"/>
        </w:numPr>
        <w:spacing w:before="120" w:after="120" w:line="288" w:lineRule="auto"/>
        <w:ind w:left="453"/>
        <w:jc w:val="left"/>
      </w:pPr>
      <w:r>
        <w:rPr>
          <w:rFonts w:eastAsia="等线" w:ascii="Arial" w:cs="Arial" w:hAnsi="Arial"/>
          <w:sz w:val="22"/>
        </w:rPr>
        <w:t>甲方在TikTok for Business中投放目标受众国家为匈牙利的任何消耗，无返点。</w:t>
      </w:r>
    </w:p>
    <w:p>
      <w:pPr>
        <w:numPr>
          <w:numId w:val="178"/>
        </w:numPr>
        <w:spacing w:before="120" w:after="120" w:line="288" w:lineRule="auto"/>
        <w:ind w:left="453"/>
        <w:jc w:val="left"/>
      </w:pPr>
      <w:r>
        <w:rPr>
          <w:rFonts w:eastAsia="等线" w:ascii="Arial" w:cs="Arial" w:hAnsi="Arial"/>
          <w:sz w:val="22"/>
        </w:rPr>
        <w:t>若甲方为法国客户，则其在TikTok for Business中投放目标受众国家为法国的任何消耗均无返点。</w:t>
      </w:r>
    </w:p>
    <w:p>
      <w:pPr>
        <w:numPr>
          <w:numId w:val="179"/>
        </w:numPr>
        <w:spacing w:before="120" w:after="120" w:line="288" w:lineRule="auto"/>
        <w:ind w:left="453"/>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numPr>
          <w:numId w:val="180"/>
        </w:numPr>
        <w:spacing w:before="120" w:after="120" w:line="288" w:lineRule="auto"/>
        <w:ind w:left="453"/>
        <w:jc w:val="left"/>
      </w:pPr>
      <w:r>
        <w:rPr>
          <w:rFonts w:eastAsia="等线" w:ascii="Arial" w:cs="Arial" w:hAnsi="Arial"/>
          <w:sz w:val="22"/>
        </w:rPr>
        <w:t>任何在TikTok for Business投放项目中有关网红达人（KOL）的费用\Creator fee\Production fee\Copyright fee均不计入返点结算。</w:t>
      </w:r>
    </w:p>
    <w:p>
      <w:pPr>
        <w:numPr>
          <w:numId w:val="181"/>
        </w:numPr>
        <w:spacing w:before="120" w:after="120" w:line="288" w:lineRule="auto"/>
        <w:ind w:left="453"/>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numPr>
          <w:numId w:val="182"/>
        </w:numPr>
        <w:spacing w:before="120" w:after="120" w:line="288" w:lineRule="auto"/>
        <w:ind w:left="453"/>
        <w:jc w:val="left"/>
      </w:pPr>
      <w:r>
        <w:rPr>
          <w:rFonts w:eastAsia="等线" w:ascii="Arial" w:cs="Arial" w:hAnsi="Arial"/>
          <w:sz w:val="22"/>
        </w:rPr>
        <w:t>闭环电商广告消耗与TTS业绩含义相同，包含LSA、VSA、PSA、GMV Max等产品产生的消耗，具体定义以媒体约定为准。</w:t>
      </w:r>
    </w:p>
    <w:p>
      <w:pPr>
        <w:numPr>
          <w:numId w:val="183"/>
        </w:numPr>
        <w:spacing w:before="120" w:after="120" w:line="288" w:lineRule="auto"/>
        <w:ind w:left="453"/>
        <w:jc w:val="left"/>
      </w:pPr>
      <w:r>
        <w:rPr>
          <w:rFonts w:eastAsia="等线" w:ascii="Arial" w:cs="Arial" w:hAnsi="Arial"/>
          <w:sz w:val="22"/>
        </w:rPr>
        <w:t>"消耗"、"广告消耗"、"业绩"含义相同, 均指未被媒体内控判为违规的adv产生的业绩。</w:t>
      </w:r>
    </w:p>
    <w:p>
      <w:pPr>
        <w:numPr>
          <w:numId w:val="184"/>
        </w:numPr>
        <w:spacing w:before="120" w:after="120" w:line="288" w:lineRule="auto"/>
        <w:ind w:left="453"/>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numPr>
          <w:numId w:val="185"/>
        </w:numPr>
        <w:spacing w:before="120" w:after="120" w:line="288" w:lineRule="auto"/>
        <w:ind w:left="453"/>
        <w:jc w:val="left"/>
      </w:pPr>
      <w:r>
        <w:rPr>
          <w:rFonts w:eastAsia="等线" w:ascii="Arial" w:cs="Arial" w:hAnsi="Arial"/>
          <w:sz w:val="22"/>
        </w:rPr>
        <w:t>甲方应保证所有数据均为真实有效的，不存在作弊行为，最终数据判定均以媒体为准。</w:t>
      </w:r>
    </w:p>
    <w:p>
      <w:pPr>
        <w:numPr>
          <w:numId w:val="186"/>
        </w:numPr>
        <w:spacing w:before="120" w:after="120" w:line="288" w:lineRule="auto"/>
        <w:ind w:left="453"/>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numPr>
          <w:numId w:val="187"/>
        </w:numPr>
        <w:spacing w:before="120" w:after="120" w:line="288" w:lineRule="auto"/>
        <w:ind w:left="453"/>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numPr>
          <w:numId w:val="188"/>
        </w:numPr>
        <w:spacing w:before="120" w:after="120" w:line="288" w:lineRule="auto"/>
        <w:ind w:left="453"/>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p>
    <w:p>
      <w:pPr>
        <w:pStyle w:val="3"/>
        <w:spacing w:before="300" w:after="120" w:line="288" w:lineRule="auto"/>
        <w:ind w:left="0"/>
        <w:jc w:val="left"/>
        <w:outlineLvl w:val="2"/>
      </w:pPr>
      <w:bookmarkStart w:name="heading_80" w:id="80"/>
      <w:r>
        <w:rPr>
          <w:rFonts w:eastAsia="等线" w:ascii="Arial" w:cs="Arial" w:hAnsi="Arial"/>
          <w:b w:val="true"/>
          <w:sz w:val="30"/>
        </w:rPr>
        <w:t>4.Kwai</w:t>
      </w:r>
      <w:bookmarkEnd w:id="80"/>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1" w:id="81"/>
      <w:r>
        <w:rPr>
          <w:rFonts w:eastAsia="等线" w:ascii="Arial" w:cs="Arial" w:hAnsi="Arial"/>
          <w:b w:val="true"/>
          <w:sz w:val="32"/>
        </w:rPr>
        <w:t>4.2 甲方投放行业为【A类】的广告，返点比例如下：</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065"/>
        <w:gridCol w:w="1950"/>
      </w:tblGrid>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广告类型</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4.3  甲方投放行业为【B类】的广告，且【取得牌照并在SIGAP系统名单内】的，返点比例如下：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0"/>
        <w:gridCol w:w="2835"/>
      </w:tblGrid>
      <w:tr>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95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0"/>
        <w:jc w:val="left"/>
      </w:pPr>
      <w:r>
        <w:rPr>
          <w:rFonts w:eastAsia="等线" w:ascii="Arial" w:cs="Arial" w:hAnsi="Arial"/>
          <w:sz w:val="22"/>
        </w:rPr>
        <w:t>4.5  SIGAP系统名单内判定：均以Kwai媒体审核判定为准。</w:t>
      </w:r>
    </w:p>
    <w:p>
      <w:pPr>
        <w:spacing w:before="120" w:after="120" w:line="288" w:lineRule="auto"/>
        <w:ind w:left="0" w:firstLine="0"/>
        <w:jc w:val="left"/>
      </w:pPr>
      <w:r>
        <w:rPr>
          <w:rFonts w:eastAsia="等线" w:ascii="Arial" w:cs="Arial" w:hAnsi="Arial"/>
          <w:sz w:val="22"/>
        </w:rPr>
        <w:t>4.6  广告类型判定：均以Kwai媒体判定为准。</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p>
    <w:p>
      <w:pPr>
        <w:pStyle w:val="3"/>
        <w:spacing w:before="300" w:after="120" w:line="288" w:lineRule="auto"/>
        <w:ind w:left="0"/>
        <w:jc w:val="left"/>
        <w:outlineLvl w:val="2"/>
      </w:pPr>
      <w:bookmarkStart w:name="heading_82" w:id="82"/>
      <w:r>
        <w:rPr>
          <w:rFonts w:eastAsia="等线" w:ascii="Arial" w:cs="Arial" w:hAnsi="Arial"/>
          <w:color w:val="3370ff"/>
          <w:sz w:val="30"/>
        </w:rPr>
        <w:t xml:space="preserve">15.1.2 </w:t>
      </w:r>
      <w:r>
        <w:rPr>
          <w:rFonts w:eastAsia="等线" w:ascii="Arial" w:cs="Arial" w:hAnsi="Arial"/>
          <w:b w:val="true"/>
          <w:sz w:val="30"/>
        </w:rPr>
        <w:t>LinkedIn</w:t>
      </w:r>
      <w:bookmarkEnd w:id="82"/>
    </w:p>
    <w:p>
      <w:pPr>
        <w:spacing w:before="120" w:after="120" w:line="288" w:lineRule="auto"/>
        <w:ind w:left="0" w:firstLine="0"/>
        <w:jc w:val="left"/>
      </w:pPr>
      <w:r>
        <w:rPr>
          <w:rFonts w:eastAsia="等线" w:ascii="Arial" w:cs="Arial" w:hAnsi="Arial"/>
          <w:sz w:val="22"/>
        </w:rPr>
        <w:t>5.1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3" w:id="83"/>
      <w:r>
        <w:rPr>
          <w:rFonts w:eastAsia="等线" w:ascii="Arial" w:cs="Arial" w:hAnsi="Arial"/>
          <w:b w:val="true"/>
          <w:sz w:val="32"/>
        </w:rPr>
        <w:t>5.2返点比例如下：</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0"/>
        <w:jc w:val="left"/>
      </w:pPr>
      <w:r>
        <w:rPr>
          <w:rFonts w:eastAsia="等线" w:ascii="Arial" w:cs="Arial" w:hAnsi="Arial"/>
          <w:sz w:val="22"/>
        </w:rPr>
        <w:t>5.6 上述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p>
    <w:p>
      <w:pPr>
        <w:pStyle w:val="3"/>
        <w:spacing w:before="300" w:after="120" w:line="288" w:lineRule="auto"/>
        <w:ind w:left="453"/>
        <w:jc w:val="left"/>
        <w:outlineLvl w:val="2"/>
      </w:pPr>
      <w:bookmarkStart w:name="heading_84" w:id="84"/>
      <w:r>
        <w:rPr>
          <w:rFonts w:eastAsia="等线" w:ascii="Arial" w:cs="Arial" w:hAnsi="Arial"/>
          <w:color w:val="3370ff"/>
          <w:sz w:val="30"/>
        </w:rPr>
        <w:t xml:space="preserve">15.1.3 </w:t>
      </w:r>
      <w:r>
        <w:rPr>
          <w:rFonts w:eastAsia="等线" w:ascii="Arial" w:cs="Arial" w:hAnsi="Arial"/>
          <w:b w:val="true"/>
          <w:sz w:val="30"/>
        </w:rPr>
        <w:t>Twitter（X）\Outbrain\Moloco等其他小媒体</w:t>
      </w:r>
      <w:bookmarkEnd w:id="84"/>
    </w:p>
    <w:p>
      <w:pPr>
        <w:spacing w:before="120" w:after="120" w:line="288" w:lineRule="auto"/>
        <w:ind w:left="0" w:firstLine="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5" w:id="85"/>
      <w:r>
        <w:rPr>
          <w:rFonts w:eastAsia="等线" w:ascii="Arial" w:cs="Arial" w:hAnsi="Arial"/>
          <w:b w:val="true"/>
          <w:sz w:val="32"/>
        </w:rPr>
        <w:t>6.2返点比例如下：</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6.3 甲方确认，在Outbrain媒体投放社交聚合类(social aggregator) 和套利/搜索类 （Search/SERP）的广告，不参与返点。</w:t>
      </w:r>
    </w:p>
    <w:p>
      <w:pPr>
        <w:spacing w:before="120" w:after="120" w:line="288" w:lineRule="auto"/>
        <w:ind w:left="0" w:firstLine="420"/>
        <w:jc w:val="left"/>
      </w:pPr>
    </w:p>
    <w:p>
      <w:pPr>
        <w:numPr>
          <w:numId w:val="189"/>
        </w:numPr>
        <w:spacing w:before="120" w:after="120" w:line="288" w:lineRule="auto"/>
        <w:ind w:left="453"/>
        <w:jc w:val="left"/>
      </w:pPr>
      <w:r>
        <w:rPr>
          <w:rFonts w:eastAsia="等线" w:ascii="Arial" w:cs="Arial" w:hAnsi="Arial"/>
          <w:b w:val="true"/>
          <w:sz w:val="22"/>
        </w:rPr>
        <w:t>TTD， YAHOO-日本，REDDIT，SEEDAPP，LINE</w:t>
      </w:r>
      <w:r>
        <w:rPr>
          <w:rFonts w:eastAsia="等线" w:ascii="Arial" w:cs="Arial" w:hAnsi="Arial"/>
          <w:sz w:val="22"/>
        </w:rPr>
        <w:t xml:space="preserve"> </w:t>
      </w:r>
      <w:r>
        <w:rPr>
          <w:rFonts w:eastAsia="等线" w:ascii="Arial" w:cs="Arial" w:hAnsi="Arial"/>
          <w:b w:val="true"/>
          <w:sz w:val="22"/>
        </w:rPr>
        <w:t>，BlueTurbo DSP等其他小媒体</w:t>
      </w:r>
    </w:p>
    <w:p>
      <w:pPr>
        <w:spacing w:before="120" w:after="120" w:line="288" w:lineRule="auto"/>
        <w:ind w:left="0" w:firstLine="0"/>
        <w:jc w:val="left"/>
      </w:pPr>
      <w:r>
        <w:rPr>
          <w:rFonts w:eastAsia="等线" w:ascii="Arial" w:cs="Arial" w:hAnsi="Arial"/>
          <w:sz w:val="22"/>
        </w:rPr>
        <w:t>7.1 甲方在【】媒体进行广告投放的，所涉及的消耗均无任何返点，且甲方需要向乙方额外支付当月广告投放总消耗金额的【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pStyle w:val="3"/>
        <w:spacing w:before="300" w:after="120" w:line="288" w:lineRule="auto"/>
        <w:ind w:left="453"/>
        <w:jc w:val="left"/>
        <w:outlineLvl w:val="2"/>
      </w:pPr>
      <w:bookmarkStart w:name="heading_86" w:id="86"/>
      <w:r>
        <w:rPr>
          <w:rFonts w:eastAsia="等线" w:ascii="Arial" w:cs="Arial" w:hAnsi="Arial"/>
          <w:color w:val="3370ff"/>
          <w:sz w:val="30"/>
        </w:rPr>
        <w:t xml:space="preserve">15.1.4 </w:t>
      </w:r>
      <w:r>
        <w:rPr>
          <w:rFonts w:eastAsia="等线" w:ascii="Arial" w:cs="Arial" w:hAnsi="Arial"/>
          <w:b w:val="true"/>
          <w:sz w:val="30"/>
        </w:rPr>
        <w:t>Microsoft advertising(Bing)</w:t>
      </w:r>
      <w:bookmarkEnd w:id="86"/>
    </w:p>
    <w:p>
      <w:pPr>
        <w:spacing w:before="120" w:after="120" w:line="288" w:lineRule="auto"/>
        <w:ind w:left="0" w:firstLine="0"/>
        <w:jc w:val="left"/>
      </w:pPr>
      <w:r>
        <w:rPr>
          <w:rFonts w:eastAsia="等线" w:ascii="Arial" w:cs="Arial" w:hAnsi="Arial"/>
          <w:sz w:val="22"/>
        </w:rPr>
        <w:t>8.1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8.2 【2025年7月1日】至【2026年6月30日】期间，双方确认按照如下返点计算：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0＜X＜3000美金</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8.2.1 单一客户：一般情况指一个XID为一个单一客户主体，除直客以外。</w:t>
      </w:r>
    </w:p>
    <w:p>
      <w:pPr>
        <w:spacing w:before="120" w:after="120" w:line="288" w:lineRule="auto"/>
        <w:ind w:left="0" w:firstLine="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0"/>
        <w:jc w:val="left"/>
      </w:pPr>
      <w:r>
        <w:rPr>
          <w:rFonts w:eastAsia="等线" w:ascii="Arial" w:cs="Arial" w:hAnsi="Arial"/>
          <w:sz w:val="22"/>
        </w:rPr>
        <w:t>8.2.5 CID：Manager account经理账户。</w:t>
      </w:r>
    </w:p>
    <w:p>
      <w:pPr>
        <w:spacing w:before="120" w:after="120" w:line="288" w:lineRule="auto"/>
        <w:ind w:left="0" w:firstLine="0"/>
        <w:jc w:val="left"/>
      </w:pPr>
      <w:r>
        <w:rPr>
          <w:rFonts w:eastAsia="等线" w:ascii="Arial" w:cs="Arial" w:hAnsi="Arial"/>
          <w:sz w:val="22"/>
        </w:rPr>
        <w:t>8.2.6 XID：Account经理账户下的独立子账户。</w:t>
      </w:r>
    </w:p>
    <w:p>
      <w:pPr>
        <w:spacing w:before="120" w:after="120" w:line="288" w:lineRule="auto"/>
        <w:ind w:left="0" w:firstLine="0"/>
        <w:jc w:val="left"/>
      </w:pPr>
      <w:r>
        <w:rPr>
          <w:rFonts w:eastAsia="等线" w:ascii="Arial" w:cs="Arial" w:hAnsi="Arial"/>
          <w:sz w:val="22"/>
        </w:rPr>
        <w:t>8.2.7 Domain：广告投放链接。</w:t>
      </w:r>
    </w:p>
    <w:p>
      <w:pPr>
        <w:spacing w:before="120" w:after="120" w:line="288" w:lineRule="auto"/>
        <w:ind w:left="0" w:firstLine="0"/>
        <w:jc w:val="left"/>
      </w:pPr>
      <w:r>
        <w:rPr>
          <w:rFonts w:eastAsia="等线" w:ascii="Arial" w:cs="Arial" w:hAnsi="Arial"/>
          <w:sz w:val="22"/>
        </w:rPr>
        <w:t>8.3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0"/>
        <w:jc w:val="left"/>
      </w:pPr>
      <w:r>
        <w:rPr>
          <w:rFonts w:eastAsia="等线" w:ascii="Arial" w:cs="Arial" w:hAnsi="Arial"/>
          <w:sz w:val="22"/>
        </w:rPr>
        <w:t>8.4如甲方在任何一个月出现违规消耗导致账户被封或者被媒体判定为低质量广告的，则该XID整年均无返点。</w:t>
      </w:r>
    </w:p>
    <w:p>
      <w:pPr>
        <w:spacing w:before="120" w:after="120" w:line="288" w:lineRule="auto"/>
        <w:ind w:left="0" w:firstLine="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0"/>
        <w:jc w:val="left"/>
      </w:pPr>
    </w:p>
    <w:p>
      <w:pPr>
        <w:pStyle w:val="3"/>
        <w:spacing w:before="300" w:after="120" w:line="288" w:lineRule="auto"/>
        <w:ind w:left="453"/>
        <w:jc w:val="left"/>
        <w:outlineLvl w:val="2"/>
      </w:pPr>
      <w:bookmarkStart w:name="heading_87" w:id="87"/>
      <w:r>
        <w:rPr>
          <w:rFonts w:eastAsia="等线" w:ascii="Arial" w:cs="Arial" w:hAnsi="Arial"/>
          <w:color w:val="3370ff"/>
          <w:sz w:val="30"/>
        </w:rPr>
        <w:t xml:space="preserve">15.1.5 </w:t>
      </w:r>
      <w:r>
        <w:rPr>
          <w:rFonts w:eastAsia="等线" w:ascii="Arial" w:cs="Arial" w:hAnsi="Arial"/>
          <w:b w:val="true"/>
          <w:sz w:val="30"/>
        </w:rPr>
        <w:t>Amazon</w:t>
      </w:r>
      <w:bookmarkEnd w:id="87"/>
    </w:p>
    <w:p>
      <w:pPr>
        <w:spacing w:before="120" w:after="120" w:line="288" w:lineRule="auto"/>
        <w:ind w:left="0" w:firstLine="0"/>
        <w:jc w:val="left"/>
      </w:pPr>
      <w:r>
        <w:rPr>
          <w:rFonts w:eastAsia="等线" w:ascii="Arial" w:cs="Arial" w:hAnsi="Arial"/>
          <w:sz w:val="22"/>
        </w:rPr>
        <w:t>9.1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9.2双方确认按照如下返点计算：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投放地区</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9.2.1 Self Service：指可以通过DSP后台投出去的广告形式，其中包括但不限于Prime video\Twitch\Fire Tablet中的部分广告类型。</w:t>
      </w:r>
    </w:p>
    <w:p>
      <w:pPr>
        <w:spacing w:before="120" w:after="120" w:line="288" w:lineRule="auto"/>
        <w:ind w:left="0" w:firstLine="0"/>
        <w:jc w:val="left"/>
      </w:pPr>
      <w:r>
        <w:rPr>
          <w:rFonts w:eastAsia="等线" w:ascii="Arial" w:cs="Arial" w:hAnsi="Arial"/>
          <w:sz w:val="22"/>
        </w:rPr>
        <w:t>9.2.2 Managed Service：指除Self Service类型以外的广告形式。</w:t>
      </w:r>
    </w:p>
    <w:p>
      <w:pPr>
        <w:spacing w:before="120" w:after="120" w:line="288" w:lineRule="auto"/>
        <w:ind w:left="0" w:firstLine="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0"/>
        <w:jc w:val="left"/>
      </w:pPr>
      <w:r>
        <w:rPr>
          <w:rFonts w:eastAsia="等线" w:ascii="Arial" w:cs="Arial" w:hAnsi="Arial"/>
          <w:sz w:val="22"/>
        </w:rPr>
        <w:t>9.4 上述广告类型/形式以及Block list的具体判定，会实时更新，最终均以Amazon媒体判定为准。</w:t>
      </w:r>
    </w:p>
    <w:p>
      <w:pPr>
        <w:spacing w:before="120" w:after="120" w:line="288" w:lineRule="auto"/>
        <w:ind w:left="0" w:firstLine="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3"/>
        <w:spacing w:before="300" w:after="120" w:line="288" w:lineRule="auto"/>
        <w:ind w:left="453"/>
        <w:jc w:val="left"/>
        <w:outlineLvl w:val="2"/>
      </w:pPr>
      <w:bookmarkStart w:name="heading_88" w:id="88"/>
      <w:r>
        <w:rPr>
          <w:rFonts w:eastAsia="等线" w:ascii="Arial" w:cs="Arial" w:hAnsi="Arial"/>
          <w:color w:val="3370ff"/>
          <w:sz w:val="30"/>
        </w:rPr>
        <w:t xml:space="preserve">15.1.6 </w:t>
      </w:r>
      <w:r>
        <w:rPr>
          <w:rFonts w:eastAsia="等线" w:ascii="Arial" w:cs="Arial" w:hAnsi="Arial"/>
          <w:b w:val="true"/>
          <w:sz w:val="30"/>
        </w:rPr>
        <w:t>Applovin</w:t>
      </w:r>
      <w:bookmarkEnd w:id="88"/>
    </w:p>
    <w:p>
      <w:pPr>
        <w:spacing w:before="120" w:after="120" w:line="288" w:lineRule="auto"/>
        <w:ind w:left="0" w:firstLine="0"/>
        <w:jc w:val="left"/>
      </w:pPr>
      <w:r>
        <w:rPr>
          <w:rFonts w:eastAsia="等线" w:ascii="Arial" w:cs="Arial" w:hAnsi="Arial"/>
          <w:sz w:val="22"/>
        </w:rPr>
        <w:t>10.1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10.2 如甲方选择自投，则双方确认按照如下返点计算：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10.3 如甲方选择代投，则代投服务费以双方在“三、代投政策”处的约定为准</w:t>
      </w:r>
    </w:p>
    <w:p>
      <w:pPr>
        <w:spacing w:before="120" w:after="120" w:line="288" w:lineRule="auto"/>
        <w:ind w:left="0" w:firstLine="0"/>
        <w:jc w:val="left"/>
      </w:pPr>
      <w:r>
        <w:rPr>
          <w:rFonts w:eastAsia="等线" w:ascii="Arial" w:cs="Arial" w:hAnsi="Arial"/>
          <w:sz w:val="22"/>
        </w:rPr>
        <w:t>10.4 甲方需要向乙方额外支付当月广告投放总消耗金额的【 】%作为服务费，该服务费用与当月广告消耗费用按约定账期一同结算。</w:t>
      </w:r>
    </w:p>
    <w:p>
      <w:pPr>
        <w:spacing w:before="120" w:after="120" w:line="288" w:lineRule="auto"/>
        <w:ind w:left="0" w:firstLine="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10.6如甲方选择代投方式，则甲方无权使用和操作代投广告账户，否则该账户因此导致的所有费用或消耗，均需由甲方自行承担。</w:t>
      </w:r>
    </w:p>
    <w:p>
      <w:pPr>
        <w:spacing w:before="120" w:after="120" w:line="288" w:lineRule="auto"/>
        <w:ind w:left="0" w:firstLine="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p>
    <w:p>
      <w:pPr>
        <w:pStyle w:val="3"/>
        <w:spacing w:before="300" w:after="120" w:line="288" w:lineRule="auto"/>
        <w:ind w:left="453"/>
        <w:jc w:val="left"/>
        <w:outlineLvl w:val="2"/>
      </w:pPr>
      <w:bookmarkStart w:name="heading_89" w:id="89"/>
      <w:r>
        <w:rPr>
          <w:rFonts w:eastAsia="等线" w:ascii="Arial" w:cs="Arial" w:hAnsi="Arial"/>
          <w:color w:val="3370ff"/>
          <w:sz w:val="30"/>
        </w:rPr>
        <w:t xml:space="preserve">15.1.7 </w:t>
      </w:r>
      <w:r>
        <w:rPr>
          <w:rFonts w:eastAsia="等线" w:ascii="Arial" w:cs="Arial" w:hAnsi="Arial"/>
          <w:b w:val="true"/>
          <w:sz w:val="30"/>
        </w:rPr>
        <w:t>Pinterest</w:t>
      </w:r>
      <w:bookmarkEnd w:id="89"/>
    </w:p>
    <w:p>
      <w:pPr>
        <w:spacing w:before="120" w:after="120" w:line="288" w:lineRule="auto"/>
        <w:ind w:left="0" w:firstLine="0"/>
        <w:jc w:val="left"/>
      </w:pPr>
      <w:r>
        <w:rPr>
          <w:rFonts w:eastAsia="等线" w:ascii="Arial" w:cs="Arial" w:hAnsi="Arial"/>
          <w:sz w:val="22"/>
        </w:rPr>
        <w:t>11.1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11.2 如甲方选择投放如下地区/国家的，则双方确认按照如下返点计算：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11.3以上地区/国家的划分、返点金额比例及媒体政策要求，最终以Pinterest实时更新的为准。</w:t>
      </w:r>
    </w:p>
    <w:p>
      <w:pPr>
        <w:pStyle w:val="3"/>
        <w:spacing w:before="300" w:after="120" w:line="288" w:lineRule="auto"/>
        <w:ind w:left="0"/>
        <w:jc w:val="left"/>
        <w:outlineLvl w:val="2"/>
      </w:pPr>
      <w:bookmarkStart w:name="heading_90" w:id="90"/>
      <w:r>
        <w:rPr>
          <w:rFonts w:eastAsia="等线" w:ascii="Arial" w:cs="Arial" w:hAnsi="Arial"/>
          <w:b w:val="true"/>
          <w:sz w:val="30"/>
        </w:rPr>
        <w:t>11.4甲方已悉知针对Pinterest不提供返点部分的消耗金额或因Pinterest单方面决定不给予返点的，乙方也有权不向甲方提供任何返点，如乙方预先已提供的部分，则有权在下次结算时收回。</w:t>
      </w:r>
      <w:bookmarkEnd w:id="9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三、代投政策</w:t>
      </w:r>
    </w:p>
    <w:p>
      <w:pPr>
        <w:numPr>
          <w:numId w:val="190"/>
        </w:numPr>
        <w:spacing w:before="120" w:after="120" w:line="288" w:lineRule="auto"/>
        <w:ind w:left="453"/>
        <w:jc w:val="left"/>
      </w:pPr>
      <w:r>
        <w:rPr>
          <w:rFonts w:eastAsia="等线" w:ascii="Arial" w:cs="Arial" w:hAnsi="Arial"/>
          <w:sz w:val="22"/>
        </w:rPr>
        <w:t>如甲方委托乙方在媒体平台代投广告的，甲方每月应额外向乙方支付的代投服务费情况如下：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91" w:id="91"/>
            <w:r>
              <w:rPr>
                <w:rFonts w:eastAsia="等线" w:ascii="Arial" w:cs="Arial" w:hAnsi="Arial"/>
                <w:b w:val="true"/>
                <w:sz w:val="28"/>
              </w:rPr>
              <w:t>媒体</w:t>
            </w:r>
            <w:bookmarkEnd w:id="91"/>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92" w:id="92"/>
            <w:r>
              <w:rPr>
                <w:rFonts w:eastAsia="等线" w:ascii="Arial" w:cs="Arial" w:hAnsi="Arial"/>
                <w:b w:val="true"/>
                <w:sz w:val="28"/>
              </w:rPr>
              <w:t>代投服务费比例(%)</w:t>
            </w:r>
            <w:bookmarkEnd w:id="92"/>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93" w:id="93"/>
            <w:bookmarkEnd w:id="93"/>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94" w:id="94"/>
            <w:bookmarkEnd w:id="94"/>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95" w:id="95"/>
            <w:bookmarkEnd w:id="95"/>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96" w:id="96"/>
      <w:r>
        <w:rPr>
          <w:rFonts w:eastAsia="等线" w:ascii="Arial" w:cs="Arial" w:hAnsi="Arial"/>
          <w:color w:val="3370ff"/>
          <w:sz w:val="28"/>
        </w:rPr>
        <w:t xml:space="preserve">15.1.7.1 </w:t>
      </w:r>
      <w:r>
        <w:rPr>
          <w:rFonts w:eastAsia="等线" w:ascii="Arial" w:cs="Arial" w:hAnsi="Arial"/>
          <w:b w:val="true"/>
          <w:sz w:val="28"/>
        </w:rPr>
        <w:t>代投服务费的最低标准为每月【2500】美元。代投服务费可按固定金额或投放金额比例计算，若两者金额不一致，则以较高者为准。若按比例计算结果低于【2500】美元，则乙方有权按最低标准收取代投服务费。</w:t>
      </w:r>
      <w:bookmarkEnd w:id="96"/>
    </w:p>
    <w:p>
      <w:pPr>
        <w:pStyle w:val="4"/>
        <w:spacing w:before="260" w:after="120" w:line="288" w:lineRule="auto"/>
        <w:ind w:left="453"/>
        <w:jc w:val="left"/>
        <w:outlineLvl w:val="3"/>
      </w:pPr>
      <w:bookmarkStart w:name="heading_97" w:id="97"/>
      <w:r>
        <w:rPr>
          <w:rFonts w:eastAsia="等线" w:ascii="Arial" w:cs="Arial" w:hAnsi="Arial"/>
          <w:color w:val="3370ff"/>
          <w:sz w:val="28"/>
        </w:rPr>
        <w:t xml:space="preserve">15.1.7.2 </w:t>
      </w:r>
      <w:r>
        <w:rPr>
          <w:rFonts w:eastAsia="等线" w:ascii="Arial" w:cs="Arial" w:hAnsi="Arial"/>
          <w:b w:val="true"/>
          <w:sz w:val="28"/>
        </w:rPr>
        <w:t>代投服务费独立于本合同项下的返点政策，与甲方是否取得返点及返点金额无关。返点为媒体激励返还，代投服务费为乙方提供广告优化、投放及账户管理等服务的对价，二者可并行执行。</w:t>
      </w:r>
      <w:bookmarkEnd w:id="97"/>
    </w:p>
    <w:p>
      <w:pPr>
        <w:pStyle w:val="4"/>
        <w:spacing w:before="260" w:after="120" w:line="288" w:lineRule="auto"/>
        <w:ind w:left="0"/>
        <w:jc w:val="left"/>
        <w:outlineLvl w:val="3"/>
      </w:pPr>
      <w:bookmarkStart w:name="heading_98" w:id="98"/>
      <w:bookmarkEnd w:id="98"/>
    </w:p>
    <w:p>
      <w:pPr>
        <w:spacing w:before="120" w:after="120" w:line="288" w:lineRule="auto"/>
        <w:ind w:left="0" w:firstLine="0"/>
        <w:jc w:val="left"/>
      </w:pPr>
      <w:r>
        <w:rPr>
          <w:rFonts w:eastAsia="等线" w:ascii="Arial" w:cs="Arial" w:hAnsi="Arial"/>
          <w:b w:val="true"/>
          <w:sz w:val="22"/>
        </w:rPr>
        <w:t>四、结算方式</w:t>
      </w:r>
    </w:p>
    <w:p>
      <w:pPr>
        <w:pStyle w:val="4"/>
        <w:spacing w:before="260" w:after="120" w:line="288" w:lineRule="auto"/>
        <w:ind w:left="453"/>
        <w:jc w:val="left"/>
        <w:outlineLvl w:val="3"/>
      </w:pPr>
      <w:bookmarkStart w:name="heading_99" w:id="99"/>
      <w:r>
        <w:rPr>
          <w:rFonts w:eastAsia="等线" w:ascii="Arial" w:cs="Arial" w:hAnsi="Arial"/>
          <w:color w:val="3370ff"/>
          <w:sz w:val="28"/>
        </w:rPr>
        <w:t xml:space="preserve">15.1.7.3 </w:t>
      </w:r>
      <w:r>
        <w:rPr>
          <w:rFonts w:eastAsia="等线" w:ascii="Arial" w:cs="Arial" w:hAnsi="Arial"/>
          <w:b w:val="true"/>
          <w:sz w:val="28"/>
        </w:rPr>
        <w:t>广告发布费用和服务费的结算方式</w:t>
      </w:r>
      <w:bookmarkEnd w:id="99"/>
    </w:p>
    <w:p>
      <w:pPr>
        <w:pStyle w:val="4"/>
        <w:spacing w:before="260" w:after="120" w:line="288" w:lineRule="auto"/>
        <w:ind w:left="453"/>
        <w:jc w:val="left"/>
        <w:outlineLvl w:val="3"/>
      </w:pPr>
      <w:bookmarkStart w:name="heading_100" w:id="100"/>
      <w:r>
        <w:rPr>
          <w:rFonts w:eastAsia="等线" w:ascii="Arial" w:cs="Arial" w:hAnsi="Arial"/>
          <w:color w:val="3370ff"/>
          <w:sz w:val="28"/>
        </w:rPr>
        <w:t xml:space="preserve">15.1.7.4 </w:t>
      </w:r>
      <w:r>
        <w:rPr>
          <w:rFonts w:eastAsia="等线" w:ascii="Arial" w:cs="Arial" w:hAnsi="Arial"/>
          <w:b w:val="true"/>
          <w:sz w:val="28"/>
        </w:rPr>
        <w:t>如甲方投放境外媒体，因人民币付汇产生的所有税费由甲方承担，为付汇金额的【】%。根据境外媒体实际投放结算的，双方同意按投放当月最后一个工作日的国家外汇管理局公示的【中国银行现汇卖出价】汇率执行。</w:t>
      </w:r>
      <w:bookmarkEnd w:id="100"/>
    </w:p>
    <w:p>
      <w:pPr>
        <w:pStyle w:val="4"/>
        <w:spacing w:before="260" w:after="120" w:line="288" w:lineRule="auto"/>
        <w:ind w:left="453"/>
        <w:jc w:val="left"/>
        <w:outlineLvl w:val="3"/>
      </w:pPr>
      <w:bookmarkStart w:name="heading_101" w:id="101"/>
      <w:r>
        <w:rPr>
          <w:rFonts w:eastAsia="等线" w:ascii="Arial" w:cs="Arial" w:hAnsi="Arial"/>
          <w:color w:val="3370ff"/>
          <w:sz w:val="28"/>
        </w:rPr>
        <w:t xml:space="preserve">15.1.7.5 </w:t>
      </w:r>
      <w:r>
        <w:rPr>
          <w:rFonts w:eastAsia="等线" w:ascii="Arial" w:cs="Arial" w:hAnsi="Arial"/>
          <w:b w:val="true"/>
          <w:sz w:val="28"/>
        </w:rPr>
        <w:t>1.2.甲方同意按照如下第【】种方式支付广告发布费用和服务费用</w:t>
      </w:r>
      <w:bookmarkEnd w:id="101"/>
    </w:p>
    <w:p>
      <w:pPr>
        <w:numPr>
          <w:numId w:val="191"/>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发票。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numPr>
          <w:numId w:val="192"/>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发票。</w:t>
      </w:r>
    </w:p>
    <w:p>
      <w:pPr>
        <w:spacing w:before="120" w:after="120" w:line="288" w:lineRule="auto"/>
        <w:ind w:left="0" w:firstLine="420"/>
        <w:jc w:val="left"/>
      </w:pPr>
      <w:r>
        <w:rPr>
          <w:rFonts w:eastAsia="等线" w:ascii="Arial" w:cs="Arial" w:hAnsi="Arial"/>
          <w:b w:val="true"/>
          <w:sz w:val="22"/>
        </w:rPr>
        <w:t>账期：甲方在【】媒体平台进行的广告投放，甲方应于每自然月结束后的【】个自然日内将该自然月的结算费用汇入乙方指定账户，甲方支付的上述广告费用及服务费用应包含所有税费、手续费、各项代扣代缴税费等。</w:t>
      </w:r>
    </w:p>
    <w:p>
      <w:pPr>
        <w:numPr>
          <w:numId w:val="193"/>
        </w:numPr>
        <w:spacing w:before="120" w:after="120" w:line="288" w:lineRule="auto"/>
        <w:ind w:left="453"/>
        <w:jc w:val="left"/>
      </w:pPr>
      <w:r>
        <w:rPr>
          <w:rFonts w:eastAsia="等线" w:ascii="Arial" w:cs="Arial" w:hAnsi="Arial"/>
          <w:sz w:val="22"/>
          <w:u w:val="single"/>
        </w:rPr>
        <w:t>预付费+后付费</w:t>
      </w:r>
    </w:p>
    <w:p>
      <w:pPr>
        <w:numPr>
          <w:numId w:val="194"/>
        </w:numPr>
        <w:spacing w:before="120" w:after="120" w:line="288" w:lineRule="auto"/>
        <w:ind w:left="907"/>
        <w:jc w:val="left"/>
      </w:pPr>
      <w:r>
        <w:rPr>
          <w:rFonts w:eastAsia="等线" w:ascii="Arial" w:cs="Arial" w:hAnsi="Arial"/>
          <w:sz w:val="22"/>
        </w:rPr>
        <w:t>甲方在【Yahoo-非日本、Naver、BING、Mytarget、Kakao、Google-海外账户】媒体平台进行的广告投放的应按照上述“a) 预付费”条款约定的对账方式和相关内容，预先将广告费用支付给乙方指定账户。</w:t>
      </w:r>
    </w:p>
    <w:p>
      <w:pPr>
        <w:numPr>
          <w:numId w:val="195"/>
        </w:numPr>
        <w:spacing w:before="120" w:after="120" w:line="288" w:lineRule="auto"/>
        <w:ind w:left="907"/>
        <w:jc w:val="left"/>
      </w:pPr>
      <w:r>
        <w:rPr>
          <w:rFonts w:eastAsia="等线" w:ascii="Arial" w:cs="Arial" w:hAnsi="Arial"/>
          <w:b w:val="true"/>
          <w:sz w:val="22"/>
        </w:rPr>
        <w:t>账期：甲方在【】媒体平台进行的广告投放的，应按照上述“b) 后付费”条款约定的对账方式和相关内容支付广告费用。甲方应于每自然月结束后的【】个自然日内将该自然月的结算费用汇入乙方指定账户，甲方支付的上述广告费用及服务费用应包含所有税费、手续费、各项代扣代缴税费等。</w:t>
      </w:r>
    </w:p>
    <w:p>
      <w:pPr>
        <w:pStyle w:val="4"/>
        <w:spacing w:before="260" w:after="120" w:line="288" w:lineRule="auto"/>
        <w:ind w:left="453"/>
        <w:jc w:val="left"/>
        <w:outlineLvl w:val="3"/>
      </w:pPr>
      <w:bookmarkStart w:name="heading_102" w:id="102"/>
      <w:r>
        <w:rPr>
          <w:rFonts w:eastAsia="等线" w:ascii="Arial" w:cs="Arial" w:hAnsi="Arial"/>
          <w:color w:val="3370ff"/>
          <w:sz w:val="28"/>
        </w:rPr>
        <w:t xml:space="preserve">15.1.7.6 </w:t>
      </w:r>
      <w:r>
        <w:rPr>
          <w:rFonts w:eastAsia="等线" w:ascii="Arial" w:cs="Arial" w:hAnsi="Arial"/>
          <w:b w:val="true"/>
          <w:sz w:val="28"/>
        </w:rPr>
        <w:t>如甲方在按月付款期间平均日消耗低于1500美元／天，乙方有权要求甲方从次月开按照预付款方式结算费用。甲方延迟付款的，乙方有权暂停、终止投放，由此产生的一切法律责任及损失由甲方自行承担。</w:t>
      </w:r>
      <w:bookmarkEnd w:id="102"/>
    </w:p>
    <w:p>
      <w:pPr>
        <w:pStyle w:val="4"/>
        <w:spacing w:before="260" w:after="120" w:line="288" w:lineRule="auto"/>
        <w:ind w:left="0"/>
        <w:jc w:val="left"/>
        <w:outlineLvl w:val="3"/>
      </w:pPr>
      <w:bookmarkStart w:name="heading_103" w:id="103"/>
      <w:bookmarkEnd w:id="103"/>
    </w:p>
    <w:p>
      <w:pPr>
        <w:pStyle w:val="4"/>
        <w:spacing w:before="260" w:after="120" w:line="288" w:lineRule="auto"/>
        <w:ind w:left="453"/>
        <w:jc w:val="left"/>
        <w:outlineLvl w:val="3"/>
      </w:pPr>
      <w:bookmarkStart w:name="heading_104" w:id="104"/>
      <w:r>
        <w:rPr>
          <w:rFonts w:eastAsia="等线" w:ascii="Arial" w:cs="Arial" w:hAnsi="Arial"/>
          <w:color w:val="3370ff"/>
          <w:sz w:val="28"/>
        </w:rPr>
        <w:t xml:space="preserve">15.1.7.7 </w:t>
      </w:r>
      <w:r>
        <w:rPr>
          <w:rFonts w:eastAsia="等线" w:ascii="Arial" w:cs="Arial" w:hAnsi="Arial"/>
          <w:b w:val="true"/>
          <w:sz w:val="28"/>
        </w:rPr>
        <w:t>返点结算方式</w:t>
      </w:r>
      <w:bookmarkEnd w:id="104"/>
    </w:p>
    <w:p>
      <w:pPr>
        <w:pStyle w:val="4"/>
        <w:spacing w:before="260" w:after="120" w:line="288" w:lineRule="auto"/>
        <w:ind w:left="907"/>
        <w:jc w:val="left"/>
        <w:outlineLvl w:val="3"/>
      </w:pPr>
      <w:bookmarkStart w:name="heading_105" w:id="105"/>
      <w:r>
        <w:rPr>
          <w:rFonts w:eastAsia="等线" w:ascii="Arial" w:cs="Arial" w:hAnsi="Arial"/>
          <w:color w:val="3370ff"/>
          <w:sz w:val="28"/>
        </w:rPr>
        <w:t xml:space="preserve">15.1.7.8 </w:t>
      </w:r>
      <w:r>
        <w:rPr>
          <w:rFonts w:eastAsia="等线" w:ascii="Arial" w:cs="Arial" w:hAnsi="Arial"/>
          <w:b w:val="true"/>
          <w:sz w:val="28"/>
        </w:rPr>
        <w:t>双方同意按照如下第【】种方式支付返点金额：</w:t>
      </w:r>
      <w:bookmarkEnd w:id="105"/>
    </w:p>
    <w:p>
      <w:pPr>
        <w:pStyle w:val="4"/>
        <w:spacing w:before="260" w:after="120" w:line="288" w:lineRule="auto"/>
        <w:ind w:left="0"/>
        <w:jc w:val="left"/>
        <w:outlineLvl w:val="3"/>
      </w:pPr>
      <w:bookmarkStart w:name="heading_106" w:id="106"/>
      <w:r>
        <w:rPr>
          <w:rFonts w:eastAsia="等线" w:ascii="Arial" w:cs="Arial" w:hAnsi="Arial"/>
          <w:b w:val="true"/>
          <w:sz w:val="28"/>
        </w:rPr>
        <w:t>1).返点金额支付至甲方银行账号</w:t>
      </w:r>
      <w:bookmarkEnd w:id="106"/>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numPr>
          <w:numId w:val="196"/>
        </w:numPr>
        <w:spacing w:before="120" w:after="120" w:line="288" w:lineRule="auto"/>
        <w:ind w:left="0"/>
        <w:jc w:val="left"/>
      </w:pPr>
      <w:r>
        <w:rPr>
          <w:rFonts w:eastAsia="等线" w:ascii="Arial" w:cs="Arial" w:hAnsi="Arial"/>
          <w:sz w:val="22"/>
        </w:rPr>
        <w:t>返点金额按季度结算。返点金额经双方核对确认无误后，乙方收到甲方交付的合规有效的发票之日起【】个工作日内支付返点金额，甲方应负责因此发生的转账手续费用。包含本次合同约定的【 】媒体投放。</w:t>
      </w:r>
    </w:p>
    <w:p>
      <w:pPr>
        <w:numPr>
          <w:numId w:val="197"/>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pStyle w:val="4"/>
        <w:spacing w:before="260" w:after="120" w:line="288" w:lineRule="auto"/>
        <w:ind w:left="0"/>
        <w:jc w:val="left"/>
        <w:outlineLvl w:val="3"/>
      </w:pPr>
      <w:bookmarkStart w:name="heading_107" w:id="107"/>
      <w:r>
        <w:rPr>
          <w:rFonts w:eastAsia="等线" w:ascii="Arial" w:cs="Arial" w:hAnsi="Arial"/>
          <w:b w:val="true"/>
          <w:sz w:val="28"/>
        </w:rPr>
        <w:t>2).返点金额支付至甲方媒体账户</w:t>
      </w:r>
      <w:bookmarkEnd w:id="107"/>
    </w:p>
    <w:p>
      <w:pPr>
        <w:numPr>
          <w:numId w:val="198"/>
        </w:numPr>
        <w:spacing w:before="120" w:after="120" w:line="288" w:lineRule="auto"/>
        <w:ind w:left="0"/>
        <w:jc w:val="left"/>
      </w:pPr>
      <w:r>
        <w:rPr>
          <w:rFonts w:eastAsia="等线" w:ascii="Arial" w:cs="Arial" w:hAnsi="Arial"/>
          <w:sz w:val="22"/>
        </w:rPr>
        <w:t>返点金额按季度结算。返点金额经双方核对确认无误后，乙方收到甲方交付的合规有效的发票之日起【】个工作日内支付返点金额到甲方的媒体账户中，甲方应负责因此发生的转账手续费用。包含本次合同约定的【 】媒体投放。</w:t>
      </w:r>
    </w:p>
    <w:p>
      <w:pPr>
        <w:numPr>
          <w:numId w:val="199"/>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pStyle w:val="4"/>
        <w:spacing w:before="260" w:after="120" w:line="288" w:lineRule="auto"/>
        <w:ind w:left="0"/>
        <w:jc w:val="left"/>
        <w:outlineLvl w:val="3"/>
      </w:pPr>
      <w:bookmarkStart w:name="heading_108" w:id="108"/>
      <w:r>
        <w:rPr>
          <w:rFonts w:eastAsia="等线" w:ascii="Arial" w:cs="Arial" w:hAnsi="Arial"/>
          <w:b w:val="true"/>
          <w:sz w:val="28"/>
        </w:rPr>
        <w:t>3). 返点金额在账单中进行抵扣结算</w:t>
      </w:r>
      <w:bookmarkEnd w:id="108"/>
    </w:p>
    <w:p>
      <w:pPr>
        <w:numPr>
          <w:numId w:val="200"/>
        </w:numPr>
        <w:spacing w:before="120" w:after="120" w:line="288" w:lineRule="auto"/>
        <w:ind w:left="0"/>
        <w:jc w:val="left"/>
      </w:pPr>
      <w:r>
        <w:rPr>
          <w:rFonts w:eastAsia="等线" w:ascii="Arial" w:cs="Arial" w:hAnsi="Arial"/>
          <w:sz w:val="22"/>
        </w:rPr>
        <w:t xml:space="preserve"> a.甲方返点金额在应付乙方的广告款中直接扣减。返点金额按季度结算，该季度返点金额于该季度返点确认完成后的首个账单中抵扣，包含本次合同约定的【 】媒体投放。</w:t>
      </w:r>
    </w:p>
    <w:p>
      <w:pPr>
        <w:numPr>
          <w:numId w:val="201"/>
        </w:numPr>
        <w:spacing w:before="120" w:after="120" w:line="288" w:lineRule="auto"/>
        <w:ind w:left="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pStyle w:val="4"/>
        <w:spacing w:before="260" w:after="120" w:line="288" w:lineRule="auto"/>
        <w:ind w:left="0"/>
        <w:jc w:val="left"/>
        <w:outlineLvl w:val="3"/>
      </w:pPr>
      <w:bookmarkStart w:name="heading_109" w:id="109"/>
      <w:r>
        <w:rPr>
          <w:rFonts w:eastAsia="等线" w:ascii="Arial" w:cs="Arial" w:hAnsi="Arial"/>
          <w:color w:val="3370ff"/>
          <w:sz w:val="28"/>
        </w:rPr>
        <w:t xml:space="preserve">15.1.7.9 </w:t>
      </w:r>
      <w:r>
        <w:rPr>
          <w:rFonts w:eastAsia="等线" w:ascii="Arial" w:cs="Arial" w:hAnsi="Arial"/>
          <w:b w:val="true"/>
          <w:sz w:val="28"/>
        </w:rPr>
        <w:t>返点结算时，甲方应向乙方交付正规的、符合乙方财务制度要求的发票。甲方交付的发票不符合要求的，乙方有权拒绝或延迟支付/扣减返点金额，直至收到有效发票为止，并且不承担逾期付款违约责任。</w:t>
      </w:r>
      <w:bookmarkEnd w:id="109"/>
    </w:p>
    <w:p>
      <w:pPr>
        <w:pStyle w:val="4"/>
        <w:spacing w:before="260" w:after="120" w:line="288" w:lineRule="auto"/>
        <w:ind w:left="0"/>
        <w:jc w:val="left"/>
        <w:outlineLvl w:val="3"/>
      </w:pPr>
      <w:bookmarkStart w:name="heading_110" w:id="110"/>
      <w:r>
        <w:rPr>
          <w:rFonts w:eastAsia="等线" w:ascii="Arial" w:cs="Arial" w:hAnsi="Arial"/>
          <w:color w:val="3370ff"/>
          <w:sz w:val="28"/>
        </w:rPr>
        <w:t xml:space="preserve">15.1.7.10 </w:t>
      </w:r>
      <w:r>
        <w:rPr>
          <w:rFonts w:eastAsia="等线" w:ascii="Arial" w:cs="Arial" w:hAnsi="Arial"/>
          <w:b w:val="true"/>
          <w:sz w:val="28"/>
        </w:rPr>
        <w:t>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bookmarkEnd w:id="110"/>
    </w:p>
    <w:p>
      <w:pPr>
        <w:pStyle w:val="4"/>
        <w:spacing w:before="260" w:after="120" w:line="288" w:lineRule="auto"/>
        <w:ind w:left="0"/>
        <w:jc w:val="left"/>
        <w:outlineLvl w:val="3"/>
      </w:pPr>
      <w:bookmarkStart w:name="heading_111" w:id="111"/>
      <w:r>
        <w:rPr>
          <w:rFonts w:eastAsia="等线" w:ascii="Arial" w:cs="Arial" w:hAnsi="Arial"/>
          <w:color w:val="3370ff"/>
          <w:sz w:val="28"/>
        </w:rPr>
        <w:t xml:space="preserve">15.1.7.11 </w:t>
      </w:r>
      <w:r>
        <w:rPr>
          <w:rFonts w:eastAsia="等线" w:ascii="Arial" w:cs="Arial" w:hAnsi="Arial"/>
          <w:b w:val="true"/>
          <w:sz w:val="28"/>
        </w:rPr>
        <w:t>甲方对返点的计算和金额存在异议的，应当在收到返点对账单之日起15个自然日内书面通知乙方，否则视为甲方认可该笔返点的计算方式和金额。</w:t>
      </w:r>
      <w:bookmarkEnd w:id="111"/>
    </w:p>
    <w:p>
      <w:pPr>
        <w:pStyle w:val="4"/>
        <w:spacing w:before="260" w:after="120" w:line="288" w:lineRule="auto"/>
        <w:ind w:left="0"/>
        <w:jc w:val="left"/>
        <w:outlineLvl w:val="3"/>
      </w:pPr>
      <w:bookmarkStart w:name="heading_112" w:id="112"/>
      <w:r>
        <w:rPr>
          <w:rFonts w:eastAsia="等线" w:ascii="Arial" w:cs="Arial" w:hAnsi="Arial"/>
          <w:color w:val="3370ff"/>
          <w:sz w:val="28"/>
        </w:rPr>
        <w:t xml:space="preserve">15.1.7.12 </w:t>
      </w:r>
      <w:r>
        <w:rPr>
          <w:rFonts w:eastAsia="等线" w:ascii="Arial" w:cs="Arial" w:hAnsi="Arial"/>
          <w:b w:val="true"/>
          <w:sz w:val="28"/>
        </w:rPr>
        <w:t>乙方在收到媒体支付的返点款项后，按照双方约定的返点结算方式与甲方进行结算。若媒体延迟支付返点款项，则乙方有权顺延与甲方进行返点结算的时间，直至收到该笔返点款项为止。</w:t>
      </w:r>
      <w:bookmarkEnd w:id="112"/>
    </w:p>
    <w:p>
      <w:pPr>
        <w:pStyle w:val="4"/>
        <w:spacing w:before="260" w:after="120" w:line="288" w:lineRule="auto"/>
        <w:ind w:left="0"/>
        <w:jc w:val="left"/>
        <w:outlineLvl w:val="3"/>
      </w:pPr>
      <w:bookmarkStart w:name="heading_113" w:id="113"/>
      <w:bookmarkEnd w:id="113"/>
    </w:p>
    <w:p>
      <w:pPr>
        <w:spacing w:before="120" w:after="120" w:line="288" w:lineRule="auto"/>
        <w:ind w:left="0" w:firstLine="0"/>
        <w:jc w:val="left"/>
      </w:pPr>
      <w:r>
        <w:rPr>
          <w:rFonts w:eastAsia="等线" w:ascii="Arial" w:cs="Arial" w:hAnsi="Arial"/>
          <w:b w:val="true"/>
          <w:sz w:val="22"/>
        </w:rPr>
        <w:t>五、政策调整</w:t>
      </w:r>
    </w:p>
    <w:p>
      <w:pPr>
        <w:numPr>
          <w:numId w:val="202"/>
        </w:numPr>
        <w:spacing w:before="120" w:after="120" w:line="288" w:lineRule="auto"/>
        <w:ind w:left="453"/>
        <w:jc w:val="left"/>
      </w:pPr>
      <w:r>
        <w:rPr>
          <w:rFonts w:eastAsia="等线" w:ascii="Arial" w:cs="Arial" w:hAnsi="Arial"/>
          <w:sz w:val="22"/>
        </w:rPr>
        <w:t>合作期限内，因媒体平台相关政策调整的，乙方有权相应调整给予甲方的返点比例。</w:t>
      </w:r>
    </w:p>
    <w:p>
      <w:pPr>
        <w:numPr>
          <w:numId w:val="203"/>
        </w:numPr>
        <w:spacing w:before="120" w:after="120" w:line="288" w:lineRule="auto"/>
        <w:ind w:left="453"/>
        <w:jc w:val="left"/>
      </w:pPr>
      <w:r>
        <w:rPr>
          <w:rFonts w:eastAsia="等线" w:ascii="Arial" w:cs="Arial" w:hAnsi="Arial"/>
          <w:sz w:val="22"/>
        </w:rPr>
        <w:t>每季度或年度媒体给予乙方返点比例确定时，若媒体给予乙方的返点比例低于乙方给予甲方的返点比例，则乙方有权调整乙方给予甲方的返点比例。</w:t>
      </w:r>
    </w:p>
    <w:p>
      <w:pPr>
        <w:numPr>
          <w:numId w:val="204"/>
        </w:numPr>
        <w:spacing w:before="120" w:after="120" w:line="288" w:lineRule="auto"/>
        <w:ind w:left="453"/>
        <w:jc w:val="left"/>
      </w:pPr>
      <w:r>
        <w:rPr>
          <w:rFonts w:eastAsia="等线" w:ascii="Arial" w:cs="Arial" w:hAnsi="Arial"/>
          <w:sz w:val="22"/>
        </w:rPr>
        <w:t>乙方向甲方提供的返点报告的数据以媒体提供为准，媒体数据报告为最终双方的结算依据。</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pStyle w:val="6"/>
        <w:spacing w:before="240" w:after="120" w:line="288" w:lineRule="auto"/>
        <w:ind w:left="0"/>
        <w:jc w:val="center"/>
        <w:outlineLvl w:val="5"/>
      </w:pPr>
      <w:bookmarkStart w:name="heading_114" w:id="114"/>
      <w:r>
        <w:rPr>
          <w:rFonts w:eastAsia="等线" w:ascii="Arial" w:cs="Arial" w:hAnsi="Arial"/>
          <w:b w:val="true"/>
          <w:sz w:val="24"/>
        </w:rPr>
        <w:t>连带责任保证协议</w:t>
      </w:r>
      <w:bookmarkEnd w:id="114"/>
    </w:p>
    <w:p>
      <w:pPr>
        <w:spacing w:before="120" w:after="120" w:line="288" w:lineRule="auto"/>
        <w:ind w:left="0" w:firstLine="0"/>
        <w:jc w:val="left"/>
      </w:pPr>
      <w:r>
        <w:rPr>
          <w:rFonts w:eastAsia="等线" w:ascii="Arial" w:cs="Arial" w:hAnsi="Arial"/>
          <w:b w:val="true"/>
          <w:sz w:val="22"/>
        </w:rPr>
        <w:t xml:space="preserve">甲方 : 【】 </w:t>
      </w:r>
    </w:p>
    <w:p>
      <w:pPr>
        <w:spacing w:before="120" w:after="120" w:line="288" w:lineRule="auto"/>
        <w:ind w:left="0" w:firstLine="0"/>
        <w:jc w:val="left"/>
      </w:pPr>
      <w:r>
        <w:rPr>
          <w:rFonts w:eastAsia="等线" w:ascii="Arial" w:cs="Arial" w:hAnsi="Arial"/>
          <w:b w:val="true"/>
          <w:sz w:val="22"/>
        </w:rPr>
        <w:t>乙方 : 【】</w:t>
      </w:r>
    </w:p>
    <w:p>
      <w:pPr>
        <w:spacing w:before="120" w:after="120" w:line="288" w:lineRule="auto"/>
        <w:ind w:left="0" w:firstLine="0"/>
        <w:jc w:val="left"/>
      </w:pPr>
      <w:r>
        <w:rPr>
          <w:rFonts w:eastAsia="等线" w:ascii="Arial" w:cs="Arial" w:hAnsi="Arial"/>
          <w:b w:val="true"/>
          <w:sz w:val="22"/>
        </w:rPr>
        <w:t>丙方（若为自然人）姓名：【】，身份证号：【】</w:t>
      </w:r>
    </w:p>
    <w:p>
      <w:pPr>
        <w:spacing w:before="120" w:after="120" w:line="288" w:lineRule="auto"/>
        <w:ind w:left="0" w:firstLine="0"/>
        <w:jc w:val="left"/>
      </w:pPr>
      <w:r>
        <w:rPr>
          <w:rFonts w:eastAsia="等线" w:ascii="Arial" w:cs="Arial" w:hAnsi="Arial"/>
          <w:sz w:val="22"/>
        </w:rPr>
        <w:t>联系地址：【】</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b w:val="true"/>
          <w:sz w:val="22"/>
        </w:rPr>
        <w:t>丙方（若为企业法人）：【】</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住所地：【】</w:t>
      </w:r>
    </w:p>
    <w:p>
      <w:pPr>
        <w:spacing w:before="120" w:after="120" w:line="288" w:lineRule="auto"/>
        <w:ind w:left="0" w:firstLine="0"/>
        <w:jc w:val="left"/>
      </w:pPr>
      <w:r>
        <w:rPr>
          <w:rFonts w:eastAsia="等线" w:ascii="Arial" w:cs="Arial" w:hAnsi="Arial"/>
          <w:sz w:val="22"/>
        </w:rPr>
        <w:t>甲方、乙方和丙方以下单独称为“一方”,合并称为“三方”。</w:t>
      </w:r>
    </w:p>
    <w:p>
      <w:pPr>
        <w:spacing w:before="120" w:after="120" w:line="288" w:lineRule="auto"/>
        <w:ind w:left="0" w:firstLine="0"/>
        <w:jc w:val="left"/>
      </w:pPr>
      <w:r>
        <w:rPr>
          <w:rFonts w:eastAsia="等线" w:ascii="Arial" w:cs="Arial" w:hAnsi="Arial"/>
          <w:sz w:val="22"/>
        </w:rPr>
        <w:t xml:space="preserve">    基于甲乙双方良好的合作，三方同意：本协议为连带责任保证协议，约定丙方愿意为甲方在本协议约定范围内对乙方的全部债务提供无条件、不可撤销的连带责任保证担保。</w:t>
      </w:r>
    </w:p>
    <w:p>
      <w:pPr>
        <w:spacing w:before="120" w:after="120" w:line="288" w:lineRule="auto"/>
        <w:ind w:left="0" w:firstLine="0"/>
        <w:jc w:val="left"/>
      </w:pPr>
      <w:r>
        <w:rPr>
          <w:rFonts w:eastAsia="等线" w:ascii="Arial" w:cs="Arial" w:hAnsi="Arial"/>
          <w:sz w:val="22"/>
        </w:rPr>
        <w:t>一、保证范围：甲乙双方在</w:t>
      </w:r>
      <w:r>
        <w:rPr>
          <w:rFonts w:eastAsia="等线" w:ascii="Arial" w:cs="Arial" w:hAnsi="Arial"/>
          <w:sz w:val="22"/>
          <w:u w:val="single"/>
        </w:rPr>
        <w:t xml:space="preserve">   年   月  日</w:t>
      </w:r>
      <w:r>
        <w:rPr>
          <w:rFonts w:eastAsia="等线" w:ascii="Arial" w:cs="Arial" w:hAnsi="Arial"/>
          <w:sz w:val="22"/>
        </w:rPr>
        <w:t>签订的【广告发布合同】及其相关补充协议、附件和与之相关的全部交易文件（统称“</w:t>
      </w:r>
      <w:r>
        <w:rPr>
          <w:rFonts w:eastAsia="等线" w:ascii="Arial" w:cs="Arial" w:hAnsi="Arial"/>
          <w:b w:val="true"/>
          <w:sz w:val="22"/>
        </w:rPr>
        <w:t>主协议</w:t>
      </w:r>
      <w:r>
        <w:rPr>
          <w:rFonts w:eastAsia="等线" w:ascii="Arial" w:cs="Arial" w:hAnsi="Arial"/>
          <w:sz w:val="22"/>
        </w:rPr>
        <w:t>”），以及甲乙双方在主协议有效期内签署的其他合同、协议文件。</w:t>
      </w:r>
    </w:p>
    <w:p>
      <w:pPr>
        <w:spacing w:before="120" w:after="120" w:line="288" w:lineRule="auto"/>
        <w:ind w:left="0" w:firstLine="0"/>
        <w:jc w:val="left"/>
      </w:pPr>
      <w:r>
        <w:rPr>
          <w:rFonts w:eastAsia="等线" w:ascii="Arial" w:cs="Arial" w:hAnsi="Arial"/>
          <w:sz w:val="22"/>
        </w:rPr>
        <w:t>二、丙方作为甲方的连带保证人，丙方同意代甲方向乙方支付上述保证范围内甲方应支付的全部费用，且丙方承诺：以其全部财产（包括但不限于动产、不动产、股权、期权、债权等）就甲方在上述保证范围内可能产生的全部责任向乙方承担无条件的、不可撤销的连带责任。其中，甲方可能产生的责任包括但不限于：甲方依保证范围内的合同（协议）及文件应向乙方支付的结算款项、违约金、罚金、乙方实现债权而发生的费用等款项的支付义务及侵权损害赔偿义务等（简称“</w:t>
      </w:r>
      <w:r>
        <w:rPr>
          <w:rFonts w:eastAsia="等线" w:ascii="Arial" w:cs="Arial" w:hAnsi="Arial"/>
          <w:b w:val="true"/>
          <w:sz w:val="22"/>
        </w:rPr>
        <w:t>被担保债务</w:t>
      </w:r>
      <w:r>
        <w:rPr>
          <w:rFonts w:eastAsia="等线" w:ascii="Arial" w:cs="Arial" w:hAnsi="Arial"/>
          <w:sz w:val="22"/>
        </w:rPr>
        <w:t xml:space="preserve">”）。乙方有权在不事先向甲方主张权利的前提下，直接要求丙方依据本协议向乙方清偿被担保债务，丙方承担责任后应自行与甲方协商补偿事宜，该等事宜与乙方无关。如因此产生额外费用或给乙方造成任何损失的，甲丙双方应共同承担连带责任。 </w:t>
      </w:r>
    </w:p>
    <w:p>
      <w:pPr>
        <w:spacing w:before="120" w:after="120" w:line="288" w:lineRule="auto"/>
        <w:ind w:left="0" w:firstLine="0"/>
        <w:jc w:val="left"/>
      </w:pPr>
      <w:r>
        <w:rPr>
          <w:rFonts w:eastAsia="等线" w:ascii="Arial" w:cs="Arial" w:hAnsi="Arial"/>
          <w:sz w:val="22"/>
        </w:rPr>
        <w:t>三、保证期间：丙方对被担保债务的连带责任保证的保证期间为本协议生效之日起至所有被担保债务的履行期限届满（多笔债务的，从最后一笔债务履行期届满）之次日起两年。</w:t>
      </w:r>
    </w:p>
    <w:p>
      <w:pPr>
        <w:pStyle w:val="5"/>
        <w:spacing w:before="240" w:after="120" w:line="288" w:lineRule="auto"/>
        <w:ind w:left="0"/>
        <w:jc w:val="left"/>
        <w:outlineLvl w:val="4"/>
      </w:pPr>
      <w:bookmarkStart w:name="heading_115" w:id="115"/>
      <w:r>
        <w:rPr>
          <w:rFonts w:eastAsia="等线" w:ascii="Arial" w:cs="Arial" w:hAnsi="Arial"/>
          <w:b w:val="true"/>
          <w:sz w:val="24"/>
        </w:rPr>
        <w:t>四、丙方在此明确承诺：</w:t>
      </w:r>
      <w:bookmarkEnd w:id="115"/>
    </w:p>
    <w:p>
      <w:pPr>
        <w:numPr>
          <w:numId w:val="205"/>
        </w:numPr>
        <w:spacing w:before="120" w:after="120" w:line="288" w:lineRule="auto"/>
        <w:ind w:left="453"/>
        <w:jc w:val="left"/>
      </w:pPr>
      <w:r>
        <w:rPr>
          <w:rFonts w:eastAsia="等线" w:ascii="Arial" w:cs="Arial" w:hAnsi="Arial"/>
          <w:sz w:val="22"/>
        </w:rPr>
        <w:t>丙方已知悉并确认上述保证范围内涉及合同（协议）及文件材料项下的全部义务及责任，签署和履行本协议是基于丙方的真实意思表示。本协议不存在违反法律法规的强制性规定、违背社会公序良俗、违背真实意思表示、欺诈胁迫、显失公平、恶意串通、重大误解等可能导致本协议无效或被撤销的情形。</w:t>
      </w:r>
    </w:p>
    <w:p>
      <w:pPr>
        <w:numPr>
          <w:numId w:val="206"/>
        </w:numPr>
        <w:spacing w:before="120" w:after="120" w:line="288" w:lineRule="auto"/>
        <w:ind w:left="453"/>
        <w:jc w:val="left"/>
      </w:pPr>
      <w:r>
        <w:rPr>
          <w:rFonts w:eastAsia="等线" w:ascii="Arial" w:cs="Arial" w:hAnsi="Arial"/>
          <w:sz w:val="22"/>
        </w:rPr>
        <w:t>若丙方提供其他形式担保（包括但不限于抵押、质押）的，应当在签署本协议之日起【】日内或乙方另行要求的时间内办理完毕相关抵质押登记手续，并提供手续文件扫描件供乙方查验。</w:t>
      </w:r>
    </w:p>
    <w:p>
      <w:pPr>
        <w:numPr>
          <w:numId w:val="207"/>
        </w:numPr>
        <w:spacing w:before="120" w:after="120" w:line="288" w:lineRule="auto"/>
        <w:ind w:left="453"/>
        <w:jc w:val="left"/>
      </w:pPr>
      <w:r>
        <w:rPr>
          <w:rFonts w:eastAsia="等线" w:ascii="Arial" w:cs="Arial" w:hAnsi="Arial"/>
          <w:sz w:val="22"/>
        </w:rPr>
        <w:t>丙方具有签署本协议的完全的民事权利能力和行为能力，对于本协议的签署和履行不违反其所应遵守的法律、法规、规章和规范性文件、公司章程、有权机关的相关文件、判决、裁决、已签署的任何文件，丙方已经完成签署本协议所需的全部流程、手续以及信息披露义务（如适用）。</w:t>
      </w:r>
    </w:p>
    <w:p>
      <w:pPr>
        <w:numPr>
          <w:numId w:val="208"/>
        </w:numPr>
        <w:spacing w:before="120" w:after="120" w:line="288" w:lineRule="auto"/>
        <w:ind w:left="453"/>
        <w:jc w:val="left"/>
      </w:pPr>
      <w:r>
        <w:rPr>
          <w:rFonts w:eastAsia="等线" w:ascii="Arial" w:cs="Arial" w:hAnsi="Arial"/>
          <w:sz w:val="22"/>
        </w:rPr>
        <w:t>若因丙方违反本协议第四条承诺导致本协议全部/部分无效或影响乙方通过本协议实现债权的，丙方需赔偿乙方因此遭受的全部损失。</w:t>
      </w:r>
    </w:p>
    <w:p>
      <w:pPr>
        <w:spacing w:before="120" w:after="120" w:line="288" w:lineRule="auto"/>
        <w:ind w:left="0" w:firstLine="0"/>
        <w:jc w:val="left"/>
      </w:pPr>
      <w:r>
        <w:rPr>
          <w:rFonts w:eastAsia="等线" w:ascii="Arial" w:cs="Arial" w:hAnsi="Arial"/>
          <w:sz w:val="22"/>
        </w:rPr>
        <w:t>五、管辖及法律适用：本协议的订立、效力、解释及履行和争议解决均适用中华人民共和国法律管辖。因本协议发生的或与本协议有关之争议，三方应通过友好协商解决；如不能通过友好协商解决的，该争议应提交至【北京仲裁委员会】审理解决。</w:t>
      </w:r>
    </w:p>
    <w:p>
      <w:pPr>
        <w:spacing w:before="120" w:after="120" w:line="288" w:lineRule="auto"/>
        <w:ind w:left="0" w:firstLine="0"/>
        <w:jc w:val="left"/>
      </w:pPr>
      <w:r>
        <w:rPr>
          <w:rFonts w:eastAsia="等线" w:ascii="Arial" w:cs="Arial" w:hAnsi="Arial"/>
          <w:sz w:val="22"/>
        </w:rPr>
        <w:t>六、本协议任何条款的无效、被撤销或不可执行，不影响其他条款的有效性和可执行性。 “主协议”的任何条款成为无效、非法或不可执行不应影响本协议的有效性、合法性或可执行性。</w:t>
      </w:r>
    </w:p>
    <w:p>
      <w:pPr>
        <w:spacing w:before="120" w:after="120" w:line="288" w:lineRule="auto"/>
        <w:ind w:left="0" w:firstLine="0"/>
        <w:jc w:val="left"/>
      </w:pPr>
      <w:r>
        <w:rPr>
          <w:rFonts w:eastAsia="等线" w:ascii="Arial" w:cs="Arial" w:hAnsi="Arial"/>
          <w:sz w:val="22"/>
        </w:rPr>
        <w:t>七、本协议书一式三份，各执一份，每份具有同等法律效力。本协议书经甲、乙、丙三方盖章（若为自然人，需亲笔签字）后生效。</w:t>
      </w:r>
    </w:p>
    <w:p>
      <w:pPr>
        <w:spacing w:before="120" w:after="120" w:line="288" w:lineRule="auto"/>
        <w:ind w:left="0" w:firstLine="0"/>
        <w:jc w:val="left"/>
      </w:pPr>
      <w:r>
        <w:rPr>
          <w:rFonts w:eastAsia="等线" w:ascii="Arial" w:cs="Arial" w:hAnsi="Arial"/>
          <w:sz w:val="22"/>
        </w:rPr>
        <w:t>八、丙方在签署本协议前需提供有无配偶证明、相关资产状况、公司资产证明、其他能反映经营情况及资信情况的财务报告、财务报表或其他资料等（具体见附件一：丙方财产清单）。</w:t>
      </w:r>
    </w:p>
    <w:p>
      <w:pPr>
        <w:spacing w:before="120" w:after="120" w:line="288" w:lineRule="auto"/>
        <w:ind w:left="0" w:firstLine="0"/>
        <w:jc w:val="left"/>
      </w:pPr>
      <w:r>
        <w:rPr>
          <w:rFonts w:eastAsia="等线" w:ascii="Arial" w:cs="Arial" w:hAnsi="Arial"/>
          <w:sz w:val="22"/>
        </w:rPr>
        <w:t>（以下无正文）</w:t>
      </w: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签字或盖章:                                  签字或盖章:</w:t>
      </w:r>
    </w:p>
    <w:p>
      <w:pPr>
        <w:spacing w:before="120" w:after="120" w:line="288" w:lineRule="auto"/>
        <w:ind w:left="0" w:firstLine="0"/>
        <w:jc w:val="left"/>
      </w:pPr>
      <w:r>
        <w:rPr>
          <w:rFonts w:eastAsia="等线" w:ascii="Arial" w:cs="Arial" w:hAnsi="Arial"/>
          <w:sz w:val="22"/>
        </w:rPr>
        <w:t xml:space="preserve">日期:                                        日期: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丙方: </w:t>
      </w:r>
    </w:p>
    <w:p>
      <w:pPr>
        <w:spacing w:before="120" w:after="120" w:line="288" w:lineRule="auto"/>
        <w:ind w:left="0" w:firstLine="0"/>
        <w:jc w:val="left"/>
      </w:pPr>
      <w:r>
        <w:rPr>
          <w:rFonts w:eastAsia="等线" w:ascii="Arial" w:cs="Arial" w:hAnsi="Arial"/>
          <w:sz w:val="22"/>
        </w:rPr>
        <w:t>签字或盖章:</w:t>
      </w:r>
    </w:p>
    <w:p>
      <w:pPr>
        <w:spacing w:before="120" w:after="120" w:line="288" w:lineRule="auto"/>
        <w:ind w:left="0" w:firstLine="0"/>
        <w:jc w:val="left"/>
      </w:pPr>
      <w:r>
        <w:rPr>
          <w:rFonts w:eastAsia="等线" w:ascii="Arial" w:cs="Arial" w:hAnsi="Arial"/>
          <w:sz w:val="22"/>
        </w:rPr>
        <w:t xml:space="preserve">日期: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116" w:id="116"/>
      <w:r>
        <w:rPr>
          <w:rFonts w:eastAsia="等线" w:ascii="Arial" w:cs="Arial" w:hAnsi="Arial"/>
          <w:b w:val="true"/>
          <w:sz w:val="30"/>
        </w:rPr>
        <w:t>附件一：丙方财产清单</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095"/>
        <w:gridCol w:w="1185"/>
        <w:gridCol w:w="1185"/>
        <w:gridCol w:w="1185"/>
        <w:gridCol w:w="1185"/>
        <w:gridCol w:w="1185"/>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产权证编号</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房产所在详细地址</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不动产（土地或房产）</w:t>
            </w: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260" w:type="dxa"/>
            <w:vMerge w:val="continue"/>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990"/>
        <w:gridCol w:w="1065"/>
        <w:gridCol w:w="1035"/>
        <w:gridCol w:w="1065"/>
        <w:gridCol w:w="1065"/>
        <w:gridCol w:w="1065"/>
        <w:gridCol w:w="82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车牌号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发动机号和车架号码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型号类别</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动产（车辆等）</w:t>
            </w:r>
          </w:p>
        </w:tc>
        <w:tc>
          <w:tcPr>
            <w:tcW w:w="99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股份比例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注册资本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公司住所地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1665"/>
        <w:gridCol w:w="1665"/>
        <w:gridCol w:w="1650"/>
      </w:tblGrid>
      <w:tr>
        <w:tc>
          <w:tcPr>
            <w:tcW w:w="16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其他财产类型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账户名</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开户行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有价证券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证券价值（万）</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附件二</w:t>
      </w:r>
    </w:p>
    <w:p>
      <w:pPr>
        <w:spacing w:before="120" w:after="120" w:line="288" w:lineRule="auto"/>
        <w:ind w:left="0" w:firstLine="0"/>
        <w:jc w:val="center"/>
      </w:pPr>
      <w:r>
        <w:rPr>
          <w:rFonts w:eastAsia="等线" w:ascii="Arial" w:cs="Arial" w:hAnsi="Arial"/>
          <w:b w:val="true"/>
          <w:sz w:val="22"/>
        </w:rPr>
        <w:t>股东承诺函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致【我司主体】：</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鉴于就【丙方公司】为【甲方公司】向【我司主体】提供连带责任保证事宜，三方已于【】年【】月【】日签署了《连带责任保证协议》（下称“担保事宜”、“原协议”）。</w:t>
      </w:r>
    </w:p>
    <w:p>
      <w:pPr>
        <w:spacing w:before="120" w:after="120" w:line="288" w:lineRule="auto"/>
        <w:ind w:left="0" w:firstLine="0"/>
        <w:jc w:val="left"/>
      </w:pPr>
      <w:r>
        <w:rPr>
          <w:rFonts w:eastAsia="等线" w:ascii="Arial" w:cs="Arial" w:hAnsi="Arial"/>
          <w:sz w:val="22"/>
        </w:rPr>
        <w:t>【丙方公司股东】作出如下承诺：</w:t>
      </w:r>
    </w:p>
    <w:p>
      <w:pPr>
        <w:spacing w:before="120" w:after="120" w:line="288" w:lineRule="auto"/>
        <w:ind w:left="0" w:firstLine="0"/>
        <w:jc w:val="left"/>
      </w:pPr>
    </w:p>
    <w:p>
      <w:pPr>
        <w:numPr>
          <w:numId w:val="209"/>
        </w:numPr>
        <w:spacing w:before="120" w:after="120" w:line="288" w:lineRule="auto"/>
        <w:ind w:left="0"/>
        <w:jc w:val="left"/>
      </w:pPr>
      <w:r>
        <w:rPr>
          <w:rFonts w:eastAsia="等线" w:ascii="Arial" w:cs="Arial" w:hAnsi="Arial"/>
          <w:sz w:val="22"/>
        </w:rPr>
        <w:t>全体承诺人系持有【丙方公司】三分之二以上对担保事项有表决权的股东，有资格对原协议担保事宜签署本承诺函；</w:t>
      </w:r>
    </w:p>
    <w:p>
      <w:pPr>
        <w:numPr>
          <w:numId w:val="210"/>
        </w:numPr>
        <w:spacing w:before="120" w:after="120" w:line="288" w:lineRule="auto"/>
        <w:ind w:left="0"/>
        <w:jc w:val="left"/>
      </w:pPr>
      <w:r>
        <w:rPr>
          <w:rFonts w:eastAsia="等线" w:ascii="Arial" w:cs="Arial" w:hAnsi="Arial"/>
          <w:sz w:val="22"/>
        </w:rPr>
        <w:t>原协议的签订符合《中华人民共和国民法典》及其他相关法律法规之规定，【丙方公司】已依照其公司章程的规定，作出董事会或者股东会、股东大会决议，并经全体承诺人签署通过，原协议对【丙方公司】具有法定约束力；</w:t>
      </w:r>
    </w:p>
    <w:p>
      <w:pPr>
        <w:spacing w:before="120" w:after="120" w:line="288" w:lineRule="auto"/>
        <w:ind w:left="0" w:firstLine="0"/>
        <w:jc w:val="left"/>
      </w:pPr>
      <w:r>
        <w:rPr>
          <w:rFonts w:eastAsia="等线" w:ascii="Arial" w:cs="Arial" w:hAnsi="Arial"/>
          <w:sz w:val="22"/>
        </w:rPr>
        <w:t>3、上述承诺真实有效，不存在违反法律法规的强制性规定、违背社会公序良俗等可能导致承诺无效的情形，否则如因此为【我司主体】造成任何损失的，全体承诺人及【丙方公司】应向【我司主体】承担全部赔偿责任。</w:t>
      </w:r>
    </w:p>
    <w:p>
      <w:pPr>
        <w:pStyle w:val="3"/>
        <w:spacing w:before="300" w:after="120" w:line="288" w:lineRule="auto"/>
        <w:ind w:left="0"/>
        <w:jc w:val="left"/>
        <w:outlineLvl w:val="2"/>
      </w:pPr>
      <w:bookmarkStart w:name="heading_117" w:id="117"/>
      <w:r>
        <w:rPr>
          <w:rFonts w:eastAsia="等线" w:ascii="Arial" w:cs="Arial" w:hAnsi="Arial"/>
          <w:b w:val="true"/>
          <w:sz w:val="30"/>
        </w:rPr>
        <w:t>4、本承诺函作为原协议附件，与原协议具有同等法律效力。</w:t>
      </w:r>
      <w:bookmarkEnd w:id="11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【丙方股东】</w:t>
      </w:r>
    </w:p>
    <w:p>
      <w:pPr>
        <w:spacing w:before="120" w:after="120" w:line="288" w:lineRule="auto"/>
        <w:ind w:left="0" w:firstLine="0"/>
        <w:jc w:val="left"/>
      </w:pPr>
      <w:r>
        <w:rPr>
          <w:rFonts w:eastAsia="等线" w:ascii="Arial" w:cs="Arial" w:hAnsi="Arial"/>
          <w:sz w:val="22"/>
        </w:rPr>
        <w:t>签字捺手印/盖章：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【丙方公司】</w:t>
      </w:r>
    </w:p>
    <w:p>
      <w:pPr>
        <w:spacing w:before="120" w:after="120" w:line="288" w:lineRule="auto"/>
        <w:ind w:left="0" w:firstLine="0"/>
        <w:jc w:val="left"/>
      </w:pP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r>
        <w:rPr>
          <w:rFonts w:eastAsia="等线" w:ascii="Arial" w:cs="Arial" w:hAnsi="Arial"/>
          <w:sz w:val="22"/>
        </w:rPr>
        <w:t>（附丙方公司营业执照）</w:t>
      </w: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6378">
    <w:lvl>
      <w:start w:val="1"/>
      <w:numFmt w:val="lowerLetter"/>
      <w:suff w:val="tab"/>
      <w:lvlText w:val="%1."/>
      <w:rPr>
        <w:color w:val="3370ff"/>
      </w:rPr>
    </w:lvl>
  </w:abstractNum>
  <w:abstractNum w:abstractNumId="86379">
    <w:lvl>
      <w:start w:val="2"/>
      <w:numFmt w:val="lowerLetter"/>
      <w:suff w:val="tab"/>
      <w:lvlText w:val="%1."/>
      <w:rPr>
        <w:color w:val="3370ff"/>
      </w:rPr>
    </w:lvl>
  </w:abstractNum>
  <w:abstractNum w:abstractNumId="86380">
    <w:lvl>
      <w:start w:val="3"/>
      <w:numFmt w:val="lowerLetter"/>
      <w:suff w:val="tab"/>
      <w:lvlText w:val="%1."/>
      <w:rPr>
        <w:color w:val="3370ff"/>
      </w:rPr>
    </w:lvl>
  </w:abstractNum>
  <w:abstractNum w:abstractNumId="86381">
    <w:lvl>
      <w:start w:val="4"/>
      <w:numFmt w:val="lowerLetter"/>
      <w:suff w:val="tab"/>
      <w:lvlText w:val="%1."/>
      <w:rPr>
        <w:color w:val="3370ff"/>
      </w:rPr>
    </w:lvl>
  </w:abstractNum>
  <w:abstractNum w:abstractNumId="86382">
    <w:lvl>
      <w:start w:val="1"/>
      <w:numFmt w:val="lowerLetter"/>
      <w:suff w:val="tab"/>
      <w:lvlText w:val="%1."/>
      <w:rPr>
        <w:color w:val="3370ff"/>
      </w:rPr>
    </w:lvl>
  </w:abstractNum>
  <w:abstractNum w:abstractNumId="86383">
    <w:lvl>
      <w:start w:val="2"/>
      <w:numFmt w:val="lowerLetter"/>
      <w:suff w:val="tab"/>
      <w:lvlText w:val="%1."/>
      <w:rPr>
        <w:color w:val="3370ff"/>
      </w:rPr>
    </w:lvl>
  </w:abstractNum>
  <w:abstractNum w:abstractNumId="86384">
    <w:lvl>
      <w:start w:val="1"/>
      <w:numFmt w:val="decimal"/>
      <w:suff w:val="tab"/>
      <w:lvlText w:val="%1."/>
      <w:rPr>
        <w:color w:val="3370ff"/>
      </w:rPr>
    </w:lvl>
  </w:abstractNum>
  <w:abstractNum w:abstractNumId="86385">
    <w:lvl>
      <w:start w:val="2"/>
      <w:numFmt w:val="decimal"/>
      <w:suff w:val="tab"/>
      <w:lvlText w:val="%1."/>
      <w:rPr>
        <w:color w:val="3370ff"/>
      </w:rPr>
    </w:lvl>
  </w:abstractNum>
  <w:abstractNum w:abstractNumId="86386">
    <w:lvl>
      <w:start w:val="3"/>
      <w:numFmt w:val="decimal"/>
      <w:suff w:val="tab"/>
      <w:lvlText w:val="%1."/>
      <w:rPr>
        <w:color w:val="3370ff"/>
      </w:rPr>
    </w:lvl>
  </w:abstractNum>
  <w:abstractNum w:abstractNumId="86387">
    <w:lvl>
      <w:start w:val="1"/>
      <w:numFmt w:val="lowerLetter"/>
      <w:suff w:val="tab"/>
      <w:lvlText w:val="%1."/>
      <w:rPr>
        <w:color w:val="3370ff"/>
      </w:rPr>
    </w:lvl>
  </w:abstractNum>
  <w:abstractNum w:abstractNumId="86388">
    <w:lvl>
      <w:start w:val="2"/>
      <w:numFmt w:val="lowerLetter"/>
      <w:suff w:val="tab"/>
      <w:lvlText w:val="%1."/>
      <w:rPr>
        <w:color w:val="3370ff"/>
      </w:rPr>
    </w:lvl>
  </w:abstractNum>
  <w:abstractNum w:abstractNumId="86389">
    <w:lvl>
      <w:start w:val="3"/>
      <w:numFmt w:val="lowerLetter"/>
      <w:suff w:val="tab"/>
      <w:lvlText w:val="%1."/>
      <w:rPr>
        <w:color w:val="3370ff"/>
      </w:rPr>
    </w:lvl>
  </w:abstractNum>
  <w:abstractNum w:abstractNumId="86390">
    <w:lvl>
      <w:start w:val="4"/>
      <w:numFmt w:val="decimal"/>
      <w:suff w:val="tab"/>
      <w:lvlText w:val="%1."/>
      <w:rPr>
        <w:color w:val="3370ff"/>
      </w:rPr>
    </w:lvl>
  </w:abstractNum>
  <w:abstractNum w:abstractNumId="86391">
    <w:lvl>
      <w:start w:val="1"/>
      <w:numFmt w:val="lowerLetter"/>
      <w:suff w:val="tab"/>
      <w:lvlText w:val="%1."/>
      <w:rPr>
        <w:color w:val="3370ff"/>
      </w:rPr>
    </w:lvl>
  </w:abstractNum>
  <w:abstractNum w:abstractNumId="86392">
    <w:lvl>
      <w:start w:val="2"/>
      <w:numFmt w:val="lowerLetter"/>
      <w:suff w:val="tab"/>
      <w:lvlText w:val="%1."/>
      <w:rPr>
        <w:color w:val="3370ff"/>
      </w:rPr>
    </w:lvl>
  </w:abstractNum>
  <w:abstractNum w:abstractNumId="86393">
    <w:lvl>
      <w:start w:val="1"/>
      <w:numFmt w:val="lowerLetter"/>
      <w:suff w:val="tab"/>
      <w:lvlText w:val="%1."/>
      <w:rPr>
        <w:color w:val="3370ff"/>
      </w:rPr>
    </w:lvl>
  </w:abstractNum>
  <w:abstractNum w:abstractNumId="86394">
    <w:lvl>
      <w:start w:val="2"/>
      <w:numFmt w:val="lowerLetter"/>
      <w:suff w:val="tab"/>
      <w:lvlText w:val="%1."/>
      <w:rPr>
        <w:color w:val="3370ff"/>
      </w:rPr>
    </w:lvl>
  </w:abstractNum>
  <w:abstractNum w:abstractNumId="86395">
    <w:lvl>
      <w:start w:val="3"/>
      <w:numFmt w:val="lowerLetter"/>
      <w:suff w:val="tab"/>
      <w:lvlText w:val="%1."/>
      <w:rPr>
        <w:color w:val="3370ff"/>
      </w:rPr>
    </w:lvl>
  </w:abstractNum>
  <w:abstractNum w:abstractNumId="86396">
    <w:lvl>
      <w:start w:val="4"/>
      <w:numFmt w:val="lowerLetter"/>
      <w:suff w:val="tab"/>
      <w:lvlText w:val="%1."/>
      <w:rPr>
        <w:color w:val="3370ff"/>
      </w:rPr>
    </w:lvl>
  </w:abstractNum>
  <w:abstractNum w:abstractNumId="86397">
    <w:lvl>
      <w:start w:val="6"/>
      <w:numFmt w:val="lowerLetter"/>
      <w:suff w:val="tab"/>
      <w:lvlText w:val="%1."/>
      <w:rPr>
        <w:color w:val="3370ff"/>
      </w:rPr>
    </w:lvl>
  </w:abstractNum>
  <w:abstractNum w:abstractNumId="86398">
    <w:lvl>
      <w:start w:val="7"/>
      <w:numFmt w:val="lowerLetter"/>
      <w:suff w:val="tab"/>
      <w:lvlText w:val="%1."/>
      <w:rPr>
        <w:color w:val="3370ff"/>
      </w:rPr>
    </w:lvl>
  </w:abstractNum>
  <w:abstractNum w:abstractNumId="86399">
    <w:lvl>
      <w:start w:val="8"/>
      <w:numFmt w:val="lowerLetter"/>
      <w:suff w:val="tab"/>
      <w:lvlText w:val="%1."/>
      <w:rPr>
        <w:color w:val="3370ff"/>
      </w:rPr>
    </w:lvl>
  </w:abstractNum>
  <w:abstractNum w:abstractNumId="86400">
    <w:lvl>
      <w:start w:val="10"/>
      <w:numFmt w:val="lowerLetter"/>
      <w:suff w:val="tab"/>
      <w:lvlText w:val="%1."/>
      <w:rPr>
        <w:color w:val="3370ff"/>
      </w:rPr>
    </w:lvl>
  </w:abstractNum>
  <w:abstractNum w:abstractNumId="86401">
    <w:lvl>
      <w:start w:val="11"/>
      <w:numFmt w:val="lowerLetter"/>
      <w:suff w:val="tab"/>
      <w:lvlText w:val="%1."/>
      <w:rPr>
        <w:color w:val="3370ff"/>
      </w:rPr>
    </w:lvl>
  </w:abstractNum>
  <w:abstractNum w:abstractNumId="86402">
    <w:lvl>
      <w:start w:val="1"/>
      <w:numFmt w:val="decimal"/>
      <w:suff w:val="tab"/>
      <w:lvlText w:val="%1."/>
      <w:rPr>
        <w:color w:val="3370ff"/>
      </w:rPr>
    </w:lvl>
  </w:abstractNum>
  <w:abstractNum w:abstractNumId="86403">
    <w:lvl>
      <w:start w:val="2"/>
      <w:numFmt w:val="decimal"/>
      <w:suff w:val="tab"/>
      <w:lvlText w:val="%1."/>
      <w:rPr>
        <w:color w:val="3370ff"/>
      </w:rPr>
    </w:lvl>
  </w:abstractNum>
  <w:abstractNum w:abstractNumId="86404">
    <w:lvl>
      <w:start w:val="1"/>
      <w:numFmt w:val="lowerLetter"/>
      <w:suff w:val="tab"/>
      <w:lvlText w:val="%1."/>
      <w:rPr>
        <w:color w:val="3370ff"/>
      </w:rPr>
    </w:lvl>
  </w:abstractNum>
  <w:abstractNum w:abstractNumId="86405">
    <w:lvl>
      <w:start w:val="2"/>
      <w:numFmt w:val="lowerRoman"/>
      <w:suff w:val="tab"/>
      <w:lvlText w:val="%1."/>
      <w:rPr>
        <w:color w:val="3370ff"/>
      </w:rPr>
    </w:lvl>
  </w:abstractNum>
  <w:abstractNum w:abstractNumId="86406">
    <w:lvl>
      <w:start w:val="3"/>
      <w:numFmt w:val="lowerRoman"/>
      <w:suff w:val="tab"/>
      <w:lvlText w:val="%1."/>
      <w:rPr>
        <w:color w:val="3370ff"/>
      </w:rPr>
    </w:lvl>
  </w:abstractNum>
  <w:abstractNum w:abstractNumId="86407">
    <w:lvl>
      <w:start w:val="2"/>
      <w:numFmt w:val="lowerRoman"/>
      <w:suff w:val="tab"/>
      <w:lvlText w:val="%1."/>
      <w:rPr>
        <w:color w:val="3370ff"/>
      </w:rPr>
    </w:lvl>
  </w:abstractNum>
  <w:abstractNum w:abstractNumId="86408">
    <w:lvl>
      <w:start w:val="3"/>
      <w:numFmt w:val="decimal"/>
      <w:suff w:val="tab"/>
      <w:lvlText w:val="%1."/>
      <w:rPr>
        <w:color w:val="3370ff"/>
      </w:rPr>
    </w:lvl>
  </w:abstractNum>
  <w:abstractNum w:abstractNumId="86409">
    <w:lvl>
      <w:start w:val="4"/>
      <w:numFmt w:val="decimal"/>
      <w:suff w:val="tab"/>
      <w:lvlText w:val="%1."/>
      <w:rPr>
        <w:color w:val="3370ff"/>
      </w:rPr>
    </w:lvl>
  </w:abstractNum>
  <w:abstractNum w:abstractNumId="86410">
    <w:lvl>
      <w:start w:val="5"/>
      <w:numFmt w:val="decimal"/>
      <w:suff w:val="tab"/>
      <w:lvlText w:val="%1."/>
      <w:rPr>
        <w:color w:val="3370ff"/>
      </w:rPr>
    </w:lvl>
  </w:abstractNum>
  <w:abstractNum w:abstractNumId="86411">
    <w:lvl>
      <w:start w:val="1"/>
      <w:numFmt w:val="lowerLetter"/>
      <w:suff w:val="tab"/>
      <w:lvlText w:val="%1."/>
      <w:rPr>
        <w:color w:val="3370ff"/>
      </w:rPr>
    </w:lvl>
  </w:abstractNum>
  <w:abstractNum w:abstractNumId="86412">
    <w:lvl>
      <w:start w:val="2"/>
      <w:numFmt w:val="lowerLetter"/>
      <w:suff w:val="tab"/>
      <w:lvlText w:val="%1."/>
      <w:rPr>
        <w:color w:val="3370ff"/>
      </w:rPr>
    </w:lvl>
  </w:abstractNum>
  <w:abstractNum w:abstractNumId="86413">
    <w:lvl>
      <w:start w:val="3"/>
      <w:numFmt w:val="lowerLetter"/>
      <w:suff w:val="tab"/>
      <w:lvlText w:val="%1."/>
      <w:rPr>
        <w:color w:val="3370ff"/>
      </w:rPr>
    </w:lvl>
  </w:abstractNum>
  <w:abstractNum w:abstractNumId="86414">
    <w:lvl>
      <w:start w:val="2"/>
      <w:numFmt w:val="lowerRoman"/>
      <w:suff w:val="tab"/>
      <w:lvlText w:val="%1."/>
      <w:rPr>
        <w:color w:val="3370ff"/>
      </w:rPr>
    </w:lvl>
  </w:abstractNum>
  <w:abstractNum w:abstractNumId="86415">
    <w:lvl>
      <w:start w:val="3"/>
      <w:numFmt w:val="lowerRoman"/>
      <w:suff w:val="tab"/>
      <w:lvlText w:val="%1."/>
      <w:rPr>
        <w:color w:val="3370ff"/>
      </w:rPr>
    </w:lvl>
  </w:abstractNum>
  <w:abstractNum w:abstractNumId="86416">
    <w:lvl>
      <w:start w:val="4"/>
      <w:numFmt w:val="lowerRoman"/>
      <w:suff w:val="tab"/>
      <w:lvlText w:val="%1."/>
      <w:rPr>
        <w:color w:val="3370ff"/>
      </w:rPr>
    </w:lvl>
  </w:abstractNum>
  <w:abstractNum w:abstractNumId="86417">
    <w:lvl>
      <w:start w:val="10"/>
      <w:numFmt w:val="decimal"/>
      <w:suff w:val="tab"/>
      <w:lvlText w:val="%1."/>
      <w:rPr>
        <w:color w:val="3370ff"/>
      </w:rPr>
    </w:lvl>
  </w:abstractNum>
  <w:abstractNum w:abstractNumId="86418">
    <w:lvl>
      <w:start w:val="1"/>
      <w:numFmt w:val="lowerLetter"/>
      <w:suff w:val="tab"/>
      <w:lvlText w:val="%1."/>
      <w:rPr>
        <w:color w:val="3370ff"/>
      </w:rPr>
    </w:lvl>
  </w:abstractNum>
  <w:abstractNum w:abstractNumId="86419">
    <w:lvl>
      <w:start w:val="2"/>
      <w:numFmt w:val="lowerLetter"/>
      <w:suff w:val="tab"/>
      <w:lvlText w:val="%1."/>
      <w:rPr>
        <w:color w:val="3370ff"/>
      </w:rPr>
    </w:lvl>
  </w:abstractNum>
  <w:abstractNum w:abstractNumId="86420">
    <w:lvl>
      <w:start w:val="11"/>
      <w:numFmt w:val="decimal"/>
      <w:suff w:val="tab"/>
      <w:lvlText w:val="%1."/>
      <w:rPr>
        <w:color w:val="3370ff"/>
      </w:rPr>
    </w:lvl>
  </w:abstractNum>
  <w:abstractNum w:abstractNumId="86421">
    <w:lvl>
      <w:start w:val="1"/>
      <w:numFmt w:val="lowerLetter"/>
      <w:suff w:val="tab"/>
      <w:lvlText w:val="%1."/>
      <w:rPr>
        <w:color w:val="3370ff"/>
      </w:rPr>
    </w:lvl>
  </w:abstractNum>
  <w:abstractNum w:abstractNumId="86422">
    <w:lvl>
      <w:start w:val="1"/>
      <w:numFmt w:val="lowerLetter"/>
      <w:suff w:val="tab"/>
      <w:lvlText w:val="%1."/>
      <w:rPr>
        <w:color w:val="3370ff"/>
      </w:rPr>
    </w:lvl>
  </w:abstractNum>
  <w:abstractNum w:abstractNumId="86423">
    <w:lvl>
      <w:start w:val="2"/>
      <w:numFmt w:val="lowerLetter"/>
      <w:suff w:val="tab"/>
      <w:lvlText w:val="%1."/>
      <w:rPr>
        <w:color w:val="3370ff"/>
      </w:rPr>
    </w:lvl>
  </w:abstractNum>
  <w:abstractNum w:abstractNumId="86424">
    <w:lvl>
      <w:start w:val="2"/>
      <w:numFmt w:val="lowerLetter"/>
      <w:suff w:val="tab"/>
      <w:lvlText w:val="%1."/>
      <w:rPr>
        <w:color w:val="3370ff"/>
      </w:rPr>
    </w:lvl>
  </w:abstractNum>
  <w:abstractNum w:abstractNumId="86425">
    <w:lvl>
      <w:start w:val="3"/>
      <w:numFmt w:val="lowerLetter"/>
      <w:suff w:val="tab"/>
      <w:lvlText w:val="%1."/>
      <w:rPr>
        <w:color w:val="3370ff"/>
      </w:rPr>
    </w:lvl>
  </w:abstractNum>
  <w:abstractNum w:abstractNumId="86426">
    <w:lvl>
      <w:start w:val="4"/>
      <w:numFmt w:val="lowerLetter"/>
      <w:suff w:val="tab"/>
      <w:lvlText w:val="%1."/>
      <w:rPr>
        <w:color w:val="3370ff"/>
      </w:rPr>
    </w:lvl>
  </w:abstractNum>
  <w:abstractNum w:abstractNumId="86427">
    <w:lvl>
      <w:start w:val="5"/>
      <w:numFmt w:val="lowerLetter"/>
      <w:suff w:val="tab"/>
      <w:lvlText w:val="%1."/>
      <w:rPr>
        <w:color w:val="3370ff"/>
      </w:rPr>
    </w:lvl>
  </w:abstractNum>
  <w:abstractNum w:abstractNumId="86428">
    <w:lvl>
      <w:start w:val="6"/>
      <w:numFmt w:val="lowerLetter"/>
      <w:suff w:val="tab"/>
      <w:lvlText w:val="%1."/>
      <w:rPr>
        <w:color w:val="3370ff"/>
      </w:rPr>
    </w:lvl>
  </w:abstractNum>
  <w:abstractNum w:abstractNumId="86429">
    <w:lvl>
      <w:start w:val="7"/>
      <w:numFmt w:val="lowerLetter"/>
      <w:suff w:val="tab"/>
      <w:lvlText w:val="%1."/>
      <w:rPr>
        <w:color w:val="3370ff"/>
      </w:rPr>
    </w:lvl>
  </w:abstractNum>
  <w:abstractNum w:abstractNumId="86430">
    <w:lvl>
      <w:start w:val="8"/>
      <w:numFmt w:val="lowerLetter"/>
      <w:suff w:val="tab"/>
      <w:lvlText w:val="%1."/>
      <w:rPr>
        <w:color w:val="3370ff"/>
      </w:rPr>
    </w:lvl>
  </w:abstractNum>
  <w:abstractNum w:abstractNumId="86431">
    <w:lvl>
      <w:start w:val="12"/>
      <w:numFmt w:val="decimal"/>
      <w:suff w:val="tab"/>
      <w:lvlText w:val="%1."/>
      <w:rPr>
        <w:color w:val="3370ff"/>
      </w:rPr>
    </w:lvl>
  </w:abstractNum>
  <w:abstractNum w:abstractNumId="86432">
    <w:lvl>
      <w:start w:val="1"/>
      <w:numFmt w:val="lowerLetter"/>
      <w:suff w:val="tab"/>
      <w:lvlText w:val="%1."/>
      <w:rPr>
        <w:color w:val="3370ff"/>
      </w:rPr>
    </w:lvl>
  </w:abstractNum>
  <w:abstractNum w:abstractNumId="86433">
    <w:lvl>
      <w:start w:val="2"/>
      <w:numFmt w:val="lowerLetter"/>
      <w:suff w:val="tab"/>
      <w:lvlText w:val="%1."/>
      <w:rPr>
        <w:color w:val="3370ff"/>
      </w:rPr>
    </w:lvl>
  </w:abstractNum>
  <w:abstractNum w:abstractNumId="86434">
    <w:lvl>
      <w:start w:val="3"/>
      <w:numFmt w:val="lowerLetter"/>
      <w:suff w:val="tab"/>
      <w:lvlText w:val="%1."/>
      <w:rPr>
        <w:color w:val="3370ff"/>
      </w:rPr>
    </w:lvl>
  </w:abstractNum>
  <w:abstractNum w:abstractNumId="86435">
    <w:lvl>
      <w:start w:val="4"/>
      <w:numFmt w:val="lowerLetter"/>
      <w:suff w:val="tab"/>
      <w:lvlText w:val="%1."/>
      <w:rPr>
        <w:color w:val="3370ff"/>
      </w:rPr>
    </w:lvl>
  </w:abstractNum>
  <w:abstractNum w:abstractNumId="86436">
    <w:lvl>
      <w:start w:val="13"/>
      <w:numFmt w:val="decimal"/>
      <w:suff w:val="tab"/>
      <w:lvlText w:val="%1."/>
      <w:rPr>
        <w:color w:val="3370ff"/>
      </w:rPr>
    </w:lvl>
  </w:abstractNum>
  <w:abstractNum w:abstractNumId="86437">
    <w:lvl>
      <w:start w:val="1"/>
      <w:numFmt w:val="lowerLetter"/>
      <w:suff w:val="tab"/>
      <w:lvlText w:val="%1."/>
      <w:rPr>
        <w:color w:val="3370ff"/>
      </w:rPr>
    </w:lvl>
  </w:abstractNum>
  <w:abstractNum w:abstractNumId="86438">
    <w:lvl>
      <w:start w:val="2"/>
      <w:numFmt w:val="lowerLetter"/>
      <w:suff w:val="tab"/>
      <w:lvlText w:val="%1."/>
      <w:rPr>
        <w:color w:val="3370ff"/>
      </w:rPr>
    </w:lvl>
  </w:abstractNum>
  <w:abstractNum w:abstractNumId="86439">
    <w:lvl>
      <w:start w:val="3"/>
      <w:numFmt w:val="lowerLetter"/>
      <w:suff w:val="tab"/>
      <w:lvlText w:val="%1."/>
      <w:rPr>
        <w:color w:val="3370ff"/>
      </w:rPr>
    </w:lvl>
  </w:abstractNum>
  <w:abstractNum w:abstractNumId="86440">
    <w:lvl>
      <w:start w:val="4"/>
      <w:numFmt w:val="lowerLetter"/>
      <w:suff w:val="tab"/>
      <w:lvlText w:val="%1."/>
      <w:rPr>
        <w:color w:val="3370ff"/>
      </w:rPr>
    </w:lvl>
  </w:abstractNum>
  <w:abstractNum w:abstractNumId="86441">
    <w:lvl>
      <w:start w:val="14"/>
      <w:numFmt w:val="decimal"/>
      <w:suff w:val="tab"/>
      <w:lvlText w:val="%1."/>
      <w:rPr>
        <w:color w:val="3370ff"/>
      </w:rPr>
    </w:lvl>
  </w:abstractNum>
  <w:abstractNum w:abstractNumId="86442">
    <w:lvl>
      <w:start w:val="1"/>
      <w:numFmt w:val="lowerLetter"/>
      <w:suff w:val="tab"/>
      <w:lvlText w:val="%1."/>
      <w:rPr>
        <w:color w:val="3370ff"/>
      </w:rPr>
    </w:lvl>
  </w:abstractNum>
  <w:abstractNum w:abstractNumId="86443">
    <w:lvl>
      <w:start w:val="2"/>
      <w:numFmt w:val="lowerLetter"/>
      <w:suff w:val="tab"/>
      <w:lvlText w:val="%1."/>
      <w:rPr>
        <w:color w:val="3370ff"/>
      </w:rPr>
    </w:lvl>
  </w:abstractNum>
  <w:abstractNum w:abstractNumId="86444">
    <w:lvl>
      <w:start w:val="15"/>
      <w:numFmt w:val="decimal"/>
      <w:suff w:val="tab"/>
      <w:lvlText w:val="%1."/>
      <w:rPr>
        <w:color w:val="3370ff"/>
      </w:rPr>
    </w:lvl>
  </w:abstractNum>
  <w:abstractNum w:abstractNumId="86445">
    <w:lvl>
      <w:start w:val="1"/>
      <w:numFmt w:val="lowerLetter"/>
      <w:suff w:val="tab"/>
      <w:lvlText w:val="%1."/>
      <w:rPr>
        <w:color w:val="3370ff"/>
      </w:rPr>
    </w:lvl>
  </w:abstractNum>
  <w:abstractNum w:abstractNumId="86446">
    <w:lvl>
      <w:start w:val="2"/>
      <w:numFmt w:val="lowerLetter"/>
      <w:suff w:val="tab"/>
      <w:lvlText w:val="%1."/>
      <w:rPr>
        <w:color w:val="3370ff"/>
      </w:rPr>
    </w:lvl>
  </w:abstractNum>
  <w:abstractNum w:abstractNumId="86447">
    <w:lvl>
      <w:start w:val="1"/>
      <w:numFmt w:val="lowerLetter"/>
      <w:suff w:val="tab"/>
      <w:lvlText w:val="%1."/>
      <w:rPr>
        <w:color w:val="3370ff"/>
      </w:rPr>
    </w:lvl>
  </w:abstractNum>
  <w:abstractNum w:abstractNumId="86448">
    <w:lvl>
      <w:start w:val="2"/>
      <w:numFmt w:val="lowerLetter"/>
      <w:suff w:val="tab"/>
      <w:lvlText w:val="%1."/>
      <w:rPr>
        <w:color w:val="3370ff"/>
      </w:rPr>
    </w:lvl>
  </w:abstractNum>
  <w:abstractNum w:abstractNumId="86449">
    <w:lvl>
      <w:start w:val="3"/>
      <w:numFmt w:val="lowerLetter"/>
      <w:suff w:val="tab"/>
      <w:lvlText w:val="%1."/>
      <w:rPr>
        <w:color w:val="3370ff"/>
      </w:rPr>
    </w:lvl>
  </w:abstractNum>
  <w:abstractNum w:abstractNumId="86450">
    <w:lvl>
      <w:start w:val="4"/>
      <w:numFmt w:val="lowerLetter"/>
      <w:suff w:val="tab"/>
      <w:lvlText w:val="%1."/>
      <w:rPr>
        <w:color w:val="3370ff"/>
      </w:rPr>
    </w:lvl>
  </w:abstractNum>
  <w:abstractNum w:abstractNumId="86451">
    <w:lvl>
      <w:start w:val="5"/>
      <w:numFmt w:val="lowerLetter"/>
      <w:suff w:val="tab"/>
      <w:lvlText w:val="%1."/>
      <w:rPr>
        <w:color w:val="3370ff"/>
      </w:rPr>
    </w:lvl>
  </w:abstractNum>
  <w:abstractNum w:abstractNumId="86452">
    <w:lvl>
      <w:start w:val="6"/>
      <w:numFmt w:val="lowerLetter"/>
      <w:suff w:val="tab"/>
      <w:lvlText w:val="%1."/>
      <w:rPr>
        <w:color w:val="3370ff"/>
      </w:rPr>
    </w:lvl>
  </w:abstractNum>
  <w:abstractNum w:abstractNumId="86453">
    <w:lvl>
      <w:start w:val="7"/>
      <w:numFmt w:val="lowerLetter"/>
      <w:suff w:val="tab"/>
      <w:lvlText w:val="%1."/>
      <w:rPr>
        <w:color w:val="3370ff"/>
      </w:rPr>
    </w:lvl>
  </w:abstractNum>
  <w:abstractNum w:abstractNumId="86454">
    <w:lvl>
      <w:start w:val="8"/>
      <w:numFmt w:val="lowerLetter"/>
      <w:suff w:val="tab"/>
      <w:lvlText w:val="%1."/>
      <w:rPr>
        <w:color w:val="3370ff"/>
      </w:rPr>
    </w:lvl>
  </w:abstractNum>
  <w:abstractNum w:abstractNumId="86455">
    <w:lvl>
      <w:start w:val="9"/>
      <w:numFmt w:val="lowerLetter"/>
      <w:suff w:val="tab"/>
      <w:lvlText w:val="%1."/>
      <w:rPr>
        <w:color w:val="3370ff"/>
      </w:rPr>
    </w:lvl>
  </w:abstractNum>
  <w:abstractNum w:abstractNumId="86456">
    <w:lvl>
      <w:start w:val="10"/>
      <w:numFmt w:val="lowerLetter"/>
      <w:suff w:val="tab"/>
      <w:lvlText w:val="%1."/>
      <w:rPr>
        <w:color w:val="3370ff"/>
      </w:rPr>
    </w:lvl>
  </w:abstractNum>
  <w:abstractNum w:abstractNumId="86457">
    <w:lvl>
      <w:start w:val="11"/>
      <w:numFmt w:val="lowerLetter"/>
      <w:suff w:val="tab"/>
      <w:lvlText w:val="%1."/>
      <w:rPr>
        <w:color w:val="3370ff"/>
      </w:rPr>
    </w:lvl>
  </w:abstractNum>
  <w:abstractNum w:abstractNumId="86458">
    <w:lvl>
      <w:start w:val="1"/>
      <w:numFmt w:val="lowerLetter"/>
      <w:suff w:val="tab"/>
      <w:lvlText w:val="%1."/>
      <w:rPr>
        <w:color w:val="3370ff"/>
      </w:rPr>
    </w:lvl>
  </w:abstractNum>
  <w:abstractNum w:abstractNumId="86459">
    <w:lvl>
      <w:start w:val="1"/>
      <w:numFmt w:val="lowerLetter"/>
      <w:suff w:val="tab"/>
      <w:lvlText w:val="%1."/>
      <w:rPr>
        <w:color w:val="3370ff"/>
      </w:rPr>
    </w:lvl>
  </w:abstractNum>
  <w:abstractNum w:abstractNumId="86460">
    <w:lvl>
      <w:start w:val="2"/>
      <w:numFmt w:val="lowerLetter"/>
      <w:suff w:val="tab"/>
      <w:lvlText w:val="%1."/>
      <w:rPr>
        <w:color w:val="3370ff"/>
      </w:rPr>
    </w:lvl>
  </w:abstractNum>
  <w:abstractNum w:abstractNumId="86461">
    <w:lvl>
      <w:start w:val="2"/>
      <w:numFmt w:val="lowerLetter"/>
      <w:suff w:val="tab"/>
      <w:lvlText w:val="%1."/>
      <w:rPr>
        <w:color w:val="3370ff"/>
      </w:rPr>
    </w:lvl>
  </w:abstractNum>
  <w:abstractNum w:abstractNumId="86462">
    <w:lvl>
      <w:start w:val="1"/>
      <w:numFmt w:val="lowerRoman"/>
      <w:suff w:val="tab"/>
      <w:lvlText w:val="%1."/>
      <w:rPr>
        <w:color w:val="3370ff"/>
      </w:rPr>
    </w:lvl>
  </w:abstractNum>
  <w:abstractNum w:abstractNumId="86463">
    <w:lvl>
      <w:start w:val="3"/>
      <w:numFmt w:val="lowerLetter"/>
      <w:suff w:val="tab"/>
      <w:lvlText w:val="%1."/>
      <w:rPr>
        <w:color w:val="3370ff"/>
      </w:rPr>
    </w:lvl>
  </w:abstractNum>
  <w:abstractNum w:abstractNumId="86464">
    <w:lvl>
      <w:start w:val="4"/>
      <w:numFmt w:val="lowerLetter"/>
      <w:suff w:val="tab"/>
      <w:lvlText w:val="%1."/>
      <w:rPr>
        <w:color w:val="3370ff"/>
      </w:rPr>
    </w:lvl>
  </w:abstractNum>
  <w:abstractNum w:abstractNumId="86465">
    <w:lvl>
      <w:start w:val="5"/>
      <w:numFmt w:val="lowerLetter"/>
      <w:suff w:val="tab"/>
      <w:lvlText w:val="%1."/>
      <w:rPr>
        <w:color w:val="3370ff"/>
      </w:rPr>
    </w:lvl>
  </w:abstractNum>
  <w:abstractNum w:abstractNumId="86466">
    <w:lvl>
      <w:start w:val="6"/>
      <w:numFmt w:val="lowerLetter"/>
      <w:suff w:val="tab"/>
      <w:lvlText w:val="%1."/>
      <w:rPr>
        <w:color w:val="3370ff"/>
      </w:rPr>
    </w:lvl>
  </w:abstractNum>
  <w:abstractNum w:abstractNumId="86467">
    <w:lvl>
      <w:start w:val="7"/>
      <w:numFmt w:val="lowerLetter"/>
      <w:suff w:val="tab"/>
      <w:lvlText w:val="%1."/>
      <w:rPr>
        <w:color w:val="3370ff"/>
      </w:rPr>
    </w:lvl>
  </w:abstractNum>
  <w:abstractNum w:abstractNumId="86468">
    <w:lvl>
      <w:start w:val="8"/>
      <w:numFmt w:val="lowerLetter"/>
      <w:suff w:val="tab"/>
      <w:lvlText w:val="%1."/>
      <w:rPr>
        <w:color w:val="3370ff"/>
      </w:rPr>
    </w:lvl>
  </w:abstractNum>
  <w:abstractNum w:abstractNumId="86469">
    <w:lvl>
      <w:start w:val="9"/>
      <w:numFmt w:val="lowerLetter"/>
      <w:suff w:val="tab"/>
      <w:lvlText w:val="%1."/>
      <w:rPr>
        <w:color w:val="3370ff"/>
      </w:rPr>
    </w:lvl>
  </w:abstractNum>
  <w:abstractNum w:abstractNumId="86470">
    <w:lvl>
      <w:start w:val="10"/>
      <w:numFmt w:val="lowerLetter"/>
      <w:suff w:val="tab"/>
      <w:lvlText w:val="%1."/>
      <w:rPr>
        <w:color w:val="3370ff"/>
      </w:rPr>
    </w:lvl>
  </w:abstractNum>
  <w:abstractNum w:abstractNumId="86471">
    <w:lvl>
      <w:start w:val="11"/>
      <w:numFmt w:val="lowerLetter"/>
      <w:suff w:val="tab"/>
      <w:lvlText w:val="%1."/>
      <w:rPr>
        <w:color w:val="3370ff"/>
      </w:rPr>
    </w:lvl>
  </w:abstractNum>
  <w:abstractNum w:abstractNumId="86472">
    <w:lvl>
      <w:start w:val="12"/>
      <w:numFmt w:val="lowerLetter"/>
      <w:suff w:val="tab"/>
      <w:lvlText w:val="%1."/>
      <w:rPr>
        <w:color w:val="3370ff"/>
      </w:rPr>
    </w:lvl>
  </w:abstractNum>
  <w:abstractNum w:abstractNumId="86473">
    <w:lvl>
      <w:start w:val="13"/>
      <w:numFmt w:val="lowerLetter"/>
      <w:suff w:val="tab"/>
      <w:lvlText w:val="%1."/>
      <w:rPr>
        <w:color w:val="3370ff"/>
      </w:rPr>
    </w:lvl>
  </w:abstractNum>
  <w:abstractNum w:abstractNumId="86474">
    <w:lvl>
      <w:start w:val="14"/>
      <w:numFmt w:val="lowerLetter"/>
      <w:suff w:val="tab"/>
      <w:lvlText w:val="%1."/>
      <w:rPr>
        <w:color w:val="3370ff"/>
      </w:rPr>
    </w:lvl>
  </w:abstractNum>
  <w:abstractNum w:abstractNumId="86475">
    <w:lvl>
      <w:start w:val="1"/>
      <w:numFmt w:val="lowerLetter"/>
      <w:suff w:val="tab"/>
      <w:lvlText w:val="%1."/>
      <w:rPr>
        <w:color w:val="3370ff"/>
      </w:rPr>
    </w:lvl>
  </w:abstractNum>
  <w:abstractNum w:abstractNumId="86476">
    <w:lvl>
      <w:start w:val="1"/>
      <w:numFmt w:val="lowerRoman"/>
      <w:suff w:val="tab"/>
      <w:lvlText w:val="%1."/>
      <w:rPr>
        <w:color w:val="3370ff"/>
      </w:rPr>
    </w:lvl>
  </w:abstractNum>
  <w:abstractNum w:abstractNumId="86477">
    <w:lvl>
      <w:start w:val="1"/>
      <w:numFmt w:val="lowerLetter"/>
      <w:suff w:val="tab"/>
      <w:lvlText w:val="%1."/>
      <w:rPr>
        <w:color w:val="3370ff"/>
      </w:rPr>
    </w:lvl>
  </w:abstractNum>
  <w:abstractNum w:abstractNumId="86478">
    <w:lvl>
      <w:start w:val="2"/>
      <w:numFmt w:val="lowerLetter"/>
      <w:suff w:val="tab"/>
      <w:lvlText w:val="%1."/>
      <w:rPr>
        <w:color w:val="3370ff"/>
      </w:rPr>
    </w:lvl>
  </w:abstractNum>
  <w:abstractNum w:abstractNumId="86479">
    <w:lvl>
      <w:start w:val="1"/>
      <w:numFmt w:val="decimal"/>
      <w:suff w:val="tab"/>
      <w:lvlText w:val="%1."/>
      <w:rPr>
        <w:color w:val="3370ff"/>
      </w:rPr>
    </w:lvl>
  </w:abstractNum>
  <w:abstractNum w:abstractNumId="86480">
    <w:lvl>
      <w:start w:val="2"/>
      <w:numFmt w:val="decimal"/>
      <w:suff w:val="tab"/>
      <w:lvlText w:val="%1."/>
      <w:rPr>
        <w:color w:val="3370ff"/>
      </w:rPr>
    </w:lvl>
  </w:abstractNum>
  <w:abstractNum w:abstractNumId="86481">
    <w:lvl>
      <w:start w:val="1"/>
      <w:numFmt w:val="decimal"/>
      <w:suff w:val="tab"/>
      <w:lvlText w:val="%1."/>
      <w:rPr>
        <w:color w:val="3370ff"/>
      </w:rPr>
    </w:lvl>
  </w:abstractNum>
  <w:abstractNum w:abstractNumId="86482">
    <w:lvl>
      <w:start w:val="2"/>
      <w:numFmt w:val="decimal"/>
      <w:suff w:val="tab"/>
      <w:lvlText w:val="%1."/>
      <w:rPr>
        <w:color w:val="3370ff"/>
      </w:rPr>
    </w:lvl>
  </w:abstractNum>
  <w:abstractNum w:abstractNumId="86483">
    <w:lvl>
      <w:start w:val="3"/>
      <w:numFmt w:val="decimal"/>
      <w:suff w:val="tab"/>
      <w:lvlText w:val="%1."/>
      <w:rPr>
        <w:color w:val="3370ff"/>
      </w:rPr>
    </w:lvl>
  </w:abstractNum>
  <w:abstractNum w:abstractNumId="86484">
    <w:lvl>
      <w:start w:val="4"/>
      <w:numFmt w:val="decimal"/>
      <w:suff w:val="tab"/>
      <w:lvlText w:val="%1."/>
      <w:rPr>
        <w:color w:val="3370ff"/>
      </w:rPr>
    </w:lvl>
  </w:abstractNum>
  <w:abstractNum w:abstractNumId="86485">
    <w:lvl>
      <w:start w:val="2"/>
      <w:numFmt w:val="lowerLetter"/>
      <w:suff w:val="tab"/>
      <w:lvlText w:val="%1."/>
      <w:rPr>
        <w:color w:val="3370ff"/>
      </w:rPr>
    </w:lvl>
  </w:abstractNum>
  <w:abstractNum w:abstractNumId="86486">
    <w:lvl>
      <w:start w:val="1"/>
      <w:numFmt w:val="lowerLetter"/>
      <w:suff w:val="tab"/>
      <w:lvlText w:val="%1."/>
      <w:rPr>
        <w:color w:val="3370ff"/>
      </w:rPr>
    </w:lvl>
  </w:abstractNum>
  <w:abstractNum w:abstractNumId="86487">
    <w:lvl>
      <w:start w:val="1"/>
      <w:numFmt w:val="decimal"/>
      <w:suff w:val="tab"/>
      <w:lvlText w:val="%1."/>
      <w:rPr>
        <w:color w:val="3370ff"/>
      </w:rPr>
    </w:lvl>
  </w:abstractNum>
  <w:abstractNum w:abstractNumId="86488">
    <w:lvl>
      <w:start w:val="2"/>
      <w:numFmt w:val="decimal"/>
      <w:suff w:val="tab"/>
      <w:lvlText w:val="%1."/>
      <w:rPr>
        <w:color w:val="3370ff"/>
      </w:rPr>
    </w:lvl>
  </w:abstractNum>
  <w:abstractNum w:abstractNumId="86489">
    <w:lvl>
      <w:start w:val="3"/>
      <w:numFmt w:val="decimal"/>
      <w:suff w:val="tab"/>
      <w:lvlText w:val="%1."/>
      <w:rPr>
        <w:color w:val="3370ff"/>
      </w:rPr>
    </w:lvl>
  </w:abstractNum>
  <w:abstractNum w:abstractNumId="86490">
    <w:lvl>
      <w:start w:val="4"/>
      <w:numFmt w:val="decimal"/>
      <w:suff w:val="tab"/>
      <w:lvlText w:val="%1."/>
      <w:rPr>
        <w:color w:val="3370ff"/>
      </w:rPr>
    </w:lvl>
  </w:abstractNum>
  <w:abstractNum w:abstractNumId="86491">
    <w:lvl>
      <w:start w:val="5"/>
      <w:numFmt w:val="decimal"/>
      <w:suff w:val="tab"/>
      <w:lvlText w:val="%1."/>
      <w:rPr>
        <w:color w:val="3370ff"/>
      </w:rPr>
    </w:lvl>
  </w:abstractNum>
  <w:abstractNum w:abstractNumId="86492">
    <w:lvl>
      <w:start w:val="6"/>
      <w:numFmt w:val="decimal"/>
      <w:suff w:val="tab"/>
      <w:lvlText w:val="%1."/>
      <w:rPr>
        <w:color w:val="3370ff"/>
      </w:rPr>
    </w:lvl>
  </w:abstractNum>
  <w:abstractNum w:abstractNumId="86493">
    <w:lvl>
      <w:start w:val="7"/>
      <w:numFmt w:val="decimal"/>
      <w:suff w:val="tab"/>
      <w:lvlText w:val="%1."/>
      <w:rPr>
        <w:color w:val="3370ff"/>
      </w:rPr>
    </w:lvl>
  </w:abstractNum>
  <w:abstractNum w:abstractNumId="86494">
    <w:lvl>
      <w:start w:val="2"/>
      <w:numFmt w:val="lowerLetter"/>
      <w:suff w:val="tab"/>
      <w:lvlText w:val="%1."/>
      <w:rPr>
        <w:color w:val="3370ff"/>
      </w:rPr>
    </w:lvl>
  </w:abstractNum>
  <w:abstractNum w:abstractNumId="86495">
    <w:lvl>
      <w:start w:val="1"/>
      <w:numFmt w:val="decimal"/>
      <w:suff w:val="tab"/>
      <w:lvlText w:val="%1."/>
      <w:rPr>
        <w:color w:val="3370ff"/>
      </w:rPr>
    </w:lvl>
  </w:abstractNum>
  <w:abstractNum w:abstractNumId="86496">
    <w:lvl>
      <w:start w:val="2"/>
      <w:numFmt w:val="decimal"/>
      <w:suff w:val="tab"/>
      <w:lvlText w:val="%1."/>
      <w:rPr>
        <w:color w:val="3370ff"/>
      </w:rPr>
    </w:lvl>
  </w:abstractNum>
  <w:abstractNum w:abstractNumId="86497">
    <w:lvl>
      <w:start w:val="3"/>
      <w:numFmt w:val="decimal"/>
      <w:suff w:val="tab"/>
      <w:lvlText w:val="%1."/>
      <w:rPr>
        <w:color w:val="3370ff"/>
      </w:rPr>
    </w:lvl>
  </w:abstractNum>
  <w:abstractNum w:abstractNumId="86498">
    <w:lvl>
      <w:start w:val="4"/>
      <w:numFmt w:val="decimal"/>
      <w:suff w:val="tab"/>
      <w:lvlText w:val="%1."/>
      <w:rPr>
        <w:color w:val="3370ff"/>
      </w:rPr>
    </w:lvl>
  </w:abstractNum>
  <w:abstractNum w:abstractNumId="86499">
    <w:lvl>
      <w:start w:val="1"/>
      <w:numFmt w:val="decimal"/>
      <w:suff w:val="tab"/>
      <w:lvlText w:val="%1."/>
      <w:rPr>
        <w:color w:val="3370ff"/>
      </w:rPr>
    </w:lvl>
  </w:abstractNum>
  <w:abstractNum w:abstractNumId="86500">
    <w:lvl>
      <w:start w:val="2"/>
      <w:numFmt w:val="decimal"/>
      <w:suff w:val="tab"/>
      <w:lvlText w:val="%1."/>
      <w:rPr>
        <w:color w:val="3370ff"/>
      </w:rPr>
    </w:lvl>
  </w:abstractNum>
  <w:abstractNum w:abstractNumId="86501">
    <w:lvl>
      <w:start w:val="3"/>
      <w:numFmt w:val="decimal"/>
      <w:suff w:val="tab"/>
      <w:lvlText w:val="%1."/>
      <w:rPr>
        <w:color w:val="3370ff"/>
      </w:rPr>
    </w:lvl>
  </w:abstractNum>
  <w:abstractNum w:abstractNumId="86502">
    <w:lvl>
      <w:start w:val="4"/>
      <w:numFmt w:val="decimal"/>
      <w:suff w:val="tab"/>
      <w:lvlText w:val="%1."/>
      <w:rPr>
        <w:color w:val="3370ff"/>
      </w:rPr>
    </w:lvl>
  </w:abstractNum>
  <w:abstractNum w:abstractNumId="86503">
    <w:lvl>
      <w:start w:val="3"/>
      <w:numFmt w:val="lowerLetter"/>
      <w:suff w:val="tab"/>
      <w:lvlText w:val="%1."/>
      <w:rPr>
        <w:color w:val="3370ff"/>
      </w:rPr>
    </w:lvl>
  </w:abstractNum>
  <w:abstractNum w:abstractNumId="86504">
    <w:lvl>
      <w:start w:val="1"/>
      <w:numFmt w:val="decimal"/>
      <w:suff w:val="tab"/>
      <w:lvlText w:val="%1."/>
      <w:rPr>
        <w:color w:val="3370ff"/>
      </w:rPr>
    </w:lvl>
  </w:abstractNum>
  <w:abstractNum w:abstractNumId="86505">
    <w:lvl>
      <w:start w:val="2"/>
      <w:numFmt w:val="decimal"/>
      <w:suff w:val="tab"/>
      <w:lvlText w:val="%1."/>
      <w:rPr>
        <w:color w:val="3370ff"/>
      </w:rPr>
    </w:lvl>
  </w:abstractNum>
  <w:abstractNum w:abstractNumId="86506">
    <w:lvl>
      <w:start w:val="3"/>
      <w:numFmt w:val="decimal"/>
      <w:suff w:val="tab"/>
      <w:lvlText w:val="%1."/>
      <w:rPr>
        <w:color w:val="3370ff"/>
      </w:rPr>
    </w:lvl>
  </w:abstractNum>
  <w:abstractNum w:abstractNumId="86507">
    <w:lvl>
      <w:start w:val="4"/>
      <w:numFmt w:val="decimal"/>
      <w:suff w:val="tab"/>
      <w:lvlText w:val="%1."/>
      <w:rPr>
        <w:color w:val="3370ff"/>
      </w:rPr>
    </w:lvl>
  </w:abstractNum>
  <w:abstractNum w:abstractNumId="86508">
    <w:lvl>
      <w:start w:val="4"/>
      <w:numFmt w:val="lowerLetter"/>
      <w:suff w:val="tab"/>
      <w:lvlText w:val="%1."/>
      <w:rPr>
        <w:color w:val="3370ff"/>
      </w:rPr>
    </w:lvl>
  </w:abstractNum>
  <w:abstractNum w:abstractNumId="86509">
    <w:lvl>
      <w:start w:val="1"/>
      <w:numFmt w:val="decimal"/>
      <w:suff w:val="tab"/>
      <w:lvlText w:val="%1."/>
      <w:rPr>
        <w:color w:val="3370ff"/>
      </w:rPr>
    </w:lvl>
  </w:abstractNum>
  <w:abstractNum w:abstractNumId="86510">
    <w:lvl>
      <w:start w:val="2"/>
      <w:numFmt w:val="decimal"/>
      <w:suff w:val="tab"/>
      <w:lvlText w:val="%1."/>
      <w:rPr>
        <w:color w:val="3370ff"/>
      </w:rPr>
    </w:lvl>
  </w:abstractNum>
  <w:abstractNum w:abstractNumId="86511">
    <w:lvl>
      <w:start w:val="3"/>
      <w:numFmt w:val="decimal"/>
      <w:suff w:val="tab"/>
      <w:lvlText w:val="%1."/>
      <w:rPr>
        <w:color w:val="3370ff"/>
      </w:rPr>
    </w:lvl>
  </w:abstractNum>
  <w:abstractNum w:abstractNumId="86512">
    <w:lvl>
      <w:start w:val="4"/>
      <w:numFmt w:val="decimal"/>
      <w:suff w:val="tab"/>
      <w:lvlText w:val="%1."/>
      <w:rPr>
        <w:color w:val="3370ff"/>
      </w:rPr>
    </w:lvl>
  </w:abstractNum>
  <w:abstractNum w:abstractNumId="86513">
    <w:lvl>
      <w:start w:val="5"/>
      <w:numFmt w:val="lowerLetter"/>
      <w:suff w:val="tab"/>
      <w:lvlText w:val="%1."/>
      <w:rPr>
        <w:color w:val="3370ff"/>
      </w:rPr>
    </w:lvl>
  </w:abstractNum>
  <w:abstractNum w:abstractNumId="86514">
    <w:lvl>
      <w:start w:val="1"/>
      <w:numFmt w:val="decimal"/>
      <w:suff w:val="tab"/>
      <w:lvlText w:val="%1."/>
      <w:rPr>
        <w:color w:val="3370ff"/>
      </w:rPr>
    </w:lvl>
  </w:abstractNum>
  <w:abstractNum w:abstractNumId="86515">
    <w:lvl>
      <w:start w:val="2"/>
      <w:numFmt w:val="decimal"/>
      <w:suff w:val="tab"/>
      <w:lvlText w:val="%1."/>
      <w:rPr>
        <w:color w:val="3370ff"/>
      </w:rPr>
    </w:lvl>
  </w:abstractNum>
  <w:abstractNum w:abstractNumId="86516">
    <w:lvl>
      <w:start w:val="3"/>
      <w:numFmt w:val="decimal"/>
      <w:suff w:val="tab"/>
      <w:lvlText w:val="%1."/>
      <w:rPr>
        <w:color w:val="3370ff"/>
      </w:rPr>
    </w:lvl>
  </w:abstractNum>
  <w:abstractNum w:abstractNumId="86517">
    <w:lvl>
      <w:start w:val="4"/>
      <w:numFmt w:val="decimal"/>
      <w:suff w:val="tab"/>
      <w:lvlText w:val="%1."/>
      <w:rPr>
        <w:color w:val="3370ff"/>
      </w:rPr>
    </w:lvl>
  </w:abstractNum>
  <w:abstractNum w:abstractNumId="86518">
    <w:lvl>
      <w:start w:val="6"/>
      <w:numFmt w:val="lowerLetter"/>
      <w:suff w:val="tab"/>
      <w:lvlText w:val="%1."/>
      <w:rPr>
        <w:color w:val="3370ff"/>
      </w:rPr>
    </w:lvl>
  </w:abstractNum>
  <w:abstractNum w:abstractNumId="86519">
    <w:lvl>
      <w:start w:val="1"/>
      <w:numFmt w:val="decimal"/>
      <w:suff w:val="tab"/>
      <w:lvlText w:val="%1."/>
      <w:rPr>
        <w:color w:val="3370ff"/>
      </w:rPr>
    </w:lvl>
  </w:abstractNum>
  <w:abstractNum w:abstractNumId="86520">
    <w:lvl>
      <w:start w:val="2"/>
      <w:numFmt w:val="decimal"/>
      <w:suff w:val="tab"/>
      <w:lvlText w:val="%1."/>
      <w:rPr>
        <w:color w:val="3370ff"/>
      </w:rPr>
    </w:lvl>
  </w:abstractNum>
  <w:abstractNum w:abstractNumId="86521">
    <w:lvl>
      <w:start w:val="7"/>
      <w:numFmt w:val="lowerLetter"/>
      <w:suff w:val="tab"/>
      <w:lvlText w:val="%1."/>
      <w:rPr>
        <w:color w:val="3370ff"/>
      </w:rPr>
    </w:lvl>
  </w:abstractNum>
  <w:abstractNum w:abstractNumId="86522">
    <w:lvl>
      <w:start w:val="1"/>
      <w:numFmt w:val="decimal"/>
      <w:suff w:val="tab"/>
      <w:lvlText w:val="%1."/>
      <w:rPr>
        <w:color w:val="3370ff"/>
      </w:rPr>
    </w:lvl>
  </w:abstractNum>
  <w:abstractNum w:abstractNumId="86523">
    <w:lvl>
      <w:start w:val="2"/>
      <w:numFmt w:val="decimal"/>
      <w:suff w:val="tab"/>
      <w:lvlText w:val="%1."/>
      <w:rPr>
        <w:color w:val="3370ff"/>
      </w:rPr>
    </w:lvl>
  </w:abstractNum>
  <w:abstractNum w:abstractNumId="86524">
    <w:lvl>
      <w:start w:val="3"/>
      <w:numFmt w:val="decimal"/>
      <w:suff w:val="tab"/>
      <w:lvlText w:val="%1."/>
      <w:rPr>
        <w:color w:val="3370ff"/>
      </w:rPr>
    </w:lvl>
  </w:abstractNum>
  <w:abstractNum w:abstractNumId="86525">
    <w:lvl>
      <w:start w:val="4"/>
      <w:numFmt w:val="decimal"/>
      <w:suff w:val="tab"/>
      <w:lvlText w:val="%1."/>
      <w:rPr>
        <w:color w:val="3370ff"/>
      </w:rPr>
    </w:lvl>
  </w:abstractNum>
  <w:abstractNum w:abstractNumId="86526">
    <w:lvl>
      <w:start w:val="5"/>
      <w:numFmt w:val="decimal"/>
      <w:suff w:val="tab"/>
      <w:lvlText w:val="%1."/>
      <w:rPr>
        <w:color w:val="3370ff"/>
      </w:rPr>
    </w:lvl>
  </w:abstractNum>
  <w:abstractNum w:abstractNumId="86527">
    <w:lvl>
      <w:start w:val="1"/>
      <w:numFmt w:val="decimal"/>
      <w:suff w:val="tab"/>
      <w:lvlText w:val="%1."/>
      <w:rPr>
        <w:color w:val="3370ff"/>
      </w:rPr>
    </w:lvl>
  </w:abstractNum>
  <w:abstractNum w:abstractNumId="86528">
    <w:lvl>
      <w:start w:val="2"/>
      <w:numFmt w:val="decimal"/>
      <w:suff w:val="tab"/>
      <w:lvlText w:val="%1."/>
      <w:rPr>
        <w:color w:val="3370ff"/>
      </w:rPr>
    </w:lvl>
  </w:abstractNum>
  <w:abstractNum w:abstractNumId="86529">
    <w:lvl>
      <w:start w:val="3"/>
      <w:numFmt w:val="decimal"/>
      <w:suff w:val="tab"/>
      <w:lvlText w:val="%1."/>
      <w:rPr>
        <w:color w:val="3370ff"/>
      </w:rPr>
    </w:lvl>
  </w:abstractNum>
  <w:abstractNum w:abstractNumId="86530">
    <w:lvl>
      <w:start w:val="4"/>
      <w:numFmt w:val="decimal"/>
      <w:suff w:val="tab"/>
      <w:lvlText w:val="%1."/>
      <w:rPr>
        <w:color w:val="3370ff"/>
      </w:rPr>
    </w:lvl>
  </w:abstractNum>
  <w:abstractNum w:abstractNumId="86531">
    <w:lvl>
      <w:start w:val="5"/>
      <w:numFmt w:val="decimal"/>
      <w:suff w:val="tab"/>
      <w:lvlText w:val="%1."/>
      <w:rPr>
        <w:color w:val="3370ff"/>
      </w:rPr>
    </w:lvl>
  </w:abstractNum>
  <w:abstractNum w:abstractNumId="86532">
    <w:lvl>
      <w:start w:val="1"/>
      <w:numFmt w:val="decimal"/>
      <w:suff w:val="tab"/>
      <w:lvlText w:val="%1."/>
      <w:rPr>
        <w:color w:val="3370ff"/>
      </w:rPr>
    </w:lvl>
  </w:abstractNum>
  <w:abstractNum w:abstractNumId="86533">
    <w:lvl>
      <w:start w:val="2"/>
      <w:numFmt w:val="decimal"/>
      <w:suff w:val="tab"/>
      <w:lvlText w:val="%1."/>
      <w:rPr>
        <w:color w:val="3370ff"/>
      </w:rPr>
    </w:lvl>
  </w:abstractNum>
  <w:abstractNum w:abstractNumId="86534">
    <w:lvl>
      <w:start w:val="3"/>
      <w:numFmt w:val="decimal"/>
      <w:suff w:val="tab"/>
      <w:lvlText w:val="%1."/>
      <w:rPr>
        <w:color w:val="3370ff"/>
      </w:rPr>
    </w:lvl>
  </w:abstractNum>
  <w:abstractNum w:abstractNumId="86535">
    <w:lvl>
      <w:start w:val="4"/>
      <w:numFmt w:val="decimal"/>
      <w:suff w:val="tab"/>
      <w:lvlText w:val="%1."/>
      <w:rPr>
        <w:color w:val="3370ff"/>
      </w:rPr>
    </w:lvl>
  </w:abstractNum>
  <w:abstractNum w:abstractNumId="86536">
    <w:lvl>
      <w:start w:val="1"/>
      <w:numFmt w:val="decimal"/>
      <w:suff w:val="tab"/>
      <w:lvlText w:val="%1."/>
      <w:rPr>
        <w:color w:val="3370ff"/>
      </w:rPr>
    </w:lvl>
  </w:abstractNum>
  <w:abstractNum w:abstractNumId="86537">
    <w:lvl>
      <w:start w:val="2"/>
      <w:numFmt w:val="decimal"/>
      <w:suff w:val="tab"/>
      <w:lvlText w:val="%1."/>
      <w:rPr>
        <w:color w:val="3370ff"/>
      </w:rPr>
    </w:lvl>
  </w:abstractNum>
  <w:abstractNum w:abstractNumId="86538">
    <w:lvl>
      <w:start w:val="3"/>
      <w:numFmt w:val="decimal"/>
      <w:suff w:val="tab"/>
      <w:lvlText w:val="%1."/>
      <w:rPr>
        <w:color w:val="3370ff"/>
      </w:rPr>
    </w:lvl>
  </w:abstractNum>
  <w:abstractNum w:abstractNumId="86539">
    <w:lvl>
      <w:start w:val="4"/>
      <w:numFmt w:val="decimal"/>
      <w:suff w:val="tab"/>
      <w:lvlText w:val="%1."/>
      <w:rPr>
        <w:color w:val="3370ff"/>
      </w:rPr>
    </w:lvl>
  </w:abstractNum>
  <w:abstractNum w:abstractNumId="86540">
    <w:lvl>
      <w:start w:val="1"/>
      <w:numFmt w:val="decimal"/>
      <w:suff w:val="tab"/>
      <w:lvlText w:val="%1."/>
      <w:rPr>
        <w:color w:val="3370ff"/>
      </w:rPr>
    </w:lvl>
  </w:abstractNum>
  <w:abstractNum w:abstractNumId="86541">
    <w:lvl>
      <w:start w:val="2"/>
      <w:numFmt w:val="decimal"/>
      <w:suff w:val="tab"/>
      <w:lvlText w:val="%1."/>
      <w:rPr>
        <w:color w:val="3370ff"/>
      </w:rPr>
    </w:lvl>
  </w:abstractNum>
  <w:abstractNum w:abstractNumId="86542">
    <w:lvl>
      <w:numFmt w:val="bullet"/>
      <w:suff w:val="tab"/>
      <w:lvlText w:val="•"/>
      <w:rPr>
        <w:color w:val="3370ff"/>
      </w:rPr>
    </w:lvl>
  </w:abstractNum>
  <w:abstractNum w:abstractNumId="86543">
    <w:lvl>
      <w:numFmt w:val="bullet"/>
      <w:suff w:val="tab"/>
      <w:lvlText w:val="•"/>
      <w:rPr>
        <w:color w:val="3370ff"/>
      </w:rPr>
    </w:lvl>
  </w:abstractNum>
  <w:abstractNum w:abstractNumId="86544">
    <w:lvl>
      <w:numFmt w:val="bullet"/>
      <w:suff w:val="tab"/>
      <w:lvlText w:val="•"/>
      <w:rPr>
        <w:color w:val="3370ff"/>
      </w:rPr>
    </w:lvl>
  </w:abstractNum>
  <w:abstractNum w:abstractNumId="86545">
    <w:lvl>
      <w:numFmt w:val="bullet"/>
      <w:suff w:val="tab"/>
      <w:lvlText w:val="•"/>
      <w:rPr>
        <w:color w:val="3370ff"/>
      </w:rPr>
    </w:lvl>
  </w:abstractNum>
  <w:abstractNum w:abstractNumId="86546">
    <w:lvl>
      <w:start w:val="3"/>
      <w:numFmt w:val="decimal"/>
      <w:suff w:val="tab"/>
      <w:lvlText w:val="%1."/>
      <w:rPr>
        <w:color w:val="3370ff"/>
      </w:rPr>
    </w:lvl>
  </w:abstractNum>
  <w:abstractNum w:abstractNumId="86547">
    <w:lvl>
      <w:start w:val="4"/>
      <w:numFmt w:val="decimal"/>
      <w:suff w:val="tab"/>
      <w:lvlText w:val="%1."/>
      <w:rPr>
        <w:color w:val="3370ff"/>
      </w:rPr>
    </w:lvl>
  </w:abstractNum>
  <w:abstractNum w:abstractNumId="86548">
    <w:lvl>
      <w:start w:val="5"/>
      <w:numFmt w:val="decimal"/>
      <w:suff w:val="tab"/>
      <w:lvlText w:val="%1."/>
      <w:rPr>
        <w:color w:val="3370ff"/>
      </w:rPr>
    </w:lvl>
  </w:abstractNum>
  <w:abstractNum w:abstractNumId="86549">
    <w:lvl>
      <w:start w:val="1"/>
      <w:numFmt w:val="lowerLetter"/>
      <w:suff w:val="tab"/>
      <w:lvlText w:val="%1."/>
      <w:rPr>
        <w:color w:val="3370ff"/>
      </w:rPr>
    </w:lvl>
  </w:abstractNum>
  <w:abstractNum w:abstractNumId="86550">
    <w:lvl>
      <w:start w:val="2"/>
      <w:numFmt w:val="lowerLetter"/>
      <w:suff w:val="tab"/>
      <w:lvlText w:val="%1."/>
      <w:rPr>
        <w:color w:val="3370ff"/>
      </w:rPr>
    </w:lvl>
  </w:abstractNum>
  <w:abstractNum w:abstractNumId="86551">
    <w:lvl>
      <w:start w:val="3"/>
      <w:numFmt w:val="lowerLetter"/>
      <w:suff w:val="tab"/>
      <w:lvlText w:val="%1."/>
      <w:rPr>
        <w:color w:val="3370ff"/>
      </w:rPr>
    </w:lvl>
  </w:abstractNum>
  <w:abstractNum w:abstractNumId="86552">
    <w:lvl>
      <w:start w:val="4"/>
      <w:numFmt w:val="lowerLetter"/>
      <w:suff w:val="tab"/>
      <w:lvlText w:val="%1."/>
      <w:rPr>
        <w:color w:val="3370ff"/>
      </w:rPr>
    </w:lvl>
  </w:abstractNum>
  <w:abstractNum w:abstractNumId="86553">
    <w:lvl>
      <w:start w:val="5"/>
      <w:numFmt w:val="lowerLetter"/>
      <w:suff w:val="tab"/>
      <w:lvlText w:val="%1."/>
      <w:rPr>
        <w:color w:val="3370ff"/>
      </w:rPr>
    </w:lvl>
  </w:abstractNum>
  <w:abstractNum w:abstractNumId="86554">
    <w:lvl>
      <w:start w:val="6"/>
      <w:numFmt w:val="lowerLetter"/>
      <w:suff w:val="tab"/>
      <w:lvlText w:val="%1."/>
      <w:rPr>
        <w:color w:val="3370ff"/>
      </w:rPr>
    </w:lvl>
  </w:abstractNum>
  <w:abstractNum w:abstractNumId="86555">
    <w:lvl>
      <w:start w:val="7"/>
      <w:numFmt w:val="lowerLetter"/>
      <w:suff w:val="tab"/>
      <w:lvlText w:val="%1."/>
      <w:rPr>
        <w:color w:val="3370ff"/>
      </w:rPr>
    </w:lvl>
  </w:abstractNum>
  <w:abstractNum w:abstractNumId="86556">
    <w:lvl>
      <w:start w:val="8"/>
      <w:numFmt w:val="lowerLetter"/>
      <w:suff w:val="tab"/>
      <w:lvlText w:val="%1."/>
      <w:rPr>
        <w:color w:val="3370ff"/>
      </w:rPr>
    </w:lvl>
  </w:abstractNum>
  <w:abstractNum w:abstractNumId="86557">
    <w:lvl>
      <w:start w:val="9"/>
      <w:numFmt w:val="lowerLetter"/>
      <w:suff w:val="tab"/>
      <w:lvlText w:val="%1."/>
      <w:rPr>
        <w:color w:val="3370ff"/>
      </w:rPr>
    </w:lvl>
  </w:abstractNum>
  <w:abstractNum w:abstractNumId="86558">
    <w:lvl>
      <w:start w:val="10"/>
      <w:numFmt w:val="lowerLetter"/>
      <w:suff w:val="tab"/>
      <w:lvlText w:val="%1."/>
      <w:rPr>
        <w:color w:val="3370ff"/>
      </w:rPr>
    </w:lvl>
  </w:abstractNum>
  <w:abstractNum w:abstractNumId="86559">
    <w:lvl>
      <w:start w:val="11"/>
      <w:numFmt w:val="lowerLetter"/>
      <w:suff w:val="tab"/>
      <w:lvlText w:val="%1."/>
      <w:rPr>
        <w:color w:val="3370ff"/>
      </w:rPr>
    </w:lvl>
  </w:abstractNum>
  <w:abstractNum w:abstractNumId="86560">
    <w:lvl>
      <w:start w:val="12"/>
      <w:numFmt w:val="lowerLetter"/>
      <w:suff w:val="tab"/>
      <w:lvlText w:val="%1."/>
      <w:rPr>
        <w:color w:val="3370ff"/>
      </w:rPr>
    </w:lvl>
  </w:abstractNum>
  <w:abstractNum w:abstractNumId="86561">
    <w:lvl>
      <w:start w:val="13"/>
      <w:numFmt w:val="lowerLetter"/>
      <w:suff w:val="tab"/>
      <w:lvlText w:val="%1."/>
      <w:rPr>
        <w:color w:val="3370ff"/>
      </w:rPr>
    </w:lvl>
  </w:abstractNum>
  <w:abstractNum w:abstractNumId="86562">
    <w:lvl>
      <w:start w:val="14"/>
      <w:numFmt w:val="lowerLetter"/>
      <w:suff w:val="tab"/>
      <w:lvlText w:val="%1."/>
      <w:rPr>
        <w:color w:val="3370ff"/>
      </w:rPr>
    </w:lvl>
  </w:abstractNum>
  <w:abstractNum w:abstractNumId="86563">
    <w:lvl>
      <w:start w:val="15"/>
      <w:numFmt w:val="lowerLetter"/>
      <w:suff w:val="tab"/>
      <w:lvlText w:val="%1."/>
      <w:rPr>
        <w:color w:val="3370ff"/>
      </w:rPr>
    </w:lvl>
  </w:abstractNum>
  <w:abstractNum w:abstractNumId="86564">
    <w:lvl>
      <w:start w:val="16"/>
      <w:numFmt w:val="lowerLetter"/>
      <w:suff w:val="tab"/>
      <w:lvlText w:val="%1."/>
      <w:rPr>
        <w:color w:val="3370ff"/>
      </w:rPr>
    </w:lvl>
  </w:abstractNum>
  <w:abstractNum w:abstractNumId="86565">
    <w:lvl>
      <w:start w:val="17"/>
      <w:numFmt w:val="lowerLetter"/>
      <w:suff w:val="tab"/>
      <w:lvlText w:val="%1."/>
      <w:rPr>
        <w:color w:val="3370ff"/>
      </w:rPr>
    </w:lvl>
  </w:abstractNum>
  <w:abstractNum w:abstractNumId="86566">
    <w:lvl>
      <w:start w:val="7"/>
      <w:numFmt w:val="lowerLetter"/>
      <w:suff w:val="tab"/>
      <w:lvlText w:val="%1."/>
      <w:rPr>
        <w:color w:val="3370ff"/>
      </w:rPr>
    </w:lvl>
  </w:abstractNum>
  <w:abstractNum w:abstractNumId="86567">
    <w:lvl>
      <w:start w:val="1"/>
      <w:numFmt w:val="lowerLetter"/>
      <w:suff w:val="tab"/>
      <w:lvlText w:val="%1."/>
      <w:rPr>
        <w:color w:val="3370ff"/>
      </w:rPr>
    </w:lvl>
  </w:abstractNum>
  <w:abstractNum w:abstractNumId="86568">
    <w:lvl>
      <w:start w:val="1"/>
      <w:numFmt w:val="decimal"/>
      <w:suff w:val="tab"/>
      <w:lvlText w:val="%1."/>
      <w:rPr>
        <w:color w:val="3370ff"/>
      </w:rPr>
    </w:lvl>
  </w:abstractNum>
  <w:abstractNum w:abstractNumId="86569">
    <w:lvl>
      <w:start w:val="2"/>
      <w:numFmt w:val="lowerLetter"/>
      <w:suff w:val="tab"/>
      <w:lvlText w:val="%1."/>
      <w:rPr>
        <w:color w:val="3370ff"/>
      </w:rPr>
    </w:lvl>
  </w:abstractNum>
  <w:abstractNum w:abstractNumId="86570">
    <w:lvl>
      <w:start w:val="3"/>
      <w:numFmt w:val="lowerLetter"/>
      <w:suff w:val="tab"/>
      <w:lvlText w:val="%1."/>
      <w:rPr>
        <w:color w:val="3370ff"/>
      </w:rPr>
    </w:lvl>
  </w:abstractNum>
  <w:abstractNum w:abstractNumId="86571">
    <w:lvl>
      <w:start w:val="1"/>
      <w:numFmt w:val="lowerRoman"/>
      <w:suff w:val="tab"/>
      <w:lvlText w:val="%1."/>
      <w:rPr>
        <w:color w:val="3370ff"/>
      </w:rPr>
    </w:lvl>
  </w:abstractNum>
  <w:abstractNum w:abstractNumId="86572">
    <w:lvl>
      <w:start w:val="2"/>
      <w:numFmt w:val="lowerRoman"/>
      <w:suff w:val="tab"/>
      <w:lvlText w:val="%1."/>
      <w:rPr>
        <w:color w:val="3370ff"/>
      </w:rPr>
    </w:lvl>
  </w:abstractNum>
  <w:abstractNum w:abstractNumId="86573">
    <w:lvl>
      <w:start w:val="1"/>
      <w:numFmt w:val="decimal"/>
      <w:suff w:val="tab"/>
      <w:lvlText w:val="%1."/>
      <w:rPr>
        <w:color w:val="3370ff"/>
      </w:rPr>
    </w:lvl>
  </w:abstractNum>
  <w:abstractNum w:abstractNumId="86574">
    <w:lvl>
      <w:start w:val="2"/>
      <w:numFmt w:val="decimal"/>
      <w:suff w:val="tab"/>
      <w:lvlText w:val="%1."/>
      <w:rPr>
        <w:color w:val="3370ff"/>
      </w:rPr>
    </w:lvl>
  </w:abstractNum>
  <w:abstractNum w:abstractNumId="86575">
    <w:lvl>
      <w:start w:val="1"/>
      <w:numFmt w:val="decimal"/>
      <w:suff w:val="tab"/>
      <w:lvlText w:val="%1."/>
      <w:rPr>
        <w:color w:val="3370ff"/>
      </w:rPr>
    </w:lvl>
  </w:abstractNum>
  <w:abstractNum w:abstractNumId="86576">
    <w:lvl>
      <w:start w:val="2"/>
      <w:numFmt w:val="decimal"/>
      <w:suff w:val="tab"/>
      <w:lvlText w:val="%1."/>
      <w:rPr>
        <w:color w:val="3370ff"/>
      </w:rPr>
    </w:lvl>
  </w:abstractNum>
  <w:abstractNum w:abstractNumId="86577">
    <w:lvl>
      <w:start w:val="1"/>
      <w:numFmt w:val="decimal"/>
      <w:suff w:val="tab"/>
      <w:lvlText w:val="%1."/>
      <w:rPr>
        <w:color w:val="3370ff"/>
      </w:rPr>
    </w:lvl>
  </w:abstractNum>
  <w:abstractNum w:abstractNumId="86578">
    <w:lvl>
      <w:start w:val="2"/>
      <w:numFmt w:val="decimal"/>
      <w:suff w:val="tab"/>
      <w:lvlText w:val="%1."/>
      <w:rPr>
        <w:color w:val="3370ff"/>
      </w:rPr>
    </w:lvl>
  </w:abstractNum>
  <w:abstractNum w:abstractNumId="86579">
    <w:lvl>
      <w:start w:val="1"/>
      <w:numFmt w:val="lowerLetter"/>
      <w:suff w:val="tab"/>
      <w:lvlText w:val="%1."/>
      <w:rPr>
        <w:color w:val="3370ff"/>
      </w:rPr>
    </w:lvl>
  </w:abstractNum>
  <w:abstractNum w:abstractNumId="86580">
    <w:lvl>
      <w:start w:val="2"/>
      <w:numFmt w:val="lowerLetter"/>
      <w:suff w:val="tab"/>
      <w:lvlText w:val="%1."/>
      <w:rPr>
        <w:color w:val="3370ff"/>
      </w:rPr>
    </w:lvl>
  </w:abstractNum>
  <w:abstractNum w:abstractNumId="86581">
    <w:lvl>
      <w:start w:val="3"/>
      <w:numFmt w:val="lowerLetter"/>
      <w:suff w:val="tab"/>
      <w:lvlText w:val="%1."/>
      <w:rPr>
        <w:color w:val="3370ff"/>
      </w:rPr>
    </w:lvl>
  </w:abstractNum>
  <w:abstractNum w:abstractNumId="86582">
    <w:lvl>
      <w:start w:val="1"/>
      <w:numFmt w:val="lowerLetter"/>
      <w:suff w:val="tab"/>
      <w:lvlText w:val="%1."/>
      <w:rPr>
        <w:color w:val="3370ff"/>
      </w:rPr>
    </w:lvl>
  </w:abstractNum>
  <w:abstractNum w:abstractNumId="86583">
    <w:lvl>
      <w:start w:val="2"/>
      <w:numFmt w:val="lowerLetter"/>
      <w:suff w:val="tab"/>
      <w:lvlText w:val="%1."/>
      <w:rPr>
        <w:color w:val="3370ff"/>
      </w:rPr>
    </w:lvl>
  </w:abstractNum>
  <w:abstractNum w:abstractNumId="86584">
    <w:lvl>
      <w:start w:val="3"/>
      <w:numFmt w:val="lowerLetter"/>
      <w:suff w:val="tab"/>
      <w:lvlText w:val="%1."/>
      <w:rPr>
        <w:color w:val="3370ff"/>
      </w:rPr>
    </w:lvl>
  </w:abstractNum>
  <w:abstractNum w:abstractNumId="86585">
    <w:lvl>
      <w:start w:val="4"/>
      <w:numFmt w:val="lowerLetter"/>
      <w:suff w:val="tab"/>
      <w:lvlText w:val="%1."/>
      <w:rPr>
        <w:color w:val="3370ff"/>
      </w:rPr>
    </w:lvl>
  </w:abstractNum>
  <w:abstractNum w:abstractNumId="86586">
    <w:lvl>
      <w:start w:val="1"/>
      <w:numFmt w:val="decimal"/>
      <w:suff w:val="tab"/>
      <w:lvlText w:val="%1."/>
      <w:rPr>
        <w:color w:val="3370ff"/>
      </w:rPr>
    </w:lvl>
  </w:abstractNum>
  <w:abstractNum w:abstractNumId="86587">
    <w:lvl>
      <w:start w:val="2"/>
      <w:numFmt w:val="decimal"/>
      <w:suff w:val="tab"/>
      <w:lvlText w:val="%1."/>
      <w:rPr>
        <w:color w:val="3370ff"/>
      </w:rPr>
    </w:lvl>
  </w:abstractNum>
  <w:num w:numId="1">
    <w:abstractNumId w:val="86378"/>
  </w:num>
  <w:num w:numId="2">
    <w:abstractNumId w:val="86379"/>
  </w:num>
  <w:num w:numId="3">
    <w:abstractNumId w:val="86380"/>
  </w:num>
  <w:num w:numId="4">
    <w:abstractNumId w:val="86381"/>
  </w:num>
  <w:num w:numId="5">
    <w:abstractNumId w:val="86382"/>
  </w:num>
  <w:num w:numId="6">
    <w:abstractNumId w:val="86383"/>
  </w:num>
  <w:num w:numId="7">
    <w:abstractNumId w:val="86384"/>
  </w:num>
  <w:num w:numId="8">
    <w:abstractNumId w:val="86385"/>
  </w:num>
  <w:num w:numId="9">
    <w:abstractNumId w:val="86386"/>
  </w:num>
  <w:num w:numId="10">
    <w:abstractNumId w:val="86387"/>
  </w:num>
  <w:num w:numId="11">
    <w:abstractNumId w:val="86388"/>
  </w:num>
  <w:num w:numId="12">
    <w:abstractNumId w:val="86389"/>
  </w:num>
  <w:num w:numId="13">
    <w:abstractNumId w:val="86390"/>
  </w:num>
  <w:num w:numId="14">
    <w:abstractNumId w:val="86391"/>
  </w:num>
  <w:num w:numId="15">
    <w:abstractNumId w:val="86392"/>
  </w:num>
  <w:num w:numId="16">
    <w:abstractNumId w:val="86393"/>
  </w:num>
  <w:num w:numId="17">
    <w:abstractNumId w:val="86394"/>
  </w:num>
  <w:num w:numId="18">
    <w:abstractNumId w:val="86395"/>
  </w:num>
  <w:num w:numId="19">
    <w:abstractNumId w:val="86396"/>
  </w:num>
  <w:num w:numId="20">
    <w:abstractNumId w:val="86397"/>
  </w:num>
  <w:num w:numId="21">
    <w:abstractNumId w:val="86398"/>
  </w:num>
  <w:num w:numId="22">
    <w:abstractNumId w:val="86399"/>
  </w:num>
  <w:num w:numId="23">
    <w:abstractNumId w:val="86400"/>
  </w:num>
  <w:num w:numId="24">
    <w:abstractNumId w:val="86401"/>
  </w:num>
  <w:num w:numId="25">
    <w:abstractNumId w:val="86402"/>
  </w:num>
  <w:num w:numId="26">
    <w:abstractNumId w:val="86403"/>
  </w:num>
  <w:num w:numId="27">
    <w:abstractNumId w:val="86404"/>
  </w:num>
  <w:num w:numId="28">
    <w:abstractNumId w:val="86405"/>
  </w:num>
  <w:num w:numId="29">
    <w:abstractNumId w:val="86406"/>
  </w:num>
  <w:num w:numId="30">
    <w:abstractNumId w:val="86407"/>
  </w:num>
  <w:num w:numId="31">
    <w:abstractNumId w:val="86408"/>
  </w:num>
  <w:num w:numId="32">
    <w:abstractNumId w:val="86409"/>
  </w:num>
  <w:num w:numId="33">
    <w:abstractNumId w:val="86410"/>
  </w:num>
  <w:num w:numId="34">
    <w:abstractNumId w:val="86411"/>
  </w:num>
  <w:num w:numId="35">
    <w:abstractNumId w:val="86412"/>
  </w:num>
  <w:num w:numId="36">
    <w:abstractNumId w:val="86413"/>
  </w:num>
  <w:num w:numId="37">
    <w:abstractNumId w:val="86414"/>
  </w:num>
  <w:num w:numId="38">
    <w:abstractNumId w:val="86415"/>
  </w:num>
  <w:num w:numId="39">
    <w:abstractNumId w:val="86416"/>
  </w:num>
  <w:num w:numId="40">
    <w:abstractNumId w:val="86417"/>
  </w:num>
  <w:num w:numId="41">
    <w:abstractNumId w:val="86418"/>
  </w:num>
  <w:num w:numId="42">
    <w:abstractNumId w:val="86419"/>
  </w:num>
  <w:num w:numId="43">
    <w:abstractNumId w:val="86420"/>
  </w:num>
  <w:num w:numId="44">
    <w:abstractNumId w:val="86421"/>
  </w:num>
  <w:num w:numId="45">
    <w:abstractNumId w:val="86422"/>
  </w:num>
  <w:num w:numId="46">
    <w:abstractNumId w:val="86423"/>
  </w:num>
  <w:num w:numId="47">
    <w:abstractNumId w:val="86424"/>
  </w:num>
  <w:num w:numId="48">
    <w:abstractNumId w:val="86425"/>
  </w:num>
  <w:num w:numId="49">
    <w:abstractNumId w:val="86426"/>
  </w:num>
  <w:num w:numId="50">
    <w:abstractNumId w:val="86427"/>
  </w:num>
  <w:num w:numId="51">
    <w:abstractNumId w:val="86428"/>
  </w:num>
  <w:num w:numId="52">
    <w:abstractNumId w:val="86429"/>
  </w:num>
  <w:num w:numId="53">
    <w:abstractNumId w:val="86430"/>
  </w:num>
  <w:num w:numId="54">
    <w:abstractNumId w:val="86431"/>
  </w:num>
  <w:num w:numId="55">
    <w:abstractNumId w:val="86432"/>
  </w:num>
  <w:num w:numId="56">
    <w:abstractNumId w:val="86433"/>
  </w:num>
  <w:num w:numId="57">
    <w:abstractNumId w:val="86434"/>
  </w:num>
  <w:num w:numId="58">
    <w:abstractNumId w:val="86435"/>
  </w:num>
  <w:num w:numId="59">
    <w:abstractNumId w:val="86436"/>
  </w:num>
  <w:num w:numId="60">
    <w:abstractNumId w:val="86437"/>
  </w:num>
  <w:num w:numId="61">
    <w:abstractNumId w:val="86438"/>
  </w:num>
  <w:num w:numId="62">
    <w:abstractNumId w:val="86439"/>
  </w:num>
  <w:num w:numId="63">
    <w:abstractNumId w:val="86440"/>
  </w:num>
  <w:num w:numId="64">
    <w:abstractNumId w:val="86441"/>
  </w:num>
  <w:num w:numId="65">
    <w:abstractNumId w:val="86442"/>
  </w:num>
  <w:num w:numId="66">
    <w:abstractNumId w:val="86443"/>
  </w:num>
  <w:num w:numId="67">
    <w:abstractNumId w:val="86444"/>
  </w:num>
  <w:num w:numId="68">
    <w:abstractNumId w:val="86445"/>
  </w:num>
  <w:num w:numId="69">
    <w:abstractNumId w:val="86446"/>
  </w:num>
  <w:num w:numId="70">
    <w:abstractNumId w:val="86447"/>
  </w:num>
  <w:num w:numId="71">
    <w:abstractNumId w:val="86448"/>
  </w:num>
  <w:num w:numId="72">
    <w:abstractNumId w:val="86449"/>
  </w:num>
  <w:num w:numId="73">
    <w:abstractNumId w:val="86450"/>
  </w:num>
  <w:num w:numId="74">
    <w:abstractNumId w:val="86451"/>
  </w:num>
  <w:num w:numId="75">
    <w:abstractNumId w:val="86452"/>
  </w:num>
  <w:num w:numId="76">
    <w:abstractNumId w:val="86453"/>
  </w:num>
  <w:num w:numId="77">
    <w:abstractNumId w:val="86454"/>
  </w:num>
  <w:num w:numId="78">
    <w:abstractNumId w:val="86455"/>
  </w:num>
  <w:num w:numId="79">
    <w:abstractNumId w:val="86456"/>
  </w:num>
  <w:num w:numId="80">
    <w:abstractNumId w:val="86457"/>
  </w:num>
  <w:num w:numId="81">
    <w:abstractNumId w:val="86458"/>
  </w:num>
  <w:num w:numId="82">
    <w:abstractNumId w:val="86459"/>
  </w:num>
  <w:num w:numId="83">
    <w:abstractNumId w:val="86460"/>
  </w:num>
  <w:num w:numId="84">
    <w:abstractNumId w:val="86461"/>
  </w:num>
  <w:num w:numId="85">
    <w:abstractNumId w:val="86462"/>
  </w:num>
  <w:num w:numId="86">
    <w:abstractNumId w:val="86463"/>
  </w:num>
  <w:num w:numId="87">
    <w:abstractNumId w:val="86464"/>
  </w:num>
  <w:num w:numId="88">
    <w:abstractNumId w:val="86465"/>
  </w:num>
  <w:num w:numId="89">
    <w:abstractNumId w:val="86466"/>
  </w:num>
  <w:num w:numId="90">
    <w:abstractNumId w:val="86467"/>
  </w:num>
  <w:num w:numId="91">
    <w:abstractNumId w:val="86468"/>
  </w:num>
  <w:num w:numId="92">
    <w:abstractNumId w:val="86469"/>
  </w:num>
  <w:num w:numId="93">
    <w:abstractNumId w:val="86470"/>
  </w:num>
  <w:num w:numId="94">
    <w:abstractNumId w:val="86471"/>
  </w:num>
  <w:num w:numId="95">
    <w:abstractNumId w:val="86472"/>
  </w:num>
  <w:num w:numId="96">
    <w:abstractNumId w:val="86473"/>
  </w:num>
  <w:num w:numId="97">
    <w:abstractNumId w:val="86474"/>
  </w:num>
  <w:num w:numId="98">
    <w:abstractNumId w:val="86475"/>
  </w:num>
  <w:num w:numId="99">
    <w:abstractNumId w:val="86476"/>
  </w:num>
  <w:num w:numId="100">
    <w:abstractNumId w:val="86477"/>
  </w:num>
  <w:num w:numId="101">
    <w:abstractNumId w:val="86478"/>
  </w:num>
  <w:num w:numId="102">
    <w:abstractNumId w:val="86479"/>
  </w:num>
  <w:num w:numId="103">
    <w:abstractNumId w:val="86480"/>
  </w:num>
  <w:num w:numId="104">
    <w:abstractNumId w:val="86481"/>
  </w:num>
  <w:num w:numId="105">
    <w:abstractNumId w:val="86482"/>
  </w:num>
  <w:num w:numId="106">
    <w:abstractNumId w:val="86483"/>
  </w:num>
  <w:num w:numId="107">
    <w:abstractNumId w:val="86484"/>
  </w:num>
  <w:num w:numId="108">
    <w:abstractNumId w:val="86485"/>
  </w:num>
  <w:num w:numId="109">
    <w:abstractNumId w:val="86486"/>
  </w:num>
  <w:num w:numId="110">
    <w:abstractNumId w:val="86487"/>
  </w:num>
  <w:num w:numId="111">
    <w:abstractNumId w:val="86488"/>
  </w:num>
  <w:num w:numId="112">
    <w:abstractNumId w:val="86489"/>
  </w:num>
  <w:num w:numId="113">
    <w:abstractNumId w:val="86490"/>
  </w:num>
  <w:num w:numId="114">
    <w:abstractNumId w:val="86491"/>
  </w:num>
  <w:num w:numId="115">
    <w:abstractNumId w:val="86492"/>
  </w:num>
  <w:num w:numId="116">
    <w:abstractNumId w:val="86493"/>
  </w:num>
  <w:num w:numId="117">
    <w:abstractNumId w:val="86494"/>
  </w:num>
  <w:num w:numId="118">
    <w:abstractNumId w:val="86495"/>
  </w:num>
  <w:num w:numId="119">
    <w:abstractNumId w:val="86496"/>
  </w:num>
  <w:num w:numId="120">
    <w:abstractNumId w:val="86497"/>
  </w:num>
  <w:num w:numId="121">
    <w:abstractNumId w:val="86498"/>
  </w:num>
  <w:num w:numId="122">
    <w:abstractNumId w:val="86499"/>
  </w:num>
  <w:num w:numId="123">
    <w:abstractNumId w:val="86500"/>
  </w:num>
  <w:num w:numId="124">
    <w:abstractNumId w:val="86501"/>
  </w:num>
  <w:num w:numId="125">
    <w:abstractNumId w:val="86502"/>
  </w:num>
  <w:num w:numId="126">
    <w:abstractNumId w:val="86503"/>
  </w:num>
  <w:num w:numId="127">
    <w:abstractNumId w:val="86504"/>
  </w:num>
  <w:num w:numId="128">
    <w:abstractNumId w:val="86505"/>
  </w:num>
  <w:num w:numId="129">
    <w:abstractNumId w:val="86506"/>
  </w:num>
  <w:num w:numId="130">
    <w:abstractNumId w:val="86507"/>
  </w:num>
  <w:num w:numId="131">
    <w:abstractNumId w:val="86508"/>
  </w:num>
  <w:num w:numId="132">
    <w:abstractNumId w:val="86509"/>
  </w:num>
  <w:num w:numId="133">
    <w:abstractNumId w:val="86510"/>
  </w:num>
  <w:num w:numId="134">
    <w:abstractNumId w:val="86511"/>
  </w:num>
  <w:num w:numId="135">
    <w:abstractNumId w:val="86512"/>
  </w:num>
  <w:num w:numId="136">
    <w:abstractNumId w:val="86513"/>
  </w:num>
  <w:num w:numId="137">
    <w:abstractNumId w:val="86514"/>
  </w:num>
  <w:num w:numId="138">
    <w:abstractNumId w:val="86515"/>
  </w:num>
  <w:num w:numId="139">
    <w:abstractNumId w:val="86516"/>
  </w:num>
  <w:num w:numId="140">
    <w:abstractNumId w:val="86517"/>
  </w:num>
  <w:num w:numId="141">
    <w:abstractNumId w:val="86518"/>
  </w:num>
  <w:num w:numId="142">
    <w:abstractNumId w:val="86519"/>
  </w:num>
  <w:num w:numId="143">
    <w:abstractNumId w:val="86520"/>
  </w:num>
  <w:num w:numId="144">
    <w:abstractNumId w:val="86521"/>
  </w:num>
  <w:num w:numId="145">
    <w:abstractNumId w:val="86522"/>
  </w:num>
  <w:num w:numId="146">
    <w:abstractNumId w:val="86523"/>
  </w:num>
  <w:num w:numId="147">
    <w:abstractNumId w:val="86524"/>
  </w:num>
  <w:num w:numId="148">
    <w:abstractNumId w:val="86525"/>
  </w:num>
  <w:num w:numId="149">
    <w:abstractNumId w:val="86526"/>
  </w:num>
  <w:num w:numId="150">
    <w:abstractNumId w:val="86527"/>
  </w:num>
  <w:num w:numId="151">
    <w:abstractNumId w:val="86528"/>
  </w:num>
  <w:num w:numId="152">
    <w:abstractNumId w:val="86529"/>
  </w:num>
  <w:num w:numId="153">
    <w:abstractNumId w:val="86530"/>
  </w:num>
  <w:num w:numId="154">
    <w:abstractNumId w:val="86531"/>
  </w:num>
  <w:num w:numId="155">
    <w:abstractNumId w:val="86532"/>
  </w:num>
  <w:num w:numId="156">
    <w:abstractNumId w:val="86533"/>
  </w:num>
  <w:num w:numId="157">
    <w:abstractNumId w:val="86534"/>
  </w:num>
  <w:num w:numId="158">
    <w:abstractNumId w:val="86535"/>
  </w:num>
  <w:num w:numId="159">
    <w:abstractNumId w:val="86536"/>
  </w:num>
  <w:num w:numId="160">
    <w:abstractNumId w:val="86537"/>
  </w:num>
  <w:num w:numId="161">
    <w:abstractNumId w:val="86538"/>
  </w:num>
  <w:num w:numId="162">
    <w:abstractNumId w:val="86539"/>
  </w:num>
  <w:num w:numId="163">
    <w:abstractNumId w:val="86540"/>
  </w:num>
  <w:num w:numId="164">
    <w:abstractNumId w:val="86541"/>
  </w:num>
  <w:num w:numId="165">
    <w:abstractNumId w:val="86542"/>
  </w:num>
  <w:num w:numId="166">
    <w:abstractNumId w:val="86543"/>
  </w:num>
  <w:num w:numId="167">
    <w:abstractNumId w:val="86544"/>
  </w:num>
  <w:num w:numId="168">
    <w:abstractNumId w:val="86545"/>
  </w:num>
  <w:num w:numId="169">
    <w:abstractNumId w:val="86546"/>
  </w:num>
  <w:num w:numId="170">
    <w:abstractNumId w:val="86547"/>
  </w:num>
  <w:num w:numId="171">
    <w:abstractNumId w:val="86548"/>
  </w:num>
  <w:num w:numId="172">
    <w:abstractNumId w:val="86549"/>
  </w:num>
  <w:num w:numId="173">
    <w:abstractNumId w:val="86550"/>
  </w:num>
  <w:num w:numId="174">
    <w:abstractNumId w:val="86551"/>
  </w:num>
  <w:num w:numId="175">
    <w:abstractNumId w:val="86552"/>
  </w:num>
  <w:num w:numId="176">
    <w:abstractNumId w:val="86553"/>
  </w:num>
  <w:num w:numId="177">
    <w:abstractNumId w:val="86554"/>
  </w:num>
  <w:num w:numId="178">
    <w:abstractNumId w:val="86555"/>
  </w:num>
  <w:num w:numId="179">
    <w:abstractNumId w:val="86556"/>
  </w:num>
  <w:num w:numId="180">
    <w:abstractNumId w:val="86557"/>
  </w:num>
  <w:num w:numId="181">
    <w:abstractNumId w:val="86558"/>
  </w:num>
  <w:num w:numId="182">
    <w:abstractNumId w:val="86559"/>
  </w:num>
  <w:num w:numId="183">
    <w:abstractNumId w:val="86560"/>
  </w:num>
  <w:num w:numId="184">
    <w:abstractNumId w:val="86561"/>
  </w:num>
  <w:num w:numId="185">
    <w:abstractNumId w:val="86562"/>
  </w:num>
  <w:num w:numId="186">
    <w:abstractNumId w:val="86563"/>
  </w:num>
  <w:num w:numId="187">
    <w:abstractNumId w:val="86564"/>
  </w:num>
  <w:num w:numId="188">
    <w:abstractNumId w:val="86565"/>
  </w:num>
  <w:num w:numId="189">
    <w:abstractNumId w:val="86566"/>
  </w:num>
  <w:num w:numId="190">
    <w:abstractNumId w:val="86567"/>
  </w:num>
  <w:num w:numId="191">
    <w:abstractNumId w:val="86568"/>
  </w:num>
  <w:num w:numId="192">
    <w:abstractNumId w:val="86569"/>
  </w:num>
  <w:num w:numId="193">
    <w:abstractNumId w:val="86570"/>
  </w:num>
  <w:num w:numId="194">
    <w:abstractNumId w:val="86571"/>
  </w:num>
  <w:num w:numId="195">
    <w:abstractNumId w:val="86572"/>
  </w:num>
  <w:num w:numId="196">
    <w:abstractNumId w:val="86573"/>
  </w:num>
  <w:num w:numId="197">
    <w:abstractNumId w:val="86574"/>
  </w:num>
  <w:num w:numId="198">
    <w:abstractNumId w:val="86575"/>
  </w:num>
  <w:num w:numId="199">
    <w:abstractNumId w:val="86576"/>
  </w:num>
  <w:num w:numId="200">
    <w:abstractNumId w:val="86577"/>
  </w:num>
  <w:num w:numId="201">
    <w:abstractNumId w:val="86578"/>
  </w:num>
  <w:num w:numId="202">
    <w:abstractNumId w:val="86579"/>
  </w:num>
  <w:num w:numId="203">
    <w:abstractNumId w:val="86580"/>
  </w:num>
  <w:num w:numId="204">
    <w:abstractNumId w:val="86581"/>
  </w:num>
  <w:num w:numId="205">
    <w:abstractNumId w:val="86582"/>
  </w:num>
  <w:num w:numId="206">
    <w:abstractNumId w:val="86583"/>
  </w:num>
  <w:num w:numId="207">
    <w:abstractNumId w:val="86584"/>
  </w:num>
  <w:num w:numId="208">
    <w:abstractNumId w:val="86585"/>
  </w:num>
  <w:num w:numId="209">
    <w:abstractNumId w:val="86586"/>
  </w:num>
  <w:num w:numId="210">
    <w:abstractNumId w:val="865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2025-12-10T07:47:39Z</dcterms:created>
  <dc:creator>Apache POI</dc:creator>
</cp:coreProperties>
</file>