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V1112-2025-广告发布合同补充协议（媒体政策变更）-美金-中文</w:t>
      </w:r>
    </w:p>
    <w:p>
      <w:pPr>
        <w:spacing w:before="120" w:after="120" w:line="288" w:lineRule="auto"/>
        <w:ind w:left="0" w:firstLine="0"/>
        <w:jc w:val="center"/>
      </w:pPr>
      <w:r>
        <w:rPr>
          <w:rFonts w:eastAsia="等线" w:ascii="Arial" w:cs="Arial" w:hAnsi="Arial"/>
          <w:b w:val="true"/>
          <w:sz w:val="22"/>
        </w:rPr>
        <w:t>《广告发布合同》补充协议</w:t>
      </w:r>
    </w:p>
    <w:p>
      <w:pPr>
        <w:spacing w:before="120" w:after="120" w:line="288" w:lineRule="auto"/>
        <w:ind w:left="0" w:firstLine="0"/>
        <w:jc w:val="left"/>
      </w:pPr>
      <w:r>
        <w:rPr>
          <w:rFonts w:eastAsia="等线" w:ascii="Arial" w:cs="Arial" w:hAnsi="Arial"/>
          <w:b w:val="true"/>
          <w:sz w:val="22"/>
        </w:rPr>
        <w:t>甲方：</w:t>
      </w:r>
    </w:p>
    <w:p>
      <w:pPr>
        <w:spacing w:before="120" w:after="120" w:line="288" w:lineRule="auto"/>
        <w:ind w:left="0" w:firstLine="0"/>
        <w:jc w:val="left"/>
      </w:pPr>
      <w:r>
        <w:rPr>
          <w:rFonts w:eastAsia="等线" w:ascii="Arial" w:cs="Arial" w:hAnsi="Arial"/>
          <w:sz w:val="22"/>
        </w:rPr>
        <w:t>地址：</w:t>
      </w:r>
    </w:p>
    <w:p>
      <w:pPr>
        <w:spacing w:before="120" w:after="120" w:line="288" w:lineRule="auto"/>
        <w:ind w:left="0" w:firstLine="0"/>
        <w:jc w:val="left"/>
      </w:pPr>
      <w:r>
        <w:rPr>
          <w:rFonts w:eastAsia="等线" w:ascii="Arial" w:cs="Arial" w:hAnsi="Arial"/>
          <w:b w:val="true"/>
          <w:sz w:val="22"/>
        </w:rPr>
        <w:t>乙方：</w:t>
      </w:r>
    </w:p>
    <w:p>
      <w:pPr>
        <w:spacing w:before="120" w:after="120" w:line="288" w:lineRule="auto"/>
        <w:ind w:left="0" w:firstLine="0"/>
        <w:jc w:val="left"/>
      </w:pPr>
      <w:r>
        <w:rPr>
          <w:rFonts w:eastAsia="等线" w:ascii="Arial" w:cs="Arial" w:hAnsi="Arial"/>
          <w:sz w:val="22"/>
        </w:rPr>
        <w:t>地址：</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鉴于：【】年【】月【】日，甲乙双方签署了《广告发布合同》及相关条款与政策，（下称“原合同”），原合同约定甲方委托乙方在【 】平台进行广告发布服务。合同期限为自【】年【】月【】日起至【】年【】月【】日止。</w:t>
      </w:r>
    </w:p>
    <w:p>
      <w:pPr>
        <w:spacing w:before="120" w:after="120" w:line="288" w:lineRule="auto"/>
        <w:ind w:left="0" w:firstLine="420"/>
        <w:jc w:val="left"/>
      </w:pPr>
    </w:p>
    <w:p>
      <w:pPr>
        <w:numPr>
          <w:numId w:val="1"/>
        </w:numPr>
        <w:spacing w:before="120" w:after="120" w:line="288" w:lineRule="auto"/>
        <w:ind w:left="453"/>
        <w:jc w:val="left"/>
      </w:pPr>
      <w:r>
        <w:rPr>
          <w:rFonts w:eastAsia="等线" w:ascii="Arial" w:cs="Arial" w:hAnsi="Arial"/>
          <w:sz w:val="22"/>
        </w:rPr>
        <w:t>双方自【】年【】月【】日起变更原合同中关于 “广告发布合同政策” 的相关条款，变更后内容如下：</w:t>
      </w:r>
    </w:p>
    <w:p>
      <w:pPr>
        <w:numPr>
          <w:numId w:val="2"/>
        </w:numPr>
        <w:spacing w:before="120" w:after="120" w:line="288" w:lineRule="auto"/>
        <w:ind w:left="907"/>
        <w:jc w:val="left"/>
      </w:pPr>
      <w:r>
        <w:rPr>
          <w:rFonts w:eastAsia="等线" w:ascii="Arial" w:cs="Arial" w:hAnsi="Arial"/>
          <w:b w:val="true"/>
          <w:sz w:val="22"/>
        </w:rPr>
        <w:t>媒体平台投放政策：</w:t>
      </w:r>
    </w:p>
    <w:p>
      <w:pPr>
        <w:numPr>
          <w:numId w:val="3"/>
        </w:numPr>
        <w:spacing w:before="120" w:after="120" w:line="288" w:lineRule="auto"/>
        <w:ind w:left="0"/>
        <w:jc w:val="left"/>
      </w:pPr>
      <w:r>
        <w:rPr>
          <w:rFonts w:eastAsia="等线" w:ascii="Arial" w:cs="Arial" w:hAnsi="Arial"/>
          <w:b w:val="true"/>
          <w:sz w:val="22"/>
        </w:rPr>
        <w:t>Meta（Facebook）</w:t>
      </w:r>
    </w:p>
    <w:p>
      <w:pPr>
        <w:spacing w:before="120" w:after="120" w:line="288" w:lineRule="auto"/>
        <w:ind w:left="0" w:firstLine="420"/>
        <w:jc w:val="left"/>
      </w:pPr>
      <w:r>
        <w:rPr>
          <w:rFonts w:eastAsia="等线" w:ascii="Arial" w:cs="Arial" w:hAnsi="Arial"/>
          <w:sz w:val="22"/>
        </w:rPr>
        <w:t>1.1甲方明确知悉并同意：甲方向乙方按时支付全额广告发布费后，乙方将根据甲方实际支付的广告发布费总额以及所属账户的标准等级向甲方结算返点。媒体将按照自然月度更新标准等级名单（Booklist），甲方账户当月度的返点比例将按照甲方账户当月度在媒体处判定的标准等级计算。</w:t>
      </w:r>
    </w:p>
    <w:p>
      <w:pPr>
        <w:spacing w:before="120" w:after="120" w:line="288" w:lineRule="auto"/>
        <w:ind w:left="0" w:firstLine="420"/>
        <w:jc w:val="left"/>
      </w:pPr>
      <w:r>
        <w:rPr>
          <w:rFonts w:eastAsia="等线" w:ascii="Arial" w:cs="Arial" w:hAnsi="Arial"/>
          <w:sz w:val="22"/>
        </w:rPr>
        <w:t>1.2媒体判断甲方的合并主体（ultimate_parent_name）符合如下标准等级的，则可对应获得如下返点奖励，金额最终以媒体判定为准：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360"/>
        <w:gridCol w:w="2835"/>
      </w:tblGrid>
      <w:tr>
        <w:tc>
          <w:tcPr>
            <w:tcW w:w="33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合并主体标准等级</w:t>
            </w:r>
          </w:p>
        </w:tc>
        <w:tc>
          <w:tcPr>
            <w:tcW w:w="28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返点比例(%)</w:t>
            </w:r>
          </w:p>
        </w:tc>
      </w:tr>
      <w:tr>
        <w:tc>
          <w:tcPr>
            <w:tcW w:w="33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Managed Advertiser</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3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Unmanaged Advertiser</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bl>
    <w:p>
      <w:pPr>
        <w:spacing w:before="120" w:after="120" w:line="288" w:lineRule="auto"/>
        <w:ind w:left="0" w:firstLine="420"/>
        <w:jc w:val="left"/>
      </w:pPr>
      <w:r>
        <w:rPr>
          <w:rFonts w:eastAsia="等线" w:ascii="Arial" w:cs="Arial" w:hAnsi="Arial"/>
          <w:sz w:val="22"/>
        </w:rPr>
        <w:t>* Managed Advertiser：即大中型且有直客管理的合并主体，以Meta实时更新的分类为准；</w:t>
      </w:r>
    </w:p>
    <w:p>
      <w:pPr>
        <w:spacing w:before="120" w:after="120" w:line="288" w:lineRule="auto"/>
        <w:ind w:left="0" w:firstLine="420"/>
        <w:jc w:val="left"/>
      </w:pPr>
      <w:r>
        <w:rPr>
          <w:rFonts w:eastAsia="等线" w:ascii="Arial" w:cs="Arial" w:hAnsi="Arial"/>
          <w:sz w:val="22"/>
        </w:rPr>
        <w:t>* Unmanaged Advertiser：即无直客管理的合并主体，以Meta实时更新的分类为准。</w:t>
      </w:r>
    </w:p>
    <w:p>
      <w:pPr>
        <w:spacing w:before="120" w:after="120" w:line="288" w:lineRule="auto"/>
        <w:ind w:left="0" w:firstLine="420"/>
        <w:jc w:val="left"/>
      </w:pPr>
      <w:r>
        <w:rPr>
          <w:rFonts w:eastAsia="等线" w:ascii="Arial" w:cs="Arial" w:hAnsi="Arial"/>
          <w:sz w:val="22"/>
        </w:rPr>
        <w:t>1.3甲方确认，任一合并主体下的广告账户如被媒体判定为Disabled Ad Account的，则乙方有权取消被封账户当季度的全额返点。进一步的，如被媒体判定为Disabled Ad Account的账户消耗占所有账户消耗的15%及以上的，则乙方有权取消甲方全部账户当季度的返点。</w:t>
      </w:r>
    </w:p>
    <w:p>
      <w:pPr>
        <w:spacing w:before="120" w:after="120" w:line="288" w:lineRule="auto"/>
        <w:ind w:left="0" w:firstLine="420"/>
        <w:jc w:val="left"/>
      </w:pPr>
      <w:r>
        <w:rPr>
          <w:rFonts w:eastAsia="等线" w:ascii="Arial" w:cs="Arial" w:hAnsi="Arial"/>
          <w:sz w:val="22"/>
        </w:rPr>
        <w:t>1.4甲方已悉知针对Meta不提供返点部分的消耗金额或Meta单方面决定不给予返点的，乙方也有权不向甲方提供任何返点。</w:t>
      </w:r>
    </w:p>
    <w:p>
      <w:pPr>
        <w:spacing w:before="120" w:after="120" w:line="288" w:lineRule="auto"/>
        <w:ind w:left="0" w:firstLine="420"/>
        <w:jc w:val="left"/>
      </w:pPr>
      <w:r>
        <w:rPr>
          <w:rFonts w:eastAsia="等线" w:ascii="Arial" w:cs="Arial" w:hAnsi="Arial"/>
          <w:sz w:val="22"/>
        </w:rPr>
        <w:t>1.5甲方如使用非中国大陆主体开户投放的，以及被Meta媒体认为运营或实控主体不符合条件等情况的，则无任何返点。</w:t>
      </w:r>
    </w:p>
    <w:p>
      <w:pPr>
        <w:spacing w:before="120" w:after="120" w:line="288" w:lineRule="auto"/>
        <w:ind w:left="0" w:firstLine="420"/>
        <w:jc w:val="left"/>
      </w:pPr>
      <w:r>
        <w:rPr>
          <w:rFonts w:eastAsia="等线" w:ascii="Arial" w:cs="Arial" w:hAnsi="Arial"/>
          <w:sz w:val="22"/>
        </w:rPr>
        <w:t>1.6 甲方悉知，如甲方的任一“Unmanaged Advertiser”合并主体在Meta的季度消耗（包含所有代理）总额超过2000万美元的，则无任何返点。</w:t>
      </w:r>
    </w:p>
    <w:p>
      <w:pPr>
        <w:spacing w:before="120" w:after="120" w:line="288" w:lineRule="auto"/>
        <w:ind w:left="0" w:firstLine="420"/>
        <w:jc w:val="left"/>
      </w:pPr>
      <w:r>
        <w:rPr>
          <w:rFonts w:eastAsia="等线" w:ascii="Arial" w:cs="Arial" w:hAnsi="Arial"/>
          <w:sz w:val="22"/>
        </w:rPr>
        <w:t>1.7 甲方应该严格按照合并主体标准等级开设账户并投放广告，如甲方违反上述规则（例如拆分实体或项目从而达到变更合并主体标准等级的），则媒体或/和乙方有权对甲方进行处罚，包括但不限于扣除罚金，取消返点，冻结账户等。</w:t>
      </w:r>
    </w:p>
    <w:p>
      <w:pPr>
        <w:spacing w:before="120" w:after="120" w:line="288" w:lineRule="auto"/>
        <w:ind w:left="0" w:firstLine="420"/>
        <w:jc w:val="left"/>
      </w:pPr>
      <w:r>
        <w:rPr>
          <w:rFonts w:eastAsia="等线" w:ascii="Arial" w:cs="Arial" w:hAnsi="Arial"/>
          <w:sz w:val="22"/>
        </w:rPr>
        <w:t>1.8 甲方如被媒体判定为符合“Specified Advertiser”标准等级，即超大型且有直客管理的合并主体，则应与乙方另行签署协议约定返点比例等相关合作内容。</w:t>
      </w:r>
    </w:p>
    <w:p>
      <w:pPr>
        <w:spacing w:before="120" w:after="120" w:line="288" w:lineRule="auto"/>
        <w:ind w:left="0" w:firstLine="420"/>
        <w:jc w:val="left"/>
      </w:pPr>
      <w:r>
        <w:rPr>
          <w:rFonts w:eastAsia="等线" w:ascii="Arial" w:cs="Arial" w:hAnsi="Arial"/>
          <w:sz w:val="22"/>
        </w:rPr>
        <w:t>1.9 如甲方投放的广告素材符合乙方或媒体平台要求，乙方可向甲方提供额外的“素材Coupon”支持，具体形式包括但不限于用于广告创意优化、素材制作、测试支持等用途的优惠额度。素材Coupon奖励的获取以媒体平台对甲方合并主体的等级判定为依据，乙方保留根据项目预算、客户投放表现、素材合规性等因素综合评估是否发放的权利。</w:t>
      </w:r>
    </w:p>
    <w:p>
      <w:pPr>
        <w:spacing w:before="120" w:after="120" w:line="288" w:lineRule="auto"/>
        <w:ind w:left="0" w:firstLine="420"/>
        <w:jc w:val="left"/>
      </w:pPr>
      <w:r>
        <w:rPr>
          <w:rFonts w:eastAsia="等线" w:ascii="Arial" w:cs="Arial" w:hAnsi="Arial"/>
          <w:sz w:val="22"/>
        </w:rPr>
        <w:t>1.10 如甲方投放的广告素材符合乙方/或媒体平台要求，且甲方所属合并主体等级达到 Managed Advertiser 标准，则可额外获得【】% Coupon奖励；若为 Unmanaged Advertiser 等级，则可获得【】% Coupon奖励。</w:t>
      </w:r>
    </w:p>
    <w:p>
      <w:pPr>
        <w:spacing w:before="120" w:after="120" w:line="288" w:lineRule="auto"/>
        <w:ind w:left="0" w:firstLine="420"/>
        <w:jc w:val="left"/>
      </w:pPr>
      <w:r>
        <w:rPr>
          <w:rFonts w:eastAsia="等线" w:ascii="Arial" w:cs="Arial" w:hAnsi="Arial"/>
          <w:sz w:val="22"/>
        </w:rPr>
        <w:t>1.11 素材Coupon的发放周期、结算流程及核算方式及标准原则上与本合同项下的返点条款保持一致。除非双方另有书面约定，乙方应在完成与甲方返点结算周期同步的时间内，确认并发放相应的素材Coupon。</w:t>
      </w:r>
    </w:p>
    <w:p>
      <w:pPr>
        <w:spacing w:before="120" w:after="120" w:line="288" w:lineRule="auto"/>
        <w:ind w:left="0" w:firstLine="420"/>
        <w:jc w:val="left"/>
      </w:pPr>
    </w:p>
    <w:p>
      <w:pPr>
        <w:numPr>
          <w:numId w:val="4"/>
        </w:numPr>
        <w:spacing w:before="120" w:after="120" w:line="288" w:lineRule="auto"/>
        <w:ind w:left="0"/>
        <w:jc w:val="left"/>
      </w:pPr>
      <w:r>
        <w:rPr>
          <w:rFonts w:eastAsia="等线" w:ascii="Arial" w:cs="Arial" w:hAnsi="Arial"/>
          <w:b w:val="true"/>
          <w:sz w:val="22"/>
        </w:rPr>
        <w:t xml:space="preserve"> Google</w:t>
      </w:r>
    </w:p>
    <w:p>
      <w:pPr>
        <w:spacing w:before="120" w:after="120" w:line="288" w:lineRule="auto"/>
        <w:ind w:left="0" w:firstLine="420"/>
        <w:jc w:val="left"/>
      </w:pPr>
      <w:r>
        <w:rPr>
          <w:rFonts w:eastAsia="等线" w:ascii="Arial" w:cs="Arial" w:hAnsi="Arial"/>
          <w:sz w:val="22"/>
        </w:rPr>
        <w:t>2.1 甲方在Google中进行广告投放，所涉及的消耗均无任何返点，且甲方需要按照如下标准向乙方支付账户服务费，该服务费用与当月广告消耗费用按约定账期一同结算：</w:t>
      </w:r>
    </w:p>
    <w:p>
      <w:pPr>
        <w:numPr>
          <w:numId w:val="5"/>
        </w:numPr>
        <w:spacing w:before="120" w:after="120" w:line="288" w:lineRule="auto"/>
        <w:ind w:left="0"/>
        <w:jc w:val="left"/>
      </w:pPr>
      <w:r>
        <w:rPr>
          <w:rFonts w:eastAsia="等线" w:ascii="Arial" w:cs="Arial" w:hAnsi="Arial"/>
          <w:sz w:val="22"/>
        </w:rPr>
        <w:t>账期大于等于【30】个自然日的，甲方需要向乙方支付当月广告投放总消耗金额的【 】%作为账户服务费。</w:t>
      </w:r>
    </w:p>
    <w:p>
      <w:pPr>
        <w:numPr>
          <w:numId w:val="6"/>
        </w:numPr>
        <w:spacing w:before="120" w:after="120" w:line="288" w:lineRule="auto"/>
        <w:ind w:left="0"/>
        <w:jc w:val="left"/>
      </w:pPr>
      <w:r>
        <w:rPr>
          <w:rFonts w:eastAsia="等线" w:ascii="Arial" w:cs="Arial" w:hAnsi="Arial"/>
          <w:sz w:val="22"/>
        </w:rPr>
        <w:t>账期在【30】个自然日以内的，甲方需要向乙方支付当月广告投放总消耗金额的【 】%作为账户服务费。</w:t>
      </w:r>
    </w:p>
    <w:p>
      <w:pPr>
        <w:spacing w:before="120" w:after="120" w:line="288" w:lineRule="auto"/>
        <w:ind w:left="0" w:firstLine="420"/>
        <w:jc w:val="left"/>
      </w:pPr>
      <w:r>
        <w:rPr>
          <w:rFonts w:eastAsia="等线" w:ascii="Arial" w:cs="Arial" w:hAnsi="Arial"/>
          <w:sz w:val="22"/>
        </w:rPr>
        <w:t>甲方确认，账户服务费区别于代投服务费。无论甲方在 Google 平台采用自投或代投模式，乙方均有权按照本条约定向甲方收取账户服务费，且该账户服务费与代投服务费性质不同，可并行收取，不得相互抵扣。</w:t>
      </w:r>
    </w:p>
    <w:p>
      <w:pPr>
        <w:spacing w:before="120" w:after="120" w:line="288" w:lineRule="auto"/>
        <w:ind w:left="0" w:firstLine="420"/>
        <w:jc w:val="left"/>
      </w:pPr>
      <w:r>
        <w:rPr>
          <w:rFonts w:eastAsia="等线" w:ascii="Arial" w:cs="Arial" w:hAnsi="Arial"/>
          <w:sz w:val="22"/>
        </w:rPr>
        <w:t>2.2  甲方在Google中使用Non-AC产品进行广告投放且账户被媒体判断为【新客】标准的，则甲方满足标准的账户消耗可以额外获得【 】%比例返点；进一步的，乙方有权对上述账户进行调整以保证甲方账户满足媒体评判标准，若甲方拒绝账户调整的，则乙方有权不给予甲方任何返点。</w:t>
      </w:r>
    </w:p>
    <w:p>
      <w:pPr>
        <w:spacing w:before="120" w:after="120" w:line="288" w:lineRule="auto"/>
        <w:ind w:left="0" w:firstLine="420"/>
        <w:jc w:val="left"/>
      </w:pPr>
      <w:r>
        <w:rPr>
          <w:rFonts w:eastAsia="等线" w:ascii="Arial" w:cs="Arial" w:hAnsi="Arial"/>
          <w:sz w:val="22"/>
        </w:rPr>
        <w:t>2.2.1甲方已悉知，按照媒体判定规则，同客户Parent自然季度Non-AC的消耗30,000美元限额内的部分，在消耗扣除1,000美元后剩余部分享受新客返点，超出部分无任何返点。新客自然季度消耗低于1000美元的无返点，如Google政策更新，乙方也会对此部分计算方式进行相应更新。</w:t>
      </w:r>
    </w:p>
    <w:p>
      <w:pPr>
        <w:spacing w:before="120" w:after="120" w:line="288" w:lineRule="auto"/>
        <w:ind w:left="0" w:firstLine="420"/>
        <w:jc w:val="left"/>
      </w:pPr>
      <w:r>
        <w:rPr>
          <w:rFonts w:eastAsia="等线" w:ascii="Arial" w:cs="Arial" w:hAnsi="Arial"/>
          <w:sz w:val="22"/>
        </w:rPr>
        <w:t>2.3 甲方已悉知DV360, The Third Party Exchange, YouTube Masthead, Other front-end bookings等广告形式不享受Google返点，如Google政策更新，乙方也会对此部分计算方式进行相应更新。</w:t>
      </w:r>
    </w:p>
    <w:p>
      <w:pPr>
        <w:spacing w:before="120" w:after="120" w:line="288" w:lineRule="auto"/>
        <w:ind w:left="0" w:firstLine="420"/>
        <w:jc w:val="left"/>
      </w:pPr>
      <w:r>
        <w:rPr>
          <w:rFonts w:eastAsia="等线" w:ascii="Arial" w:cs="Arial" w:hAnsi="Arial"/>
          <w:sz w:val="22"/>
        </w:rPr>
        <w:t>2.4 甲方在Google中进行广告投放，需要满足Broad Match + Smart Bidding、Demand Gen、Performance Max Best Practices、Performance-Powered Conversions、Search Value-Based Bidding、tROAS Bidding on App的几项指标要求，如甲方未能达成如上任一指标的，乙方有权要求甲方进行调整，若甲方拒绝账户调整的，则乙方无法保障甲方账户的正常投放以及本合同约定的返点和账期，甲方悉知且确认在此情况下不视为乙方违约。</w:t>
      </w:r>
    </w:p>
    <w:p>
      <w:pPr>
        <w:spacing w:before="120" w:after="120" w:line="288" w:lineRule="auto"/>
        <w:ind w:left="0" w:firstLine="420"/>
        <w:jc w:val="left"/>
      </w:pPr>
      <w:r>
        <w:rPr>
          <w:rFonts w:eastAsia="等线" w:ascii="Arial" w:cs="Arial" w:hAnsi="Arial"/>
          <w:sz w:val="22"/>
        </w:rPr>
        <w:t>2.5 甲方向乙方支付全额广告发布金额，在季度结束后，乙方将根据甲方实际支付的广告发布总额结算返点。甲方明确知悉并同意：甲方在该季度内存在任一笔款项逾期支付的，乙方有权取消该季度的全部返点；甲方存在具有媒体平台约定的减免支付返点的情形的，即使甲方已经按时支付完毕广告发布金额，也不参与返点。</w:t>
      </w:r>
    </w:p>
    <w:p>
      <w:pPr>
        <w:spacing w:before="120" w:after="120" w:line="288" w:lineRule="auto"/>
        <w:ind w:left="0" w:firstLine="420"/>
        <w:jc w:val="left"/>
      </w:pPr>
      <w:r>
        <w:rPr>
          <w:rFonts w:eastAsia="等线" w:ascii="Arial" w:cs="Arial" w:hAnsi="Arial"/>
          <w:sz w:val="22"/>
        </w:rPr>
        <w:t>2.6  针对俄罗斯、法国和匈牙利的所有广告类型投放所涉及的消耗金额均无任何返点。</w:t>
      </w:r>
    </w:p>
    <w:p>
      <w:pPr>
        <w:spacing w:before="120" w:after="120" w:line="288" w:lineRule="auto"/>
        <w:ind w:left="0" w:firstLine="420"/>
        <w:jc w:val="left"/>
      </w:pPr>
      <w:r>
        <w:rPr>
          <w:rFonts w:eastAsia="等线" w:ascii="Arial" w:cs="Arial" w:hAnsi="Arial"/>
          <w:sz w:val="22"/>
        </w:rPr>
        <w:t>2.7  Google数字服务税不计入广告投放消耗金额，甲方不享受任何返点。</w:t>
      </w:r>
    </w:p>
    <w:p>
      <w:pPr>
        <w:spacing w:before="120" w:after="120" w:line="288" w:lineRule="auto"/>
        <w:ind w:left="0" w:firstLine="420"/>
        <w:jc w:val="left"/>
      </w:pPr>
      <w:r>
        <w:rPr>
          <w:rFonts w:eastAsia="等线" w:ascii="Arial" w:cs="Arial" w:hAnsi="Arial"/>
          <w:sz w:val="22"/>
        </w:rPr>
        <w:t>2.8  甲方通过乙方投放的Google Ads广告账户不得关联乙方外的任何代理商，否则将导致此类账户甲方无法享受上述返点。</w:t>
      </w:r>
    </w:p>
    <w:p>
      <w:pPr>
        <w:spacing w:before="120" w:after="120" w:line="288" w:lineRule="auto"/>
        <w:ind w:left="0" w:firstLine="420"/>
        <w:jc w:val="left"/>
      </w:pPr>
      <w:r>
        <w:rPr>
          <w:rFonts w:eastAsia="等线" w:ascii="Arial" w:cs="Arial" w:hAnsi="Arial"/>
          <w:sz w:val="22"/>
        </w:rPr>
        <w:t>2.9  如甲方与Google媒体进行了API对接，则无法享受上述返点优惠。</w:t>
      </w:r>
    </w:p>
    <w:p>
      <w:pPr>
        <w:spacing w:before="120" w:after="120" w:line="288" w:lineRule="auto"/>
        <w:ind w:left="0" w:firstLine="420"/>
        <w:jc w:val="left"/>
      </w:pPr>
      <w:r>
        <w:rPr>
          <w:rFonts w:eastAsia="等线" w:ascii="Arial" w:cs="Arial" w:hAnsi="Arial"/>
          <w:sz w:val="22"/>
        </w:rPr>
        <w:t>2.10甲方通过乙方投放的Google Ads广告如被媒体判定为违规投放的或者在该季度CID违规率超过【10%】的，则所有投放消耗均无返点。乙方有权保留追究因甲方违规而产生的媒体罚金而遭受的损失的权利，最终将以媒体判定为准。</w:t>
      </w:r>
    </w:p>
    <w:p>
      <w:pPr>
        <w:spacing w:before="120" w:after="120" w:line="288" w:lineRule="auto"/>
        <w:ind w:left="0" w:firstLine="420"/>
        <w:jc w:val="left"/>
      </w:pPr>
      <w:r>
        <w:rPr>
          <w:rFonts w:eastAsia="等线" w:ascii="Arial" w:cs="Arial" w:hAnsi="Arial"/>
          <w:sz w:val="22"/>
        </w:rPr>
        <w:t>CID违规率:甲方某季度被Google判定为违规封号的账户数(不含经申诉后解封的账户)/甲方在该季度于乙方新开设的全部账户数。</w:t>
      </w:r>
    </w:p>
    <w:p>
      <w:pPr>
        <w:spacing w:before="120" w:after="120" w:line="288" w:lineRule="auto"/>
        <w:ind w:left="0" w:firstLine="420"/>
        <w:jc w:val="left"/>
      </w:pPr>
      <w:r>
        <w:rPr>
          <w:rFonts w:eastAsia="等线" w:ascii="Arial" w:cs="Arial" w:hAnsi="Arial"/>
          <w:sz w:val="22"/>
        </w:rPr>
        <w:t>2.11甲方Google Ads账户的Billing归属为乙方，且Billing Country需为中国或/和中国香港，否则无法享受上述返点。</w:t>
      </w:r>
    </w:p>
    <w:p>
      <w:pPr>
        <w:spacing w:before="120" w:after="120" w:line="288" w:lineRule="auto"/>
        <w:ind w:left="0" w:firstLine="420"/>
        <w:jc w:val="left"/>
      </w:pPr>
      <w:r>
        <w:rPr>
          <w:rFonts w:eastAsia="等线" w:ascii="Arial" w:cs="Arial" w:hAnsi="Arial"/>
          <w:sz w:val="22"/>
        </w:rPr>
        <w:t>2.12甲方已悉知针对Google不提供返点部分的消耗金额或因Google单方面决定不给予返点的，乙方也有权不向甲方提供任何返点。</w:t>
      </w:r>
    </w:p>
    <w:p>
      <w:pPr>
        <w:spacing w:before="120" w:after="120" w:line="288" w:lineRule="auto"/>
        <w:ind w:left="0" w:firstLine="420"/>
        <w:jc w:val="left"/>
      </w:pPr>
      <w:r>
        <w:rPr>
          <w:rFonts w:eastAsia="等线" w:ascii="Arial" w:cs="Arial" w:hAnsi="Arial"/>
          <w:sz w:val="22"/>
        </w:rPr>
        <w:t>2.13 Google媒体平台广告投放所涉及的数字服务税（Digital Service Tax），应由甲方承担。该数字服务税目前为英国：2%；奥地利：5%；土耳其：5%；数字服务税的国家或地区及税费标准如有增加或变更的，均以谷歌的要求为准。</w:t>
      </w:r>
    </w:p>
    <w:p>
      <w:pPr>
        <w:spacing w:before="120" w:after="120" w:line="288" w:lineRule="auto"/>
        <w:ind w:left="0" w:firstLine="420"/>
        <w:jc w:val="left"/>
      </w:pPr>
      <w:r>
        <w:rPr>
          <w:rFonts w:eastAsia="等线" w:ascii="Arial" w:cs="Arial" w:hAnsi="Arial"/>
          <w:sz w:val="22"/>
        </w:rPr>
        <w:t>2.14 针对上述所有政策，如Google媒体有相关更新的，则以Google媒体更新后的指标为准。</w:t>
      </w:r>
    </w:p>
    <w:p>
      <w:pPr>
        <w:spacing w:before="120" w:after="120" w:line="288" w:lineRule="auto"/>
        <w:ind w:left="0" w:firstLine="0"/>
        <w:jc w:val="left"/>
      </w:pPr>
    </w:p>
    <w:p>
      <w:pPr>
        <w:pStyle w:val="4"/>
        <w:spacing w:before="260" w:after="120" w:line="288" w:lineRule="auto"/>
        <w:ind w:left="0"/>
        <w:jc w:val="left"/>
        <w:outlineLvl w:val="3"/>
      </w:pPr>
      <w:bookmarkStart w:name="heading_0" w:id="0"/>
      <w:r>
        <w:rPr>
          <w:rFonts w:eastAsia="等线" w:ascii="Arial" w:cs="Arial" w:hAnsi="Arial"/>
          <w:color w:val="3370ff"/>
          <w:sz w:val="28"/>
        </w:rPr>
        <w:t xml:space="preserve">1.1.1 </w:t>
      </w:r>
      <w:r>
        <w:rPr>
          <w:rFonts w:eastAsia="等线" w:ascii="Arial" w:cs="Arial" w:hAnsi="Arial"/>
          <w:b w:val="true"/>
          <w:sz w:val="28"/>
        </w:rPr>
        <w:t>TikTok</w:t>
      </w:r>
      <w:bookmarkEnd w:id="0"/>
    </w:p>
    <w:p>
      <w:pPr>
        <w:numPr>
          <w:numId w:val="7"/>
        </w:numPr>
        <w:spacing w:before="120" w:after="120" w:line="288" w:lineRule="auto"/>
        <w:ind w:left="0"/>
        <w:jc w:val="left"/>
      </w:pPr>
      <w:r>
        <w:rPr>
          <w:rFonts w:eastAsia="等线" w:ascii="Arial" w:cs="Arial" w:hAnsi="Arial"/>
          <w:b w:val="true"/>
          <w:sz w:val="22"/>
        </w:rPr>
        <w:t>基础返点</w:t>
      </w:r>
    </w:p>
    <w:p>
      <w:pPr>
        <w:numPr>
          <w:numId w:val="8"/>
        </w:numPr>
        <w:spacing w:before="120" w:after="120" w:line="288" w:lineRule="auto"/>
        <w:ind w:left="0"/>
        <w:jc w:val="left"/>
      </w:pPr>
      <w:r>
        <w:rPr>
          <w:rFonts w:eastAsia="等线" w:ascii="Arial" w:cs="Arial" w:hAnsi="Arial"/>
          <w:sz w:val="22"/>
        </w:rPr>
        <w:t>甲方投放TikTok for Business广告的，可以获得以下返点：</w:t>
      </w:r>
    </w:p>
    <w:p>
      <w:pPr>
        <w:numPr>
          <w:numId w:val="9"/>
        </w:numPr>
        <w:spacing w:before="120" w:after="120" w:line="288" w:lineRule="auto"/>
        <w:ind w:left="0"/>
        <w:jc w:val="left"/>
      </w:pPr>
      <w:r>
        <w:rPr>
          <w:rFonts w:eastAsia="等线" w:ascii="Arial" w:cs="Arial" w:hAnsi="Arial"/>
          <w:sz w:val="22"/>
        </w:rPr>
        <w:t>基础返点：【 %】</w:t>
      </w:r>
    </w:p>
    <w:p>
      <w:pPr>
        <w:numPr>
          <w:numId w:val="10"/>
        </w:numPr>
        <w:spacing w:before="120" w:after="120" w:line="288" w:lineRule="auto"/>
        <w:ind w:left="0"/>
        <w:jc w:val="left"/>
      </w:pPr>
      <w:r>
        <w:rPr>
          <w:rFonts w:eastAsia="等线" w:ascii="Arial" w:cs="Arial" w:hAnsi="Arial"/>
          <w:sz w:val="22"/>
        </w:rPr>
        <w:t>季度X返点：【  %】，最终以乙方核算结果为准。</w:t>
      </w:r>
    </w:p>
    <w:p>
      <w:pPr>
        <w:numPr>
          <w:numId w:val="11"/>
        </w:numPr>
        <w:spacing w:before="120" w:after="120" w:line="288" w:lineRule="auto"/>
        <w:ind w:left="0"/>
        <w:jc w:val="left"/>
      </w:pPr>
      <w:r>
        <w:rPr>
          <w:rFonts w:eastAsia="等线" w:ascii="Arial" w:cs="Arial" w:hAnsi="Arial"/>
          <w:sz w:val="22"/>
        </w:rPr>
        <w:t>美国地区(US)、欧盟地区(EU)及拉丁美洲地区(LATAM)的本本店铺无任何返点。</w:t>
      </w:r>
    </w:p>
    <w:p>
      <w:pPr>
        <w:numPr>
          <w:numId w:val="12"/>
        </w:numPr>
        <w:spacing w:before="120" w:after="120" w:line="288" w:lineRule="auto"/>
        <w:ind w:left="0"/>
        <w:jc w:val="left"/>
      </w:pPr>
      <w:r>
        <w:rPr>
          <w:rFonts w:eastAsia="等线" w:ascii="Arial" w:cs="Arial" w:hAnsi="Arial"/>
          <w:sz w:val="22"/>
        </w:rPr>
        <w:t>“本本店铺”指由卖方在目标销售国家/地区基于当地本土资质设立并实际运营的电商店铺，通常具备以下特征：</w:t>
      </w:r>
    </w:p>
    <w:p>
      <w:pPr>
        <w:numPr>
          <w:numId w:val="13"/>
        </w:numPr>
        <w:spacing w:before="120" w:after="120" w:line="288" w:lineRule="auto"/>
        <w:ind w:left="0"/>
        <w:jc w:val="left"/>
      </w:pPr>
      <w:r>
        <w:rPr>
          <w:rFonts w:eastAsia="等线" w:ascii="Arial" w:cs="Arial" w:hAnsi="Arial"/>
          <w:sz w:val="22"/>
        </w:rPr>
        <w:t>本地注册主体： 由具备该国家/地区本地身份的自然人或依法注册的本地法人作为注册主体，须提交有效的本地身份证明（如护照、驾照）、税务号码（如 SSN/ITIN）、企业营业执照及关联本地手机号、邮箱信息等；</w:t>
      </w:r>
    </w:p>
    <w:p>
      <w:pPr>
        <w:numPr>
          <w:numId w:val="14"/>
        </w:numPr>
        <w:spacing w:before="120" w:after="120" w:line="288" w:lineRule="auto"/>
        <w:ind w:left="0"/>
        <w:jc w:val="left"/>
      </w:pPr>
      <w:r>
        <w:rPr>
          <w:rFonts w:eastAsia="等线" w:ascii="Arial" w:cs="Arial" w:hAnsi="Arial"/>
          <w:sz w:val="22"/>
        </w:rPr>
        <w:t>本地履约与物流： 商品需存储于当地仓库，或通过本地物流体系发货，确保订单在本地履约，满足平台对履约效率的要求；</w:t>
      </w:r>
    </w:p>
    <w:p>
      <w:pPr>
        <w:numPr>
          <w:numId w:val="15"/>
        </w:numPr>
        <w:spacing w:before="120" w:after="120" w:line="288" w:lineRule="auto"/>
        <w:ind w:left="0"/>
        <w:jc w:val="left"/>
      </w:pPr>
      <w:r>
        <w:rPr>
          <w:rFonts w:eastAsia="等线" w:ascii="Arial" w:cs="Arial" w:hAnsi="Arial"/>
          <w:sz w:val="22"/>
        </w:rPr>
        <w:t>本地化经营对象： 主要向同一国家/地区的TikTok平台用户进行销售，不涉及跨境出口业务；</w:t>
      </w:r>
    </w:p>
    <w:p>
      <w:pPr>
        <w:numPr>
          <w:numId w:val="16"/>
        </w:numPr>
        <w:spacing w:before="120" w:after="120" w:line="288" w:lineRule="auto"/>
        <w:ind w:left="0"/>
        <w:jc w:val="left"/>
      </w:pPr>
      <w:r>
        <w:rPr>
          <w:rFonts w:eastAsia="等线" w:ascii="Arial" w:cs="Arial" w:hAnsi="Arial"/>
          <w:sz w:val="22"/>
        </w:rPr>
        <w:t>区别于跨境店铺（POP）： 区别于由中国大陆或香港地区主体注册并以跨境方式经营的“跨境店铺”，“本本店铺”在资质认定、履约方式、补贴规则及平台属性上均适用本地标准。</w:t>
      </w:r>
    </w:p>
    <w:p>
      <w:pPr>
        <w:numPr>
          <w:numId w:val="17"/>
        </w:numPr>
        <w:spacing w:before="120" w:after="120" w:line="288" w:lineRule="auto"/>
        <w:ind w:left="0"/>
        <w:jc w:val="left"/>
      </w:pPr>
      <w:r>
        <w:rPr>
          <w:rFonts w:eastAsia="等线" w:ascii="Arial" w:cs="Arial" w:hAnsi="Arial"/>
          <w:b w:val="true"/>
          <w:sz w:val="22"/>
        </w:rPr>
        <w:t>专项返点</w:t>
      </w:r>
    </w:p>
    <w:p>
      <w:pPr>
        <w:numPr>
          <w:numId w:val="18"/>
        </w:numPr>
        <w:spacing w:before="120" w:after="120" w:line="288" w:lineRule="auto"/>
        <w:ind w:left="0"/>
        <w:jc w:val="left"/>
      </w:pPr>
      <w:r>
        <w:rPr>
          <w:rFonts w:eastAsia="等线" w:ascii="Arial" w:cs="Arial" w:hAnsi="Arial"/>
          <w:sz w:val="22"/>
        </w:rPr>
        <w:t>甲方的Shop被媒体判断符合【通用新开】标准的，则甲方满足标准的每个Shop有机会可以额外获得如下返点奖励，金额最终以媒体判定为准：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1680"/>
        <w:gridCol w:w="4530"/>
      </w:tblGrid>
      <w:tr>
        <w:tc>
          <w:tcPr>
            <w:tcW w:w="375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 xml:space="preserve">2025年Q4季度 </w:t>
            </w:r>
          </w:p>
          <w:p>
            <w:pPr>
              <w:spacing w:before="120" w:after="120" w:line="288" w:lineRule="auto"/>
              <w:ind w:left="0"/>
              <w:jc w:val="center"/>
            </w:pPr>
            <w:r>
              <w:rPr>
                <w:rFonts w:eastAsia="等线" w:ascii="Arial" w:cs="Arial" w:hAnsi="Arial"/>
                <w:b w:val="true"/>
                <w:sz w:val="22"/>
              </w:rPr>
              <w:t>TTS新开激励</w:t>
            </w:r>
          </w:p>
        </w:tc>
        <w:tc>
          <w:tcPr>
            <w:tcW w:w="1680" w:type="dxa"/>
            <w:hMerge w:val="continue"/>
            <w:tcMar>
              <w:top w:type="dxa" w:w="60"/>
              <w:left w:type="dxa" w:w="120"/>
              <w:bottom w:type="dxa" w:w="30"/>
              <w:right w:type="dxa" w:w="120"/>
            </w:tcMar>
          </w:tcPr>
          <w:p>
            <w:pPr>
              <w:spacing w:before="120" w:after="120" w:line="288" w:lineRule="auto"/>
              <w:ind w:left="0"/>
              <w:jc w:val="left"/>
            </w:pP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季度闭环电商广告消耗</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返点金额</w:t>
            </w:r>
          </w:p>
        </w:tc>
        <w:tc>
          <w:tcPr>
            <w:tcW w:w="4530" w:type="dxa"/>
            <w:vMerge w:val="restart"/>
            <w:tcMar>
              <w:top w:type="dxa" w:w="60"/>
              <w:left w:type="dxa" w:w="120"/>
              <w:bottom w:type="dxa" w:w="30"/>
              <w:right w:type="dxa" w:w="120"/>
            </w:tcMar>
          </w:tcPr>
          <w:p>
            <w:pPr>
              <w:numPr>
                <w:numId w:val="19"/>
              </w:numPr>
              <w:spacing w:before="120" w:after="120" w:line="288" w:lineRule="auto"/>
              <w:ind w:left="0"/>
              <w:jc w:val="left"/>
            </w:pPr>
            <w:r>
              <w:rPr>
                <w:rFonts w:eastAsia="等线" w:ascii="Arial" w:cs="Arial" w:hAnsi="Arial"/>
                <w:sz w:val="22"/>
              </w:rPr>
              <w:t>Shop在TikTok的首次广告消耗发生在本季度；</w:t>
            </w:r>
          </w:p>
          <w:p>
            <w:pPr>
              <w:numPr>
                <w:numId w:val="20"/>
              </w:numPr>
              <w:spacing w:before="120" w:after="120" w:line="288" w:lineRule="auto"/>
              <w:ind w:left="0"/>
              <w:jc w:val="left"/>
            </w:pPr>
            <w:r>
              <w:rPr>
                <w:rFonts w:eastAsia="等线" w:ascii="Arial" w:cs="Arial" w:hAnsi="Arial"/>
                <w:sz w:val="22"/>
              </w:rPr>
              <w:t>投放地为US/SEA地区的，投广客户集团首次广告消耗发生在本季度，且Shop本季度的闭环电商广告业绩不低于$1000；</w:t>
            </w:r>
          </w:p>
          <w:p>
            <w:pPr>
              <w:numPr>
                <w:numId w:val="21"/>
              </w:numPr>
              <w:spacing w:before="120" w:after="120" w:line="288" w:lineRule="auto"/>
              <w:ind w:left="0"/>
              <w:jc w:val="left"/>
            </w:pPr>
            <w:r>
              <w:rPr>
                <w:rFonts w:eastAsia="等线" w:ascii="Arial" w:cs="Arial" w:hAnsi="Arial"/>
                <w:sz w:val="22"/>
              </w:rPr>
              <w:t>投放地为非US/SEA外其他国家的，投广客户集团首次投放该国家的广告消耗发生在本季度，且Shop本季度的在该国家的闭环电商广告业绩不低于$1,000。</w:t>
            </w:r>
          </w:p>
          <w:p>
            <w:pPr>
              <w:numPr>
                <w:numId w:val="22"/>
              </w:numPr>
              <w:spacing w:before="120" w:after="120" w:line="288" w:lineRule="auto"/>
              <w:ind w:left="0"/>
              <w:jc w:val="left"/>
            </w:pPr>
            <w:r>
              <w:rPr>
                <w:rFonts w:eastAsia="等线" w:ascii="Arial" w:cs="Arial" w:hAnsi="Arial"/>
                <w:sz w:val="22"/>
              </w:rPr>
              <w:t>TTS新开激励不再普遍适用所有Shop类型，具体适用情况以媒体说明为准。</w:t>
            </w:r>
          </w:p>
          <w:p>
            <w:pPr>
              <w:numPr>
                <w:numId w:val="23"/>
              </w:numPr>
              <w:spacing w:before="120" w:after="120" w:line="288" w:lineRule="auto"/>
              <w:ind w:left="0"/>
              <w:jc w:val="left"/>
            </w:pPr>
            <w:r>
              <w:rPr>
                <w:rFonts w:eastAsia="等线" w:ascii="Arial" w:cs="Arial" w:hAnsi="Arial"/>
                <w:sz w:val="22"/>
              </w:rPr>
              <w:t>投放地的划分基于TTS Operation Country来判定</w:t>
            </w:r>
          </w:p>
          <w:p>
            <w:pPr>
              <w:numPr>
                <w:numId w:val="24"/>
              </w:numPr>
              <w:spacing w:before="120" w:after="120" w:line="288" w:lineRule="auto"/>
              <w:ind w:left="0"/>
              <w:jc w:val="left"/>
            </w:pPr>
            <w:r>
              <w:rPr>
                <w:rFonts w:eastAsia="等线" w:ascii="Arial" w:cs="Arial" w:hAnsi="Arial"/>
                <w:sz w:val="22"/>
              </w:rPr>
              <w:t xml:space="preserve">投放客户集团的认定以媒体判定为准； </w:t>
            </w:r>
          </w:p>
          <w:p>
            <w:pPr>
              <w:numPr>
                <w:numId w:val="25"/>
              </w:numPr>
              <w:spacing w:before="120" w:after="120" w:line="288" w:lineRule="auto"/>
              <w:ind w:left="0"/>
              <w:jc w:val="left"/>
            </w:pPr>
            <w:r>
              <w:rPr>
                <w:rFonts w:eastAsia="等线" w:ascii="Arial" w:cs="Arial" w:hAnsi="Arial"/>
                <w:sz w:val="22"/>
              </w:rPr>
              <w:t>追加返点：满足25年Q3 新开判定条件且25年Q4返点梯度有所上升且消耗不低于$1,000的，根据Shop首次消耗开始rolling90天的广告消耗所属区间，按照本表约定的总返点金额减去25年Q3该Shop在TTS新开专项所发放的返点金额，即为25年Q4应得返点奖励。</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$10,000以上</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$5,000-10,000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$2,000-5,000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$1,000-2,000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530"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420"/>
        <w:jc w:val="left"/>
      </w:pPr>
      <w:r>
        <w:rPr>
          <w:rFonts w:eastAsia="等线" w:ascii="Arial" w:cs="Arial" w:hAnsi="Arial"/>
          <w:sz w:val="22"/>
        </w:rPr>
        <w:t xml:space="preserve"> </w:t>
      </w:r>
    </w:p>
    <w:p>
      <w:pPr>
        <w:numPr>
          <w:numId w:val="26"/>
        </w:numPr>
        <w:spacing w:before="120" w:after="120" w:line="288" w:lineRule="auto"/>
        <w:ind w:left="0"/>
        <w:jc w:val="left"/>
      </w:pPr>
      <w:r>
        <w:rPr>
          <w:rFonts w:eastAsia="等线" w:ascii="Arial" w:cs="Arial" w:hAnsi="Arial"/>
          <w:sz w:val="22"/>
        </w:rPr>
        <w:t>甲方的Shop被媒体判断符合【首播首投】标准的，则甲方满足标准的每个Shop有机会可以额外获得如下返点奖励，返点金额最终以媒体判定为准：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1545"/>
        <w:gridCol w:w="4665"/>
      </w:tblGrid>
      <w:tr>
        <w:tc>
          <w:tcPr>
            <w:tcW w:w="361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2025年Q4季度</w:t>
            </w:r>
          </w:p>
          <w:p>
            <w:pPr>
              <w:spacing w:before="120" w:after="120" w:line="288" w:lineRule="auto"/>
              <w:ind w:left="0"/>
              <w:jc w:val="center"/>
            </w:pPr>
            <w:r>
              <w:rPr>
                <w:rFonts w:eastAsia="等线" w:ascii="Arial" w:cs="Arial" w:hAnsi="Arial"/>
                <w:b w:val="true"/>
                <w:sz w:val="22"/>
              </w:rPr>
              <w:t>首播首投激励</w:t>
            </w:r>
          </w:p>
        </w:tc>
        <w:tc>
          <w:tcPr>
            <w:tcW w:w="1545" w:type="dxa"/>
            <w:hMerge w:val="continue"/>
            <w:tcMar>
              <w:top w:type="dxa" w:w="60"/>
              <w:left w:type="dxa" w:w="120"/>
              <w:bottom w:type="dxa" w:w="30"/>
              <w:right w:type="dxa" w:w="120"/>
            </w:tcMar>
          </w:tcPr>
          <w:p>
            <w:pPr>
              <w:spacing w:before="120" w:after="120" w:line="288" w:lineRule="auto"/>
              <w:ind w:left="0"/>
              <w:jc w:val="left"/>
            </w:pPr>
          </w:p>
        </w:tc>
        <w:tc>
          <w:tcPr>
            <w:tcW w:w="46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季度LSA广告消耗</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返点金额</w:t>
            </w:r>
          </w:p>
        </w:tc>
        <w:tc>
          <w:tcPr>
            <w:tcW w:w="4665" w:type="dxa"/>
            <w:vMerge w:val="restart"/>
            <w:tcMar>
              <w:top w:type="dxa" w:w="60"/>
              <w:left w:type="dxa" w:w="120"/>
              <w:bottom w:type="dxa" w:w="30"/>
              <w:right w:type="dxa" w:w="120"/>
            </w:tcMar>
          </w:tcPr>
          <w:p>
            <w:pPr>
              <w:numPr>
                <w:numId w:val="27"/>
              </w:numPr>
              <w:spacing w:before="120" w:after="120" w:line="288" w:lineRule="auto"/>
              <w:ind w:left="0"/>
              <w:jc w:val="left"/>
            </w:pPr>
            <w:r>
              <w:rPr>
                <w:rFonts w:eastAsia="等线" w:ascii="Arial" w:cs="Arial" w:hAnsi="Arial"/>
                <w:sz w:val="22"/>
              </w:rPr>
              <w:t>“首播首投”指Shop在TikTok For Business的首次直播且首次投放LSA广告发生在本季度，且Shop本季度的LSA业绩不低于$1,000。LSA的产品类型包含Level 5 product = 'GMV Max Live'、'Shop Ads Custom LSA'。</w:t>
            </w:r>
          </w:p>
          <w:p>
            <w:pPr>
              <w:numPr>
                <w:numId w:val="28"/>
              </w:numPr>
              <w:spacing w:before="120" w:after="120" w:line="288" w:lineRule="auto"/>
              <w:ind w:left="0"/>
              <w:jc w:val="left"/>
            </w:pPr>
            <w:r>
              <w:rPr>
                <w:rFonts w:eastAsia="等线" w:ascii="Arial" w:cs="Arial" w:hAnsi="Arial"/>
                <w:sz w:val="22"/>
              </w:rPr>
              <w:t>Shop在本季度的Daily GMV≥500。“Shop Daily GMV”指乙方店铺在本季度的日均成交总额，其计算公式如下：</w:t>
            </w:r>
          </w:p>
          <w:p>
            <w:pPr>
              <w:spacing w:before="120" w:after="120" w:line="288" w:lineRule="auto"/>
              <w:ind w:left="0"/>
              <w:jc w:val="left"/>
            </w:pPr>
          </w:p>
          <w:p>
            <w:pPr>
              <w:spacing w:before="120" w:after="120" w:line="288" w:lineRule="auto"/>
              <w:ind w:left="0"/>
              <w:jc w:val="left"/>
            </w:pPr>
            <w:r>
              <w:rPr>
                <w:rFonts w:eastAsia="等线" w:ascii="Arial" w:cs="Arial" w:hAnsi="Arial"/>
                <w:sz w:val="22"/>
              </w:rPr>
              <w:t>Shop Daily GMV = 本季度内该 Shop 的累计 GMV ÷ 计算周期天数</w:t>
            </w:r>
          </w:p>
          <w:p>
            <w:pPr>
              <w:spacing w:before="120" w:after="120" w:line="288" w:lineRule="auto"/>
              <w:ind w:left="0"/>
              <w:jc w:val="left"/>
            </w:pPr>
          </w:p>
          <w:p>
            <w:pPr>
              <w:spacing w:before="120" w:after="120" w:line="288" w:lineRule="auto"/>
              <w:ind w:left="0"/>
              <w:jc w:val="left"/>
            </w:pPr>
            <w:r>
              <w:rPr>
                <w:rFonts w:eastAsia="等线" w:ascii="Arial" w:cs="Arial" w:hAnsi="Arial"/>
                <w:sz w:val="22"/>
              </w:rPr>
              <w:t>若 Shop 的首次消耗发生在本季度内，则“计算周期天数”为自该 Shop首次消耗当日至本季度最后一日(含当日)之间的自然日天数；</w:t>
            </w:r>
          </w:p>
          <w:p>
            <w:pPr>
              <w:spacing w:before="120" w:after="120" w:line="288" w:lineRule="auto"/>
              <w:ind w:left="0"/>
              <w:jc w:val="left"/>
            </w:pPr>
            <w:r>
              <w:rPr>
                <w:rFonts w:eastAsia="等线" w:ascii="Arial" w:cs="Arial" w:hAnsi="Arial"/>
                <w:sz w:val="22"/>
              </w:rPr>
              <w:t>若 Shop 的首次消耗早于本季度开始日，则“计算周期天数”为本季度的天数，即 92 天(10 月 1 日至 12 月 31 日)。</w:t>
            </w:r>
          </w:p>
          <w:p>
            <w:pPr>
              <w:numPr>
                <w:numId w:val="29"/>
              </w:numPr>
              <w:spacing w:before="120" w:after="120" w:line="288" w:lineRule="auto"/>
              <w:ind w:left="0"/>
              <w:jc w:val="left"/>
            </w:pPr>
            <w:r>
              <w:rPr>
                <w:rFonts w:eastAsia="等线" w:ascii="Arial" w:cs="Arial" w:hAnsi="Arial"/>
                <w:sz w:val="22"/>
              </w:rPr>
              <w:t>若同一个Shop同时满足了“首播首投”和“直播投广”奖励，则该Shop最终获得的奖励金额为““首播首投”和“直播投广”奖励中的最高奖励金额。</w:t>
            </w:r>
          </w:p>
          <w:p>
            <w:pPr>
              <w:numPr>
                <w:numId w:val="30"/>
              </w:numPr>
              <w:spacing w:before="120" w:after="120" w:line="288" w:lineRule="auto"/>
              <w:ind w:left="0"/>
              <w:jc w:val="left"/>
            </w:pPr>
            <w:r>
              <w:rPr>
                <w:rFonts w:eastAsia="等线" w:ascii="Arial" w:cs="Arial" w:hAnsi="Arial"/>
                <w:sz w:val="22"/>
              </w:rPr>
              <w:t>追加返点：满足25年Q3 LSA新开判定条件且25年Q4返点梯度有所上升且消耗不低于$1,000的，根据Shop首次消耗开始rolling90天的广告消耗所属区间，按照本表约定的总返点金额减去25年Q3该Shop在LSA新开专项所发放的返点金额，即为25年Q4应得返点奖励。</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$10,000以上</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$5,000-10,000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$2,000-5,000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$1,000-2,000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665"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甲方的Shop被媒体判断符合【首次投广】标准的，则甲方满足标准的每个Shop有机会可以额外获得如下返点奖励，返点金额最终以媒体判定为准：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1680"/>
        <w:gridCol w:w="4530"/>
      </w:tblGrid>
      <w:tr>
        <w:tc>
          <w:tcPr>
            <w:tcW w:w="375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 xml:space="preserve">2025年Q4季度 </w:t>
            </w:r>
          </w:p>
          <w:p>
            <w:pPr>
              <w:spacing w:before="120" w:after="120" w:line="288" w:lineRule="auto"/>
              <w:ind w:left="0"/>
              <w:jc w:val="center"/>
            </w:pPr>
            <w:r>
              <w:rPr>
                <w:rFonts w:eastAsia="等线" w:ascii="Arial" w:cs="Arial" w:hAnsi="Arial"/>
                <w:b w:val="true"/>
                <w:sz w:val="22"/>
              </w:rPr>
              <w:t>首次投广激励</w:t>
            </w:r>
          </w:p>
        </w:tc>
        <w:tc>
          <w:tcPr>
            <w:tcW w:w="1680" w:type="dxa"/>
            <w:hMerge w:val="continue"/>
            <w:tcMar>
              <w:top w:type="dxa" w:w="60"/>
              <w:left w:type="dxa" w:w="120"/>
              <w:bottom w:type="dxa" w:w="30"/>
              <w:right w:type="dxa" w:w="120"/>
            </w:tcMar>
          </w:tcPr>
          <w:p>
            <w:pPr>
              <w:spacing w:before="120" w:after="120" w:line="288" w:lineRule="auto"/>
              <w:ind w:left="0"/>
              <w:jc w:val="left"/>
            </w:pP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季度LSA广告消耗</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返点金额</w:t>
            </w:r>
          </w:p>
        </w:tc>
        <w:tc>
          <w:tcPr>
            <w:tcW w:w="4530" w:type="dxa"/>
            <w:vMerge w:val="restart"/>
            <w:tcMar>
              <w:top w:type="dxa" w:w="60"/>
              <w:left w:type="dxa" w:w="120"/>
              <w:bottom w:type="dxa" w:w="30"/>
              <w:right w:type="dxa" w:w="120"/>
            </w:tcMar>
          </w:tcPr>
          <w:p>
            <w:pPr>
              <w:numPr>
                <w:numId w:val="31"/>
              </w:numPr>
              <w:spacing w:before="120" w:after="120" w:line="288" w:lineRule="auto"/>
              <w:ind w:left="0"/>
              <w:jc w:val="left"/>
            </w:pPr>
            <w:r>
              <w:rPr>
                <w:rFonts w:eastAsia="等线" w:ascii="Arial" w:cs="Arial" w:hAnsi="Arial"/>
                <w:sz w:val="22"/>
              </w:rPr>
              <w:t>Shop在TikTok for Business的首次LSA消耗投放均发生在本季度；且Shop本季度的LSA业绩不低于$1,000。LSA的产品类型包含Level 5 product = 'GMV Max Live'、'Shop Ads Custom LSA'，业绩以 【Shop Self Live Revenue】为准。</w:t>
            </w:r>
          </w:p>
          <w:p>
            <w:pPr>
              <w:numPr>
                <w:numId w:val="32"/>
              </w:numPr>
              <w:spacing w:before="120" w:after="120" w:line="288" w:lineRule="auto"/>
              <w:ind w:left="0"/>
              <w:jc w:val="left"/>
            </w:pPr>
            <w:r>
              <w:rPr>
                <w:rFonts w:eastAsia="等线" w:ascii="Arial" w:cs="Arial" w:hAnsi="Arial"/>
                <w:sz w:val="22"/>
              </w:rPr>
              <w:t>Shop在本季度的Daily GMV≥500。“Shop Daily GMV”指乙方店铺在本季度的日均成交总额，其计算公式如下：</w:t>
            </w:r>
          </w:p>
          <w:p>
            <w:pPr>
              <w:spacing w:before="120" w:after="120" w:line="288" w:lineRule="auto"/>
              <w:ind w:left="0"/>
              <w:jc w:val="left"/>
            </w:pPr>
          </w:p>
          <w:p>
            <w:pPr>
              <w:spacing w:before="120" w:after="120" w:line="288" w:lineRule="auto"/>
              <w:ind w:left="0"/>
              <w:jc w:val="left"/>
            </w:pPr>
            <w:r>
              <w:rPr>
                <w:rFonts w:eastAsia="等线" w:ascii="Arial" w:cs="Arial" w:hAnsi="Arial"/>
                <w:sz w:val="22"/>
              </w:rPr>
              <w:t>Shop Daily GMV = 本季度内该 Shop 的累计 GMV ÷ 计算周期天数</w:t>
            </w:r>
          </w:p>
          <w:p>
            <w:pPr>
              <w:spacing w:before="120" w:after="120" w:line="288" w:lineRule="auto"/>
              <w:ind w:left="0"/>
              <w:jc w:val="left"/>
            </w:pPr>
          </w:p>
          <w:p>
            <w:pPr>
              <w:spacing w:before="120" w:after="120" w:line="288" w:lineRule="auto"/>
              <w:ind w:left="0"/>
              <w:jc w:val="left"/>
            </w:pPr>
            <w:r>
              <w:rPr>
                <w:rFonts w:eastAsia="等线" w:ascii="Arial" w:cs="Arial" w:hAnsi="Arial"/>
                <w:sz w:val="22"/>
              </w:rPr>
              <w:t>若 Shop 的首次消耗发生在本季度内，则“计算周期天数”为自该 Shop首次消耗当日至本季度最后一日(含当日)之间的自然日天数；</w:t>
            </w:r>
          </w:p>
          <w:p>
            <w:pPr>
              <w:spacing w:before="120" w:after="120" w:line="288" w:lineRule="auto"/>
              <w:ind w:left="0"/>
              <w:jc w:val="left"/>
            </w:pPr>
            <w:r>
              <w:rPr>
                <w:rFonts w:eastAsia="等线" w:ascii="Arial" w:cs="Arial" w:hAnsi="Arial"/>
                <w:sz w:val="22"/>
              </w:rPr>
              <w:t>若 Shop 的首次消耗早于本季度开始日，则“计算周期天数”为本季度的天数，即 92 天(10 月 1 日至 12 月 31 日)。</w:t>
            </w:r>
          </w:p>
          <w:p>
            <w:pPr>
              <w:numPr>
                <w:numId w:val="33"/>
              </w:numPr>
              <w:spacing w:before="120" w:after="120" w:line="288" w:lineRule="auto"/>
              <w:ind w:left="0"/>
              <w:jc w:val="left"/>
            </w:pPr>
            <w:r>
              <w:rPr>
                <w:rFonts w:eastAsia="等线" w:ascii="Arial" w:cs="Arial" w:hAnsi="Arial"/>
                <w:sz w:val="22"/>
              </w:rPr>
              <w:t>若同一个Shop同时满足了“首播首投”和“直播投广”奖励，则该Shop最终获得的奖励金额为“首播首投”和“直播投广”奖励中的最高奖励金额。</w:t>
            </w:r>
          </w:p>
          <w:p>
            <w:pPr>
              <w:numPr>
                <w:numId w:val="34"/>
              </w:numPr>
              <w:spacing w:before="120" w:after="120" w:line="288" w:lineRule="auto"/>
              <w:ind w:left="0"/>
              <w:jc w:val="left"/>
            </w:pPr>
            <w:r>
              <w:rPr>
                <w:rFonts w:eastAsia="等线" w:ascii="Arial" w:cs="Arial" w:hAnsi="Arial"/>
                <w:sz w:val="22"/>
              </w:rPr>
              <w:t>追加返点：满足25年Q3 LSA新开判定条件且25年Q4返点梯度有所上升且消耗不低于$1,000的，根据Shop首次消耗开始rolling90天的广告消耗所属区间，按照本表约定的总返点金额减去25年Q3该Shop在LSA新开专项所发放的返点金额，即为25年Q4应得返点奖励。</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$10,000以上</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$5,000-10,000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Shop</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$2,000-5,000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Shop</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$1,000-2,000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Shop</w:t>
            </w:r>
          </w:p>
        </w:tc>
        <w:tc>
          <w:tcPr>
            <w:tcW w:w="4530"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numPr>
          <w:numId w:val="35"/>
        </w:numPr>
        <w:spacing w:before="120" w:after="120" w:line="288" w:lineRule="auto"/>
        <w:ind w:left="0"/>
        <w:jc w:val="left"/>
      </w:pPr>
      <w:r>
        <w:rPr>
          <w:rFonts w:eastAsia="等线" w:ascii="Arial" w:cs="Arial" w:hAnsi="Arial"/>
          <w:sz w:val="22"/>
        </w:rPr>
        <w:t>甲方的剧目被媒体判断符合【短剧新剧目】标准的，则甲方满足标准的每个新剧目有机会可以额外获得如下返点奖励，返点金额最终以媒体判定为准：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1680"/>
        <w:gridCol w:w="4530"/>
      </w:tblGrid>
      <w:tr>
        <w:tc>
          <w:tcPr>
            <w:tcW w:w="375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 xml:space="preserve">2025年Q4季度 </w:t>
            </w:r>
          </w:p>
          <w:p>
            <w:pPr>
              <w:spacing w:before="120" w:after="120" w:line="288" w:lineRule="auto"/>
              <w:ind w:left="0"/>
              <w:jc w:val="center"/>
            </w:pPr>
            <w:r>
              <w:rPr>
                <w:rFonts w:eastAsia="等线" w:ascii="Arial" w:cs="Arial" w:hAnsi="Arial"/>
                <w:b w:val="true"/>
                <w:sz w:val="22"/>
              </w:rPr>
              <w:t>短剧新剧目激励</w:t>
            </w:r>
          </w:p>
        </w:tc>
        <w:tc>
          <w:tcPr>
            <w:tcW w:w="1680" w:type="dxa"/>
            <w:hMerge w:val="continue"/>
            <w:tcMar>
              <w:top w:type="dxa" w:w="60"/>
              <w:left w:type="dxa" w:w="120"/>
              <w:bottom w:type="dxa" w:w="30"/>
              <w:right w:type="dxa" w:w="120"/>
            </w:tcMar>
          </w:tcPr>
          <w:p>
            <w:pPr>
              <w:spacing w:before="120" w:after="120" w:line="288" w:lineRule="auto"/>
              <w:ind w:left="0"/>
              <w:jc w:val="left"/>
            </w:pP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季度剧目广告消耗</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返点金额</w:t>
            </w:r>
          </w:p>
        </w:tc>
        <w:tc>
          <w:tcPr>
            <w:tcW w:w="4530" w:type="dxa"/>
            <w:vMerge w:val="restart"/>
            <w:tcMar>
              <w:top w:type="dxa" w:w="60"/>
              <w:left w:type="dxa" w:w="120"/>
              <w:bottom w:type="dxa" w:w="30"/>
              <w:right w:type="dxa" w:w="120"/>
            </w:tcMar>
          </w:tcPr>
          <w:p>
            <w:pPr>
              <w:numPr>
                <w:numId w:val="36"/>
              </w:numPr>
              <w:spacing w:before="120" w:after="120" w:line="288" w:lineRule="auto"/>
              <w:ind w:left="0"/>
              <w:jc w:val="left"/>
            </w:pPr>
            <w:r>
              <w:rPr>
                <w:rFonts w:eastAsia="等线" w:ascii="Arial" w:cs="Arial" w:hAnsi="Arial"/>
                <w:sz w:val="22"/>
              </w:rPr>
              <w:t>剧目在TikTok for Business的首次广告消耗发生在本季度；</w:t>
            </w:r>
          </w:p>
          <w:p>
            <w:pPr>
              <w:numPr>
                <w:numId w:val="37"/>
              </w:numPr>
              <w:spacing w:before="120" w:after="120" w:line="288" w:lineRule="auto"/>
              <w:ind w:left="0"/>
              <w:jc w:val="left"/>
            </w:pPr>
            <w:r>
              <w:rPr>
                <w:rFonts w:eastAsia="等线" w:ascii="Arial" w:cs="Arial" w:hAnsi="Arial"/>
                <w:sz w:val="22"/>
              </w:rPr>
              <w:t>剧目在本季度的广告消耗不低于$2,000；</w:t>
            </w:r>
          </w:p>
          <w:p>
            <w:pPr>
              <w:numPr>
                <w:numId w:val="38"/>
              </w:numPr>
              <w:spacing w:before="120" w:after="120" w:line="288" w:lineRule="auto"/>
              <w:ind w:left="0"/>
              <w:jc w:val="left"/>
            </w:pPr>
            <w:r>
              <w:rPr>
                <w:rFonts w:eastAsia="等线" w:ascii="Arial" w:cs="Arial" w:hAnsi="Arial"/>
                <w:sz w:val="22"/>
              </w:rPr>
              <w:t>剧目的达标情况以【Short Drama Name】为维度，若核算期间存在剧目合并等原因导致剧目合计消耗发生变动，以媒体核算期间的系统导出数据为准。</w:t>
            </w:r>
          </w:p>
          <w:p>
            <w:pPr>
              <w:numPr>
                <w:numId w:val="39"/>
              </w:numPr>
              <w:spacing w:before="120" w:after="120" w:line="288" w:lineRule="auto"/>
              <w:ind w:left="0"/>
              <w:jc w:val="left"/>
            </w:pPr>
            <w:r>
              <w:rPr>
                <w:rFonts w:eastAsia="等线" w:ascii="Arial" w:cs="Arial" w:hAnsi="Arial"/>
                <w:sz w:val="22"/>
              </w:rPr>
              <w:t>追加返点：满足25年Q3新剧目判定条件且25年Q4返点梯度有所上升且消耗不低于$2,000的，根据剧目首次消耗开始rolling 90天的广告消耗所属区间，按照本表约定的总返点金额减去25年Q3该短剧在短剧新剧目专项所发放的返点金额, 即为25年Q4应得的返点奖励。</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$30,000以上</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$【】/剧目</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$10,000-30,000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$【】/剧目</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$5,000-10,000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$【】/剧目</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$2,000-5,000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$【】/剧目</w:t>
            </w:r>
          </w:p>
        </w:tc>
        <w:tc>
          <w:tcPr>
            <w:tcW w:w="4530"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420"/>
        <w:jc w:val="left"/>
      </w:pPr>
    </w:p>
    <w:p>
      <w:pPr>
        <w:numPr>
          <w:numId w:val="40"/>
        </w:numPr>
        <w:spacing w:before="120" w:after="120" w:line="288" w:lineRule="auto"/>
        <w:ind w:left="0"/>
        <w:jc w:val="left"/>
      </w:pPr>
      <w:r>
        <w:rPr>
          <w:rFonts w:eastAsia="等线" w:ascii="Arial" w:cs="Arial" w:hAnsi="Arial"/>
          <w:sz w:val="22"/>
        </w:rPr>
        <w:t>甲方的App被媒体判断符合【游戏新开专项】标准的，则甲方满足标准的每个APP有机会可以额外获得如下返点奖励，返点金额最终以媒体判定为准：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1545"/>
        <w:gridCol w:w="4665"/>
      </w:tblGrid>
      <w:tr>
        <w:tc>
          <w:tcPr>
            <w:tcW w:w="361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2025年Q4季度</w:t>
            </w:r>
          </w:p>
          <w:p>
            <w:pPr>
              <w:spacing w:before="120" w:after="120" w:line="288" w:lineRule="auto"/>
              <w:ind w:left="0"/>
              <w:jc w:val="center"/>
            </w:pPr>
            <w:r>
              <w:rPr>
                <w:rFonts w:eastAsia="等线" w:ascii="Arial" w:cs="Arial" w:hAnsi="Arial"/>
                <w:b w:val="true"/>
                <w:sz w:val="22"/>
              </w:rPr>
              <w:t>游戏新开激励</w:t>
            </w:r>
          </w:p>
        </w:tc>
        <w:tc>
          <w:tcPr>
            <w:tcW w:w="1545" w:type="dxa"/>
            <w:hMerge w:val="continue"/>
            <w:tcMar>
              <w:top w:type="dxa" w:w="60"/>
              <w:left w:type="dxa" w:w="120"/>
              <w:bottom w:type="dxa" w:w="30"/>
              <w:right w:type="dxa" w:w="120"/>
            </w:tcMar>
          </w:tcPr>
          <w:p>
            <w:pPr>
              <w:spacing w:before="120" w:after="120" w:line="288" w:lineRule="auto"/>
              <w:ind w:left="0"/>
              <w:jc w:val="left"/>
            </w:pPr>
          </w:p>
        </w:tc>
        <w:tc>
          <w:tcPr>
            <w:tcW w:w="46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季度游戏广告消耗</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返点金额</w:t>
            </w:r>
          </w:p>
        </w:tc>
        <w:tc>
          <w:tcPr>
            <w:tcW w:w="4665" w:type="dxa"/>
            <w:vMerge w:val="restart"/>
            <w:tcMar>
              <w:top w:type="dxa" w:w="60"/>
              <w:left w:type="dxa" w:w="120"/>
              <w:bottom w:type="dxa" w:w="30"/>
              <w:right w:type="dxa" w:w="120"/>
            </w:tcMar>
          </w:tcPr>
          <w:p>
            <w:pPr>
              <w:numPr>
                <w:numId w:val="41"/>
              </w:numPr>
              <w:spacing w:before="120" w:after="120" w:line="288" w:lineRule="auto"/>
              <w:ind w:left="0"/>
              <w:jc w:val="left"/>
            </w:pPr>
            <w:r>
              <w:rPr>
                <w:rFonts w:eastAsia="等线" w:ascii="Arial" w:cs="Arial" w:hAnsi="Arial"/>
                <w:sz w:val="22"/>
              </w:rPr>
              <w:t>App在TikTok for Business的首次广告消耗发生在本季度；</w:t>
            </w:r>
          </w:p>
          <w:p>
            <w:pPr>
              <w:numPr>
                <w:numId w:val="42"/>
              </w:numPr>
              <w:spacing w:before="120" w:after="120" w:line="288" w:lineRule="auto"/>
              <w:ind w:left="0"/>
              <w:jc w:val="left"/>
            </w:pPr>
            <w:r>
              <w:rPr>
                <w:rFonts w:eastAsia="等线" w:ascii="Arial" w:cs="Arial" w:hAnsi="Arial"/>
                <w:sz w:val="22"/>
              </w:rPr>
              <w:t>投广客户集团在TikTok for Business的首次广告消耗发生在本季度，包含连续180天未产生消耗，重新开始产生消耗发生在本季度；</w:t>
            </w:r>
          </w:p>
          <w:p>
            <w:pPr>
              <w:numPr>
                <w:numId w:val="43"/>
              </w:numPr>
              <w:spacing w:before="120" w:after="120" w:line="288" w:lineRule="auto"/>
              <w:ind w:left="0"/>
              <w:jc w:val="left"/>
            </w:pPr>
            <w:r>
              <w:rPr>
                <w:rFonts w:eastAsia="等线" w:ascii="Arial" w:cs="Arial" w:hAnsi="Arial"/>
                <w:sz w:val="22"/>
              </w:rPr>
              <w:t>App在本季度的广告消耗不低于$1,000；</w:t>
            </w:r>
          </w:p>
          <w:p>
            <w:pPr>
              <w:numPr>
                <w:numId w:val="44"/>
              </w:numPr>
              <w:spacing w:before="120" w:after="120" w:line="288" w:lineRule="auto"/>
              <w:ind w:left="0"/>
              <w:jc w:val="left"/>
            </w:pPr>
            <w:r>
              <w:rPr>
                <w:rFonts w:eastAsia="等线" w:ascii="Arial" w:cs="Arial" w:hAnsi="Arial"/>
                <w:sz w:val="22"/>
              </w:rPr>
              <w:t>追加返点：满足25年Q3新开判定条件且25年Q4返点梯度有所上升且消耗不低于$1,000的，根据App首次消耗开始rolling90天的广告消耗所属区间，按照本表约定的总返点金额减去25年Q3该App在游戏新开专项所发放的返点金额，即为25年Q4应得返点奖励。</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$50,000以上</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$【】/App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$10,000-50,000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App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$5,000-10,000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App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$1,000-5,000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$【】/App</w:t>
            </w:r>
          </w:p>
        </w:tc>
        <w:tc>
          <w:tcPr>
            <w:tcW w:w="4665"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spacing w:before="120" w:after="120" w:line="288" w:lineRule="auto"/>
        <w:ind w:left="0" w:firstLine="0"/>
        <w:jc w:val="left"/>
      </w:pPr>
    </w:p>
    <w:p>
      <w:pPr>
        <w:numPr>
          <w:numId w:val="45"/>
        </w:numPr>
        <w:spacing w:before="120" w:after="120" w:line="288" w:lineRule="auto"/>
        <w:ind w:left="0"/>
        <w:jc w:val="left"/>
      </w:pPr>
      <w:r>
        <w:rPr>
          <w:rFonts w:eastAsia="等线" w:ascii="Arial" w:cs="Arial" w:hAnsi="Arial"/>
          <w:sz w:val="22"/>
        </w:rPr>
        <w:t>甲方的App被媒体判断符合【应用非短剧专项】标准的，则甲方满足标准的每个APP有机会可以额外获得如下返点奖励，返点金额最终以媒体判定为准：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1545"/>
        <w:gridCol w:w="4665"/>
      </w:tblGrid>
      <w:tr>
        <w:tc>
          <w:tcPr>
            <w:tcW w:w="361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2025年Q4季度</w:t>
            </w:r>
          </w:p>
          <w:p>
            <w:pPr>
              <w:spacing w:before="120" w:after="120" w:line="288" w:lineRule="auto"/>
              <w:ind w:left="0"/>
              <w:jc w:val="center"/>
            </w:pPr>
            <w:r>
              <w:rPr>
                <w:rFonts w:eastAsia="等线" w:ascii="Arial" w:cs="Arial" w:hAnsi="Arial"/>
                <w:b w:val="true"/>
                <w:sz w:val="22"/>
              </w:rPr>
              <w:t>应用非短剧激励</w:t>
            </w:r>
          </w:p>
        </w:tc>
        <w:tc>
          <w:tcPr>
            <w:tcW w:w="1545" w:type="dxa"/>
            <w:hMerge w:val="continue"/>
            <w:tcMar>
              <w:top w:type="dxa" w:w="60"/>
              <w:left w:type="dxa" w:w="120"/>
              <w:bottom w:type="dxa" w:w="30"/>
              <w:right w:type="dxa" w:w="120"/>
            </w:tcMar>
          </w:tcPr>
          <w:p>
            <w:pPr>
              <w:spacing w:before="120" w:after="120" w:line="288" w:lineRule="auto"/>
              <w:ind w:left="0"/>
              <w:jc w:val="left"/>
            </w:pPr>
          </w:p>
        </w:tc>
        <w:tc>
          <w:tcPr>
            <w:tcW w:w="46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季度APP广告消耗</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返点金额</w:t>
            </w:r>
          </w:p>
        </w:tc>
        <w:tc>
          <w:tcPr>
            <w:tcW w:w="4665" w:type="dxa"/>
            <w:vMerge w:val="restart"/>
            <w:tcMar>
              <w:top w:type="dxa" w:w="60"/>
              <w:left w:type="dxa" w:w="120"/>
              <w:bottom w:type="dxa" w:w="30"/>
              <w:right w:type="dxa" w:w="120"/>
            </w:tcMar>
          </w:tcPr>
          <w:p>
            <w:pPr>
              <w:numPr>
                <w:numId w:val="46"/>
              </w:numPr>
              <w:spacing w:before="120" w:after="120" w:line="288" w:lineRule="auto"/>
              <w:ind w:left="0"/>
              <w:jc w:val="left"/>
            </w:pPr>
            <w:r>
              <w:rPr>
                <w:rFonts w:eastAsia="等线" w:ascii="Arial" w:cs="Arial" w:hAnsi="Arial"/>
                <w:sz w:val="22"/>
              </w:rPr>
              <w:t>App在TikTok for Business的首次广告消耗发生在本季度；</w:t>
            </w:r>
          </w:p>
          <w:p>
            <w:pPr>
              <w:numPr>
                <w:numId w:val="47"/>
              </w:numPr>
              <w:spacing w:before="120" w:after="120" w:line="288" w:lineRule="auto"/>
              <w:ind w:left="0"/>
              <w:jc w:val="left"/>
            </w:pPr>
            <w:r>
              <w:rPr>
                <w:rFonts w:eastAsia="等线" w:ascii="Arial" w:cs="Arial" w:hAnsi="Arial"/>
                <w:sz w:val="22"/>
              </w:rPr>
              <w:t>应用非短剧App的类型划分以媒体判定为准;</w:t>
            </w:r>
          </w:p>
          <w:p>
            <w:pPr>
              <w:numPr>
                <w:numId w:val="48"/>
              </w:numPr>
              <w:spacing w:before="120" w:after="120" w:line="288" w:lineRule="auto"/>
              <w:ind w:left="0"/>
              <w:jc w:val="left"/>
            </w:pPr>
            <w:r>
              <w:rPr>
                <w:rFonts w:eastAsia="等线" w:ascii="Arial" w:cs="Arial" w:hAnsi="Arial"/>
                <w:sz w:val="22"/>
              </w:rPr>
              <w:t>App在本季度的广告消耗不低于$2,000；</w:t>
            </w:r>
          </w:p>
          <w:p>
            <w:pPr>
              <w:numPr>
                <w:numId w:val="49"/>
              </w:numPr>
              <w:spacing w:before="120" w:after="120" w:line="288" w:lineRule="auto"/>
              <w:ind w:left="0"/>
              <w:jc w:val="left"/>
            </w:pPr>
            <w:r>
              <w:rPr>
                <w:rFonts w:eastAsia="等线" w:ascii="Arial" w:cs="Arial" w:hAnsi="Arial"/>
                <w:sz w:val="22"/>
              </w:rPr>
              <w:t>追加返点：满足25年Q3新开判定条件且25年Q4返点梯度有所上升且消耗不低于$2,000的，根据App首次消耗开始rolling90天的广告消耗所属区间，按照本表约定的总返点金额减去25年Q3该App在应用非短剧新开专项所发放的返点金额，即为25年Q4应得返点奖励。</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$30,000以上</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$【】/App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$10,000-30,000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App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$5,000-10,000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App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$2,000-5,000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App</w:t>
            </w:r>
          </w:p>
        </w:tc>
        <w:tc>
          <w:tcPr>
            <w:tcW w:w="4665"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420"/>
        <w:jc w:val="left"/>
      </w:pPr>
    </w:p>
    <w:p>
      <w:pPr>
        <w:numPr>
          <w:numId w:val="50"/>
        </w:numPr>
        <w:spacing w:before="120" w:after="120" w:line="288" w:lineRule="auto"/>
        <w:ind w:left="0"/>
        <w:jc w:val="left"/>
      </w:pPr>
      <w:r>
        <w:rPr>
          <w:rFonts w:eastAsia="等线" w:ascii="Arial" w:cs="Arial" w:hAnsi="Arial"/>
          <w:sz w:val="22"/>
        </w:rPr>
        <w:t>甲方的消耗被媒体判断符合【品牌专项】标准的，则甲方满足标准的部分有机会可以额外获得如下返点奖励，返点金额最终以媒体判定为准：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10"/>
        <w:gridCol w:w="1425"/>
        <w:gridCol w:w="5445"/>
      </w:tblGrid>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c>
          <w:tcPr>
            <w:tcW w:w="1425" w:type="dxa"/>
            <w:hMerge w:val="continue"/>
            <w:tcMar>
              <w:top w:type="dxa" w:w="60"/>
              <w:left w:type="dxa" w:w="120"/>
              <w:bottom w:type="dxa" w:w="30"/>
              <w:right w:type="dxa" w:w="120"/>
            </w:tcMar>
          </w:tcPr>
          <w:p>
            <w:pPr>
              <w:spacing w:before="120" w:after="120" w:line="288" w:lineRule="auto"/>
              <w:ind w:left="0"/>
              <w:jc w:val="left"/>
            </w:pPr>
          </w:p>
        </w:tc>
        <w:tc>
          <w:tcPr>
            <w:tcW w:w="5445" w:type="dxa"/>
            <w:hMerge w:val="continue"/>
            <w:tcMar>
              <w:top w:type="dxa" w:w="60"/>
              <w:left w:type="dxa" w:w="120"/>
              <w:bottom w:type="dxa" w:w="30"/>
              <w:right w:type="dxa" w:w="120"/>
            </w:tcMar>
          </w:tcPr>
          <w:p>
            <w:pPr>
              <w:spacing w:before="120" w:after="120" w:line="288" w:lineRule="auto"/>
              <w:ind w:left="0"/>
              <w:jc w:val="left"/>
            </w:pPr>
          </w:p>
        </w:tc>
      </w:tr>
      <w:tr>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返点比例(新客)</w:t>
            </w:r>
          </w:p>
        </w:tc>
        <w:tc>
          <w:tcPr>
            <w:tcW w:w="14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返点比例(老客)</w:t>
            </w:r>
          </w:p>
        </w:tc>
        <w:tc>
          <w:tcPr>
            <w:tcW w:w="5445" w:type="dxa"/>
            <w:vMerge w:val="restart"/>
            <w:tcMar>
              <w:top w:type="dxa" w:w="60"/>
              <w:left w:type="dxa" w:w="120"/>
              <w:bottom w:type="dxa" w:w="30"/>
              <w:right w:type="dxa" w:w="120"/>
            </w:tcMar>
          </w:tcPr>
          <w:p>
            <w:pPr>
              <w:numPr>
                <w:numId w:val="51"/>
              </w:numPr>
              <w:spacing w:before="120" w:after="120" w:line="288" w:lineRule="auto"/>
              <w:ind w:left="0"/>
              <w:jc w:val="left"/>
            </w:pPr>
            <w:r>
              <w:rPr>
                <w:rFonts w:eastAsia="等线" w:ascii="Arial" w:cs="Arial" w:hAnsi="Arial"/>
                <w:sz w:val="22"/>
              </w:rPr>
              <w:t>投广客户集团在TikTok for Business的首次品牌广告消耗发生在本季度的为新客，新/老客的判定最终以媒体确认为准；</w:t>
            </w:r>
          </w:p>
          <w:p>
            <w:pPr>
              <w:numPr>
                <w:numId w:val="52"/>
              </w:numPr>
              <w:spacing w:before="120" w:after="120" w:line="288" w:lineRule="auto"/>
              <w:ind w:left="0"/>
              <w:jc w:val="left"/>
            </w:pPr>
            <w:r>
              <w:rPr>
                <w:rFonts w:eastAsia="等线" w:ascii="Arial" w:cs="Arial" w:hAnsi="Arial"/>
                <w:sz w:val="22"/>
              </w:rPr>
              <w:t>返点金额=品牌新客返点+品牌老客返点</w:t>
            </w:r>
          </w:p>
          <w:p>
            <w:pPr>
              <w:spacing w:before="120" w:after="120" w:line="288" w:lineRule="auto"/>
              <w:ind w:left="0"/>
              <w:jc w:val="left"/>
            </w:pPr>
            <w:r>
              <w:rPr>
                <w:rFonts w:eastAsia="等线" w:ascii="Arial" w:cs="Arial" w:hAnsi="Arial"/>
                <w:sz w:val="22"/>
              </w:rPr>
              <w:t>品牌新客返点=品牌新客业绩*返点比例（新客）</w:t>
            </w:r>
          </w:p>
          <w:p>
            <w:pPr>
              <w:spacing w:before="120" w:after="120" w:line="288" w:lineRule="auto"/>
              <w:ind w:left="0"/>
              <w:jc w:val="left"/>
            </w:pPr>
            <w:r>
              <w:rPr>
                <w:rFonts w:eastAsia="等线" w:ascii="Arial" w:cs="Arial" w:hAnsi="Arial"/>
                <w:sz w:val="22"/>
              </w:rPr>
              <w:t>品牌老客返点=品牌老客业绩*返点比例（老客）</w:t>
            </w:r>
          </w:p>
        </w:tc>
      </w:tr>
      <w:tr>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14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5445" w:type="dxa"/>
            <w:vMerge w:val="continue"/>
            <w:tcMar>
              <w:top w:type="dxa" w:w="60"/>
              <w:left w:type="dxa" w:w="120"/>
              <w:bottom w:type="dxa" w:w="30"/>
              <w:right w:type="dxa" w:w="120"/>
            </w:tcMar>
          </w:tcPr>
          <w:p>
            <w:pPr>
              <w:spacing w:before="120" w:after="120" w:line="288" w:lineRule="auto"/>
              <w:ind w:left="0"/>
              <w:jc w:val="left"/>
            </w:pPr>
          </w:p>
          <w:p>
            <w:pPr>
              <w:numPr>
                <w:numId w:val="53"/>
              </w:numPr>
              <w:spacing w:before="120" w:after="120" w:line="288" w:lineRule="auto"/>
              <w:ind w:left="453"/>
              <w:jc w:val="left"/>
            </w:pPr>
            <w:r>
              <w:rPr>
                <w:rFonts w:eastAsia="等线" w:ascii="Arial" w:cs="Arial" w:hAnsi="Arial"/>
                <w:sz w:val="22"/>
              </w:rPr>
              <w:t>甲方的消耗被媒体判断符合【TTS自播投广成长专项】标准的，则甲方满足标准的部分有机会可以额外获得如下返点奖励，返点金额最终以媒体判定为准：</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35"/>
        <w:gridCol w:w="2070"/>
        <w:gridCol w:w="2190"/>
        <w:gridCol w:w="2070"/>
      </w:tblGrid>
      <w:tr>
        <w:tc>
          <w:tcPr>
            <w:tcW w:w="826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2025年Q4季度</w:t>
            </w:r>
          </w:p>
          <w:p>
            <w:pPr>
              <w:spacing w:before="120" w:after="120" w:line="288" w:lineRule="auto"/>
              <w:ind w:left="0"/>
              <w:jc w:val="center"/>
            </w:pPr>
            <w:r>
              <w:rPr>
                <w:rFonts w:eastAsia="等线" w:ascii="Arial" w:cs="Arial" w:hAnsi="Arial"/>
                <w:b w:val="true"/>
                <w:sz w:val="22"/>
              </w:rPr>
              <w:t>TTS自播投广成长激励</w:t>
            </w:r>
          </w:p>
        </w:tc>
        <w:tc>
          <w:tcPr>
            <w:tcW w:w="2070" w:type="dxa"/>
            <w:hMerge w:val="continue"/>
            <w:tcMar>
              <w:top w:type="dxa" w:w="60"/>
              <w:left w:type="dxa" w:w="120"/>
              <w:bottom w:type="dxa" w:w="30"/>
              <w:right w:type="dxa" w:w="120"/>
            </w:tcMar>
          </w:tcPr>
          <w:p>
            <w:pPr>
              <w:spacing w:before="120" w:after="120" w:line="288" w:lineRule="auto"/>
              <w:ind w:left="0"/>
              <w:jc w:val="left"/>
            </w:pPr>
          </w:p>
        </w:tc>
        <w:tc>
          <w:tcPr>
            <w:tcW w:w="2190" w:type="dxa"/>
            <w:hMerge w:val="continue"/>
            <w:tcMar>
              <w:top w:type="dxa" w:w="60"/>
              <w:left w:type="dxa" w:w="120"/>
              <w:bottom w:type="dxa" w:w="30"/>
              <w:right w:type="dxa" w:w="120"/>
            </w:tcMar>
          </w:tcPr>
          <w:p>
            <w:pPr>
              <w:spacing w:before="120" w:after="120" w:line="288" w:lineRule="auto"/>
              <w:ind w:left="0"/>
              <w:jc w:val="left"/>
            </w:pP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19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季度日均GMV</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Shop消耗QoQ</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Shop自播投广消耗QoQ</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r>
      <w:tr>
        <w:tc>
          <w:tcPr>
            <w:tcW w:w="19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826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c>
          <w:tcPr>
            <w:tcW w:w="2070" w:type="dxa"/>
            <w:hMerge w:val="continue"/>
            <w:tcMar>
              <w:top w:type="dxa" w:w="60"/>
              <w:left w:type="dxa" w:w="120"/>
              <w:bottom w:type="dxa" w:w="30"/>
              <w:right w:type="dxa" w:w="120"/>
            </w:tcMar>
          </w:tcPr>
          <w:p>
            <w:pPr>
              <w:spacing w:before="120" w:after="120" w:line="288" w:lineRule="auto"/>
              <w:ind w:left="0"/>
              <w:jc w:val="left"/>
            </w:pPr>
          </w:p>
        </w:tc>
        <w:tc>
          <w:tcPr>
            <w:tcW w:w="2190" w:type="dxa"/>
            <w:hMerge w:val="continue"/>
            <w:tcMar>
              <w:top w:type="dxa" w:w="60"/>
              <w:left w:type="dxa" w:w="120"/>
              <w:bottom w:type="dxa" w:w="30"/>
              <w:right w:type="dxa" w:w="120"/>
            </w:tcMar>
          </w:tcPr>
          <w:p>
            <w:pPr>
              <w:spacing w:before="120" w:after="120" w:line="288" w:lineRule="auto"/>
              <w:ind w:left="0"/>
              <w:jc w:val="left"/>
            </w:pP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8265" w:type="dxa"/>
            <w:hMerge w:val="restart"/>
            <w:tcMar>
              <w:top w:type="dxa" w:w="60"/>
              <w:left w:type="dxa" w:w="120"/>
              <w:bottom w:type="dxa" w:w="30"/>
              <w:right w:type="dxa" w:w="120"/>
            </w:tcMar>
          </w:tcPr>
          <w:p>
            <w:pPr>
              <w:numPr>
                <w:numId w:val="54"/>
              </w:numPr>
              <w:spacing w:before="120" w:after="120" w:line="288" w:lineRule="auto"/>
              <w:ind w:left="0"/>
              <w:jc w:val="left"/>
            </w:pPr>
            <w:r>
              <w:rPr>
                <w:rFonts w:eastAsia="等线" w:ascii="Arial" w:cs="Arial" w:hAnsi="Arial"/>
                <w:sz w:val="22"/>
              </w:rPr>
              <w:t>针对存量(25年Q3有过自播投广消耗)的东南亚地区(SEA)的Shop，若Shop同时满足以上要求，则根据Shop在25年Q4相比于25年Q3的自播投广消耗增量部分给予返点比例；</w:t>
            </w:r>
          </w:p>
          <w:p>
            <w:pPr>
              <w:numPr>
                <w:numId w:val="55"/>
              </w:numPr>
              <w:spacing w:before="120" w:after="120" w:line="288" w:lineRule="auto"/>
              <w:ind w:left="0"/>
              <w:jc w:val="left"/>
            </w:pPr>
            <w:r>
              <w:rPr>
                <w:rFonts w:eastAsia="等线" w:ascii="Arial" w:cs="Arial" w:hAnsi="Arial"/>
                <w:sz w:val="22"/>
              </w:rPr>
              <w:t>Shop日均GMV = Shop在Q4期间的总成交额(Total GMV) ÷ Q4整体天数；</w:t>
            </w:r>
          </w:p>
          <w:p>
            <w:pPr>
              <w:numPr>
                <w:numId w:val="56"/>
              </w:numPr>
              <w:spacing w:before="120" w:after="120" w:line="288" w:lineRule="auto"/>
              <w:ind w:left="0"/>
              <w:jc w:val="left"/>
            </w:pPr>
            <w:r>
              <w:rPr>
                <w:rFonts w:eastAsia="等线" w:ascii="Arial" w:cs="Arial" w:hAnsi="Arial"/>
                <w:sz w:val="22"/>
              </w:rPr>
              <w:t>返点金额 = 10% * (25Q4自播投广消耗 – 25Q3自播投广消耗)，单个Shop返点金额上限为USD 6,000；</w:t>
            </w:r>
          </w:p>
          <w:p>
            <w:pPr>
              <w:numPr>
                <w:numId w:val="57"/>
              </w:numPr>
              <w:spacing w:before="120" w:after="120" w:line="288" w:lineRule="auto"/>
              <w:ind w:left="0"/>
              <w:jc w:val="left"/>
            </w:pPr>
            <w:r>
              <w:rPr>
                <w:rFonts w:eastAsia="等线" w:ascii="Arial" w:cs="Arial" w:hAnsi="Arial"/>
                <w:sz w:val="22"/>
              </w:rPr>
              <w:t>Shop自播投广业绩以【Shop Self Live Revenue】为准；</w:t>
            </w:r>
          </w:p>
          <w:p>
            <w:pPr>
              <w:numPr>
                <w:numId w:val="58"/>
              </w:numPr>
              <w:spacing w:before="120" w:after="120" w:line="288" w:lineRule="auto"/>
              <w:ind w:left="0"/>
              <w:jc w:val="left"/>
            </w:pPr>
            <w:r>
              <w:rPr>
                <w:rFonts w:eastAsia="等线" w:ascii="Arial" w:cs="Arial" w:hAnsi="Arial"/>
                <w:sz w:val="22"/>
              </w:rPr>
              <w:t>投放地的划分基于 TTS Operation Country来判定。</w:t>
            </w:r>
          </w:p>
        </w:tc>
        <w:tc>
          <w:tcPr>
            <w:tcW w:w="2070" w:type="dxa"/>
            <w:hMerge w:val="continue"/>
            <w:tcMar>
              <w:top w:type="dxa" w:w="60"/>
              <w:left w:type="dxa" w:w="120"/>
              <w:bottom w:type="dxa" w:w="30"/>
              <w:right w:type="dxa" w:w="120"/>
            </w:tcMar>
          </w:tcPr>
          <w:p>
            <w:pPr>
              <w:spacing w:before="120" w:after="120" w:line="288" w:lineRule="auto"/>
              <w:ind w:left="0"/>
              <w:jc w:val="left"/>
            </w:pPr>
          </w:p>
        </w:tc>
        <w:tc>
          <w:tcPr>
            <w:tcW w:w="2190" w:type="dxa"/>
            <w:hMerge w:val="continue"/>
            <w:tcMar>
              <w:top w:type="dxa" w:w="60"/>
              <w:left w:type="dxa" w:w="120"/>
              <w:bottom w:type="dxa" w:w="30"/>
              <w:right w:type="dxa" w:w="120"/>
            </w:tcMar>
          </w:tcPr>
          <w:p>
            <w:pPr>
              <w:spacing w:before="120" w:after="120" w:line="288" w:lineRule="auto"/>
              <w:ind w:left="0"/>
              <w:jc w:val="left"/>
            </w:pPr>
          </w:p>
        </w:tc>
        <w:tc>
          <w:tcPr>
            <w:tcW w:w="2070"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420"/>
        <w:jc w:val="left"/>
      </w:pPr>
    </w:p>
    <w:p>
      <w:pPr>
        <w:numPr>
          <w:numId w:val="59"/>
        </w:numPr>
        <w:spacing w:before="120" w:after="120" w:line="288" w:lineRule="auto"/>
        <w:ind w:left="0"/>
        <w:jc w:val="left"/>
      </w:pPr>
      <w:r>
        <w:rPr>
          <w:rFonts w:eastAsia="等线" w:ascii="Arial" w:cs="Arial" w:hAnsi="Arial"/>
          <w:sz w:val="22"/>
        </w:rPr>
        <w:t>甲方的消耗被媒体判断符合【中小客户成长专项】标准的，则甲方满足标准的部分有机会可以额外获得如下返点奖励，返点金额最终以媒体判定为准：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90"/>
        <w:gridCol w:w="4530"/>
        <w:gridCol w:w="2460"/>
      </w:tblGrid>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2025年Q4季度</w:t>
            </w:r>
          </w:p>
          <w:p>
            <w:pPr>
              <w:spacing w:before="120" w:after="120" w:line="288" w:lineRule="auto"/>
              <w:ind w:left="0"/>
              <w:jc w:val="center"/>
            </w:pPr>
            <w:r>
              <w:rPr>
                <w:rFonts w:eastAsia="等线" w:ascii="Arial" w:cs="Arial" w:hAnsi="Arial"/>
                <w:b w:val="true"/>
                <w:sz w:val="22"/>
              </w:rPr>
              <w:t>中小客户成长专项激励</w:t>
            </w:r>
          </w:p>
        </w:tc>
        <w:tc>
          <w:tcPr>
            <w:tcW w:w="4530" w:type="dxa"/>
            <w:hMerge w:val="continue"/>
            <w:tcMar>
              <w:top w:type="dxa" w:w="60"/>
              <w:left w:type="dxa" w:w="120"/>
              <w:bottom w:type="dxa" w:w="30"/>
              <w:right w:type="dxa" w:w="120"/>
            </w:tcMar>
          </w:tcPr>
          <w:p>
            <w:pPr>
              <w:spacing w:before="120" w:after="120" w:line="288" w:lineRule="auto"/>
              <w:ind w:left="0"/>
              <w:jc w:val="left"/>
            </w:pPr>
          </w:p>
        </w:tc>
        <w:tc>
          <w:tcPr>
            <w:tcW w:w="2460" w:type="dxa"/>
            <w:hMerge w:val="continue"/>
            <w:tcMar>
              <w:top w:type="dxa" w:w="60"/>
              <w:left w:type="dxa" w:w="120"/>
              <w:bottom w:type="dxa" w:w="30"/>
              <w:right w:type="dxa" w:w="120"/>
            </w:tcMar>
          </w:tcPr>
          <w:p>
            <w:pPr>
              <w:spacing w:before="120" w:after="120" w:line="288" w:lineRule="auto"/>
              <w:ind w:left="0"/>
              <w:jc w:val="left"/>
            </w:pPr>
          </w:p>
        </w:tc>
      </w:tr>
      <w:tr>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梯度</w:t>
            </w: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日均消耗（V）</w:t>
            </w:r>
          </w:p>
        </w:tc>
        <w:tc>
          <w:tcPr>
            <w:tcW w:w="24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r>
      <w:tr>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T4</w:t>
            </w: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V≥$800</w:t>
            </w:r>
          </w:p>
        </w:tc>
        <w:tc>
          <w:tcPr>
            <w:tcW w:w="24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T3</w:t>
            </w: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$400≤V&lt; 800</w:t>
            </w:r>
          </w:p>
        </w:tc>
        <w:tc>
          <w:tcPr>
            <w:tcW w:w="24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T2</w:t>
            </w: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$200≤V&lt; 400</w:t>
            </w:r>
          </w:p>
        </w:tc>
        <w:tc>
          <w:tcPr>
            <w:tcW w:w="24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T1</w:t>
            </w: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$30&lt;V&lt;200</w:t>
            </w:r>
          </w:p>
        </w:tc>
        <w:tc>
          <w:tcPr>
            <w:tcW w:w="24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c>
          <w:tcPr>
            <w:tcW w:w="4530" w:type="dxa"/>
            <w:hMerge w:val="continue"/>
            <w:tcMar>
              <w:top w:type="dxa" w:w="60"/>
              <w:left w:type="dxa" w:w="120"/>
              <w:bottom w:type="dxa" w:w="30"/>
              <w:right w:type="dxa" w:w="120"/>
            </w:tcMar>
          </w:tcPr>
          <w:p>
            <w:pPr>
              <w:spacing w:before="120" w:after="120" w:line="288" w:lineRule="auto"/>
              <w:ind w:left="0"/>
              <w:jc w:val="left"/>
            </w:pPr>
          </w:p>
        </w:tc>
        <w:tc>
          <w:tcPr>
            <w:tcW w:w="246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numPr>
                <w:numId w:val="60"/>
              </w:numPr>
              <w:spacing w:before="120" w:after="120" w:line="288" w:lineRule="auto"/>
              <w:ind w:left="0"/>
              <w:jc w:val="left"/>
            </w:pPr>
            <w:r>
              <w:rPr>
                <w:rFonts w:eastAsia="等线" w:ascii="Arial" w:cs="Arial" w:hAnsi="Arial"/>
                <w:sz w:val="22"/>
              </w:rPr>
              <w:t>虚客：25年Q3为虚客（25年Q3未挂接过直客）、且Q3的日均消耗&lt;$200的广告主，或25年Q3完成“直客转渠道-向下流转”的广告主，且Q3的日均消耗&lt;$200的广告主；直客：除虚客以外的广告主；</w:t>
            </w:r>
          </w:p>
          <w:p>
            <w:pPr>
              <w:numPr>
                <w:numId w:val="61"/>
              </w:numPr>
              <w:spacing w:before="120" w:after="120" w:line="288" w:lineRule="auto"/>
              <w:ind w:left="0"/>
              <w:jc w:val="left"/>
            </w:pPr>
            <w:r>
              <w:rPr>
                <w:rFonts w:eastAsia="等线" w:ascii="Arial" w:cs="Arial" w:hAnsi="Arial"/>
                <w:sz w:val="22"/>
              </w:rPr>
              <w:t xml:space="preserve">日均广告消耗：2025年Q2季度为虚客、且本季度虚客日均消耗 QoQ&gt;0%的广告主（Daily消耗QoQ有增长），在本季度产生的虚客日均现金广告消耗； </w:t>
            </w:r>
          </w:p>
          <w:p>
            <w:pPr>
              <w:numPr>
                <w:numId w:val="62"/>
              </w:numPr>
              <w:spacing w:before="120" w:after="120" w:line="288" w:lineRule="auto"/>
              <w:ind w:left="0"/>
              <w:jc w:val="left"/>
            </w:pPr>
            <w:r>
              <w:rPr>
                <w:rFonts w:eastAsia="等线" w:ascii="Arial" w:cs="Arial" w:hAnsi="Arial"/>
                <w:sz w:val="22"/>
              </w:rPr>
              <w:t>如25年Q4季度中甲方被直客挂接，则日均广告消耗为基于虚客身份产生的总消耗/虚客身份时长，即Q4季度日均广告消耗=（Q4直客挂接前的总虚客业绩）/(从2025年10月1日起到被直客挂接的前一天)；</w:t>
            </w:r>
          </w:p>
          <w:p>
            <w:pPr>
              <w:numPr>
                <w:numId w:val="63"/>
              </w:numPr>
              <w:spacing w:before="120" w:after="120" w:line="288" w:lineRule="auto"/>
              <w:ind w:left="0"/>
              <w:jc w:val="left"/>
            </w:pPr>
            <w:r>
              <w:rPr>
                <w:rFonts w:eastAsia="等线" w:ascii="Arial" w:cs="Arial" w:hAnsi="Arial"/>
                <w:sz w:val="22"/>
              </w:rPr>
              <w:t>以上数据及直客/虚客类型的判定最终以媒体确认为准。</w:t>
            </w:r>
          </w:p>
        </w:tc>
        <w:tc>
          <w:tcPr>
            <w:tcW w:w="4530" w:type="dxa"/>
            <w:hMerge w:val="continue"/>
            <w:tcMar>
              <w:top w:type="dxa" w:w="60"/>
              <w:left w:type="dxa" w:w="120"/>
              <w:bottom w:type="dxa" w:w="30"/>
              <w:right w:type="dxa" w:w="120"/>
            </w:tcMar>
          </w:tcPr>
          <w:p>
            <w:pPr>
              <w:spacing w:before="120" w:after="120" w:line="288" w:lineRule="auto"/>
              <w:ind w:left="0"/>
              <w:jc w:val="left"/>
            </w:pPr>
          </w:p>
        </w:tc>
        <w:tc>
          <w:tcPr>
            <w:tcW w:w="2460" w:type="dxa"/>
            <w:hMerge w:val="continue"/>
            <w:tcMar>
              <w:top w:type="dxa" w:w="60"/>
              <w:left w:type="dxa" w:w="120"/>
              <w:bottom w:type="dxa" w:w="30"/>
              <w:right w:type="dxa" w:w="120"/>
            </w:tcMar>
          </w:tcPr>
          <w:p>
            <w:pPr>
              <w:spacing w:before="120" w:after="120" w:line="288" w:lineRule="auto"/>
              <w:ind w:left="0"/>
              <w:jc w:val="left"/>
            </w:pPr>
          </w:p>
        </w:tc>
      </w:tr>
    </w:tbl>
    <w:p>
      <w:pPr>
        <w:numPr>
          <w:numId w:val="64"/>
        </w:numPr>
        <w:spacing w:before="120" w:after="120" w:line="288" w:lineRule="auto"/>
        <w:ind w:left="0"/>
        <w:jc w:val="left"/>
      </w:pPr>
      <w:r>
        <w:rPr>
          <w:rFonts w:eastAsia="等线" w:ascii="Arial" w:cs="Arial" w:hAnsi="Arial"/>
          <w:sz w:val="22"/>
        </w:rPr>
        <w:t>甲方的消耗被媒体判断符合【Web-EC客户成长专项】标准的，则甲方满足标准的部分有机会可以额外获得如下返点奖励，返点金额最终以媒体判定为准：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530"/>
        <w:gridCol w:w="3750"/>
      </w:tblGrid>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2025年Q4季度</w:t>
            </w:r>
          </w:p>
          <w:p>
            <w:pPr>
              <w:spacing w:before="120" w:after="120" w:line="288" w:lineRule="auto"/>
              <w:ind w:left="0"/>
              <w:jc w:val="center"/>
            </w:pPr>
            <w:r>
              <w:rPr>
                <w:rFonts w:eastAsia="等线" w:ascii="Arial" w:cs="Arial" w:hAnsi="Arial"/>
                <w:b w:val="true"/>
                <w:sz w:val="22"/>
              </w:rPr>
              <w:t>Web-EC客户成长专项激励</w:t>
            </w:r>
          </w:p>
        </w:tc>
        <w:tc>
          <w:tcPr>
            <w:tcW w:w="3750" w:type="dxa"/>
            <w:hMerge w:val="continue"/>
            <w:tcMar>
              <w:top w:type="dxa" w:w="60"/>
              <w:left w:type="dxa" w:w="120"/>
              <w:bottom w:type="dxa" w:w="30"/>
              <w:right w:type="dxa" w:w="120"/>
            </w:tcMar>
          </w:tcPr>
          <w:p>
            <w:pPr>
              <w:spacing w:before="120" w:after="120" w:line="288" w:lineRule="auto"/>
              <w:ind w:left="0"/>
              <w:jc w:val="left"/>
            </w:pPr>
          </w:p>
        </w:tc>
      </w:tr>
      <w:tr>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Web-EC QoQ消耗增幅（R）</w:t>
            </w:r>
          </w:p>
        </w:tc>
        <w:tc>
          <w:tcPr>
            <w:tcW w:w="3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r>
      <w:tr>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30%≤R</w:t>
            </w:r>
          </w:p>
        </w:tc>
        <w:tc>
          <w:tcPr>
            <w:tcW w:w="3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10%≤R≤30%</w:t>
            </w:r>
          </w:p>
        </w:tc>
        <w:tc>
          <w:tcPr>
            <w:tcW w:w="3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c>
          <w:tcPr>
            <w:tcW w:w="375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numPr>
                <w:numId w:val="65"/>
              </w:numPr>
              <w:spacing w:before="120" w:after="120" w:line="288" w:lineRule="auto"/>
              <w:ind w:left="0"/>
              <w:jc w:val="left"/>
            </w:pPr>
            <w:r>
              <w:rPr>
                <w:rFonts w:eastAsia="等线" w:ascii="Arial" w:cs="Arial" w:hAnsi="Arial"/>
                <w:sz w:val="22"/>
              </w:rPr>
              <w:t>本政策适用于Q2 Web-EC消耗&gt;$0、且QoQ增幅≥10%的客户；</w:t>
            </w:r>
          </w:p>
          <w:p>
            <w:pPr>
              <w:numPr>
                <w:numId w:val="66"/>
              </w:numPr>
              <w:spacing w:before="120" w:after="120" w:line="288" w:lineRule="auto"/>
              <w:ind w:left="0"/>
              <w:jc w:val="left"/>
            </w:pPr>
            <w:r>
              <w:rPr>
                <w:rFonts w:eastAsia="等线" w:ascii="Arial" w:cs="Arial" w:hAnsi="Arial"/>
                <w:sz w:val="22"/>
              </w:rPr>
              <w:t>QoQ增幅按照客户集团维度计算，返点比例作用于客户集团的QoQ业绩增量部分。</w:t>
            </w:r>
          </w:p>
          <w:p>
            <w:pPr>
              <w:numPr>
                <w:numId w:val="67"/>
              </w:numPr>
              <w:spacing w:before="120" w:after="120" w:line="288" w:lineRule="auto"/>
              <w:ind w:left="0"/>
              <w:jc w:val="left"/>
            </w:pPr>
            <w:r>
              <w:rPr>
                <w:rFonts w:eastAsia="等线" w:ascii="Arial" w:cs="Arial" w:hAnsi="Arial"/>
                <w:sz w:val="22"/>
              </w:rPr>
              <w:t>Web-EC客户的判定以媒体确认为准；</w:t>
            </w:r>
          </w:p>
          <w:p>
            <w:pPr>
              <w:numPr>
                <w:numId w:val="68"/>
              </w:numPr>
              <w:spacing w:before="120" w:after="120" w:line="288" w:lineRule="auto"/>
              <w:ind w:left="0"/>
              <w:jc w:val="left"/>
            </w:pPr>
            <w:r>
              <w:rPr>
                <w:rFonts w:eastAsia="等线" w:ascii="Arial" w:cs="Arial" w:hAnsi="Arial"/>
                <w:sz w:val="22"/>
              </w:rPr>
              <w:t>相同App在多家代理消耗按照消耗占比划分，即实际返点金额=对应返点金额*消耗比例，具体比例以媒体认定为准；</w:t>
            </w:r>
          </w:p>
          <w:p>
            <w:pPr>
              <w:numPr>
                <w:numId w:val="69"/>
              </w:numPr>
              <w:spacing w:before="120" w:after="120" w:line="288" w:lineRule="auto"/>
              <w:ind w:left="0"/>
              <w:jc w:val="left"/>
            </w:pPr>
            <w:r>
              <w:rPr>
                <w:rFonts w:eastAsia="等线" w:ascii="Arial" w:cs="Arial" w:hAnsi="Arial"/>
                <w:sz w:val="22"/>
              </w:rPr>
              <w:t>质检将在核算期间核实投广集团的投放对象，如发现存在不同广告主存在互相转移投放预算、或者冒充新客而骗取激励的行为，会取消该客户在此专项的激励。</w:t>
            </w:r>
          </w:p>
        </w:tc>
        <w:tc>
          <w:tcPr>
            <w:tcW w:w="3750"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甲方的消耗被媒体判断符合【Web-EC客户新开专项】标准的，则甲方满足标准的部分有机会可以额外获得如下返点奖励，返点金额最终以媒体判定为准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530"/>
        <w:gridCol w:w="3750"/>
      </w:tblGrid>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2025年Q4年度</w:t>
            </w:r>
          </w:p>
          <w:p>
            <w:pPr>
              <w:spacing w:before="120" w:after="120" w:line="288" w:lineRule="auto"/>
              <w:ind w:left="0"/>
              <w:jc w:val="center"/>
            </w:pPr>
            <w:r>
              <w:rPr>
                <w:rFonts w:eastAsia="等线" w:ascii="Arial" w:cs="Arial" w:hAnsi="Arial"/>
                <w:b w:val="true"/>
                <w:sz w:val="22"/>
              </w:rPr>
              <w:t>Web-EC客户新开专项</w:t>
            </w:r>
          </w:p>
        </w:tc>
        <w:tc>
          <w:tcPr>
            <w:tcW w:w="3750" w:type="dxa"/>
            <w:hMerge w:val="continue"/>
            <w:tcMar>
              <w:top w:type="dxa" w:w="60"/>
              <w:left w:type="dxa" w:w="120"/>
              <w:bottom w:type="dxa" w:w="30"/>
              <w:right w:type="dxa" w:w="120"/>
            </w:tcMar>
          </w:tcPr>
          <w:p>
            <w:pPr>
              <w:spacing w:before="120" w:after="120" w:line="288" w:lineRule="auto"/>
              <w:ind w:left="0"/>
              <w:jc w:val="left"/>
            </w:pPr>
          </w:p>
        </w:tc>
      </w:tr>
      <w:tr>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Web-EC QoQ消耗（V）</w:t>
            </w:r>
          </w:p>
        </w:tc>
        <w:tc>
          <w:tcPr>
            <w:tcW w:w="3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r>
      <w:tr>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1000≤V</w:t>
            </w:r>
          </w:p>
        </w:tc>
        <w:tc>
          <w:tcPr>
            <w:tcW w:w="3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c>
          <w:tcPr>
            <w:tcW w:w="375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numPr>
                <w:numId w:val="70"/>
              </w:numPr>
              <w:spacing w:before="120" w:after="120" w:line="288" w:lineRule="auto"/>
              <w:ind w:left="0"/>
              <w:jc w:val="left"/>
            </w:pPr>
            <w:r>
              <w:rPr>
                <w:rFonts w:eastAsia="等线" w:ascii="Arial" w:cs="Arial" w:hAnsi="Arial"/>
                <w:sz w:val="22"/>
              </w:rPr>
              <w:t>本政策适用于首次产生消耗发生在本季度、且本季度Web-EC消耗不低于$1,000的客户；</w:t>
            </w:r>
          </w:p>
          <w:p>
            <w:pPr>
              <w:numPr>
                <w:numId w:val="71"/>
              </w:numPr>
              <w:spacing w:before="120" w:after="120" w:line="288" w:lineRule="auto"/>
              <w:ind w:left="0"/>
              <w:jc w:val="left"/>
            </w:pPr>
            <w:r>
              <w:rPr>
                <w:rFonts w:eastAsia="等线" w:ascii="Arial" w:cs="Arial" w:hAnsi="Arial"/>
                <w:sz w:val="22"/>
              </w:rPr>
              <w:t>Web-EC客户的判定以媒体确认为准；</w:t>
            </w:r>
          </w:p>
          <w:p>
            <w:pPr>
              <w:numPr>
                <w:numId w:val="72"/>
              </w:numPr>
              <w:spacing w:before="120" w:after="120" w:line="288" w:lineRule="auto"/>
              <w:ind w:left="0"/>
              <w:jc w:val="left"/>
            </w:pPr>
            <w:r>
              <w:rPr>
                <w:rFonts w:eastAsia="等线" w:ascii="Arial" w:cs="Arial" w:hAnsi="Arial"/>
                <w:sz w:val="22"/>
              </w:rPr>
              <w:t>返点比例作用于该新客户集团季度总现金消耗，并且每个客户集团本季度在媒体可获得的Web-EC新开激励金额不超过$3,000；</w:t>
            </w:r>
          </w:p>
          <w:p>
            <w:pPr>
              <w:numPr>
                <w:numId w:val="73"/>
              </w:numPr>
              <w:spacing w:before="120" w:after="120" w:line="288" w:lineRule="auto"/>
              <w:ind w:left="0"/>
              <w:jc w:val="left"/>
            </w:pPr>
            <w:r>
              <w:rPr>
                <w:rFonts w:eastAsia="等线" w:ascii="Arial" w:cs="Arial" w:hAnsi="Arial"/>
                <w:sz w:val="22"/>
              </w:rPr>
              <w:t>质检将在核算期间核实投广集团的投放对象，如发现存在不同广告主互相转移投放预算、或者冒充新客而骗取激励的行为，会取消该客户在此专项的激励。</w:t>
            </w:r>
          </w:p>
        </w:tc>
        <w:tc>
          <w:tcPr>
            <w:tcW w:w="3750"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numPr>
          <w:numId w:val="74"/>
        </w:numPr>
        <w:spacing w:before="120" w:after="120" w:line="288" w:lineRule="auto"/>
        <w:ind w:left="0"/>
        <w:jc w:val="left"/>
      </w:pPr>
      <w:r>
        <w:rPr>
          <w:rFonts w:eastAsia="等线" w:ascii="Arial" w:cs="Arial" w:hAnsi="Arial"/>
          <w:sz w:val="22"/>
        </w:rPr>
        <w:t>甲方的消耗被媒体判断符合【优质素材专项】标准的，则甲方满足标准的部分有机会可以额外获得如下返点奖励，返点金额最终以媒体判定为准：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020"/>
        <w:gridCol w:w="4260"/>
      </w:tblGrid>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 季度</w:t>
            </w:r>
          </w:p>
          <w:p>
            <w:pPr>
              <w:spacing w:before="120" w:after="120" w:line="288" w:lineRule="auto"/>
              <w:ind w:left="0"/>
              <w:jc w:val="center"/>
            </w:pPr>
            <w:r>
              <w:rPr>
                <w:rFonts w:eastAsia="等线" w:ascii="Arial" w:cs="Arial" w:hAnsi="Arial"/>
                <w:b w:val="true"/>
                <w:sz w:val="22"/>
              </w:rPr>
              <w:t>优质素材激励</w:t>
            </w:r>
          </w:p>
        </w:tc>
        <w:tc>
          <w:tcPr>
            <w:tcW w:w="4260" w:type="dxa"/>
            <w:hMerge w:val="continue"/>
            <w:tcMar>
              <w:top w:type="dxa" w:w="60"/>
              <w:left w:type="dxa" w:w="120"/>
              <w:bottom w:type="dxa" w:w="30"/>
              <w:right w:type="dxa" w:w="120"/>
            </w:tcMar>
          </w:tcPr>
          <w:p>
            <w:pPr>
              <w:spacing w:before="120" w:after="120" w:line="288" w:lineRule="auto"/>
              <w:ind w:left="0"/>
              <w:jc w:val="left"/>
            </w:pPr>
          </w:p>
        </w:tc>
      </w:tr>
      <w:tr>
        <w:tc>
          <w:tcPr>
            <w:tcW w:w="40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c>
          <w:tcPr>
            <w:tcW w:w="4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特别说明</w:t>
            </w:r>
          </w:p>
        </w:tc>
        <w:tc>
          <w:tcPr>
            <w:tcW w:w="426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numPr>
                <w:numId w:val="75"/>
              </w:numPr>
              <w:spacing w:before="120" w:after="120" w:line="288" w:lineRule="auto"/>
              <w:ind w:left="0"/>
              <w:jc w:val="left"/>
            </w:pPr>
            <w:r>
              <w:rPr>
                <w:rFonts w:eastAsia="等线" w:ascii="Arial" w:cs="Arial" w:hAnsi="Arial"/>
                <w:sz w:val="22"/>
              </w:rPr>
              <w:t>本专项激励政策只针对符合代投标准且在广告账户中TikTok版位的消耗。</w:t>
            </w:r>
          </w:p>
          <w:p>
            <w:pPr>
              <w:numPr>
                <w:numId w:val="76"/>
              </w:numPr>
              <w:spacing w:before="120" w:after="120" w:line="288" w:lineRule="auto"/>
              <w:ind w:left="0"/>
              <w:jc w:val="left"/>
            </w:pPr>
            <w:r>
              <w:rPr>
                <w:rFonts w:eastAsia="等线" w:ascii="Arial" w:cs="Arial" w:hAnsi="Arial"/>
                <w:sz w:val="22"/>
              </w:rPr>
              <w:t>优质素材定义：</w:t>
            </w:r>
          </w:p>
          <w:p>
            <w:pPr>
              <w:numPr>
                <w:numId w:val="77"/>
              </w:numPr>
              <w:spacing w:before="120" w:after="120" w:line="288" w:lineRule="auto"/>
              <w:ind w:left="0"/>
              <w:jc w:val="left"/>
            </w:pPr>
            <w:r>
              <w:rPr>
                <w:rFonts w:eastAsia="等线" w:ascii="Arial" w:cs="Arial" w:hAnsi="Arial"/>
                <w:sz w:val="22"/>
              </w:rPr>
              <w:t>行业：闭环电商：</w:t>
            </w:r>
          </w:p>
          <w:p>
            <w:pPr>
              <w:spacing w:before="120" w:after="120" w:line="288" w:lineRule="auto"/>
              <w:ind w:left="0"/>
              <w:jc w:val="left"/>
            </w:pPr>
          </w:p>
          <w:p>
            <w:pPr>
              <w:spacing w:before="120" w:after="120" w:line="288" w:lineRule="auto"/>
              <w:ind w:left="0"/>
              <w:jc w:val="left"/>
            </w:pPr>
          </w:p>
          <w:p>
            <w:pPr>
              <w:numPr>
                <w:numId w:val="78"/>
              </w:numPr>
              <w:spacing w:before="120" w:after="120" w:line="288" w:lineRule="auto"/>
              <w:ind w:left="0"/>
              <w:jc w:val="left"/>
            </w:pPr>
            <w:r>
              <w:rPr>
                <w:rFonts w:eastAsia="等线" w:ascii="Arial" w:cs="Arial" w:hAnsi="Arial"/>
                <w:sz w:val="22"/>
              </w:rPr>
              <w:t>行业：非闭环电商</w:t>
            </w:r>
          </w:p>
          <w:p>
            <w:pPr>
              <w:spacing w:before="120" w:after="120" w:line="288" w:lineRule="auto"/>
              <w:ind w:left="0"/>
              <w:jc w:val="left"/>
            </w:pPr>
            <w:r>
              <w:rPr>
                <w:rFonts w:eastAsia="等线" w:ascii="Arial" w:cs="Arial" w:hAnsi="Arial"/>
                <w:sz w:val="22"/>
              </w:rPr>
              <w:t>CTR&gt;0.5%，素材季度消耗≥$100</w:t>
            </w:r>
          </w:p>
          <w:p>
            <w:pPr>
              <w:numPr>
                <w:numId w:val="79"/>
              </w:numPr>
              <w:spacing w:before="120" w:after="120" w:line="288" w:lineRule="auto"/>
              <w:ind w:left="0"/>
              <w:jc w:val="left"/>
            </w:pPr>
            <w:r>
              <w:rPr>
                <w:rFonts w:eastAsia="等线" w:ascii="Arial" w:cs="Arial" w:hAnsi="Arial"/>
                <w:sz w:val="22"/>
              </w:rPr>
              <w:t>行业：App-应用、游戏</w:t>
            </w:r>
          </w:p>
          <w:p>
            <w:pPr>
              <w:spacing w:before="120" w:after="120" w:line="288" w:lineRule="auto"/>
              <w:ind w:left="0"/>
              <w:jc w:val="left"/>
            </w:pPr>
            <w:r>
              <w:rPr>
                <w:rFonts w:eastAsia="等线" w:ascii="Arial" w:cs="Arial" w:hAnsi="Arial"/>
                <w:sz w:val="22"/>
              </w:rPr>
              <w:t>CTR&gt;0.3%，素材季度消耗≥$100</w:t>
            </w:r>
          </w:p>
          <w:p>
            <w:pPr>
              <w:numPr>
                <w:numId w:val="80"/>
              </w:numPr>
              <w:spacing w:before="120" w:after="120" w:line="288" w:lineRule="auto"/>
              <w:ind w:left="0"/>
              <w:jc w:val="left"/>
            </w:pPr>
            <w:r>
              <w:rPr>
                <w:rFonts w:eastAsia="等线" w:ascii="Arial" w:cs="Arial" w:hAnsi="Arial"/>
                <w:sz w:val="22"/>
              </w:rPr>
              <w:t>行业：Web-应用、游戏</w:t>
            </w:r>
          </w:p>
          <w:p>
            <w:pPr>
              <w:spacing w:before="120" w:after="120" w:line="288" w:lineRule="auto"/>
              <w:ind w:left="0"/>
              <w:jc w:val="left"/>
            </w:pPr>
            <w:r>
              <w:rPr>
                <w:rFonts w:eastAsia="等线" w:ascii="Arial" w:cs="Arial" w:hAnsi="Arial"/>
                <w:sz w:val="22"/>
              </w:rPr>
              <w:t>CTR&gt;0.6%，素材季度消耗≥$100</w:t>
            </w:r>
          </w:p>
          <w:p>
            <w:pPr>
              <w:spacing w:before="120" w:after="120" w:line="288" w:lineRule="auto"/>
              <w:ind w:left="0"/>
              <w:jc w:val="left"/>
            </w:pPr>
            <w:r>
              <w:rPr>
                <w:rFonts w:eastAsia="等线" w:ascii="Arial" w:cs="Arial" w:hAnsi="Arial"/>
                <w:sz w:val="22"/>
              </w:rPr>
              <w:t>*CTR定义：点击率，指促成目标页面点击的展示次数占总展示次数的百分比；</w:t>
            </w:r>
          </w:p>
          <w:p>
            <w:pPr>
              <w:spacing w:before="120" w:after="120" w:line="288" w:lineRule="auto"/>
              <w:ind w:left="0"/>
              <w:jc w:val="left"/>
            </w:pPr>
            <w:r>
              <w:rPr>
                <w:rFonts w:eastAsia="等线" w:ascii="Arial" w:cs="Arial" w:hAnsi="Arial"/>
                <w:sz w:val="22"/>
              </w:rPr>
              <w:t>以上数据、定义及行业划分，以媒体判定为准；</w:t>
            </w:r>
          </w:p>
          <w:p>
            <w:pPr>
              <w:numPr>
                <w:numId w:val="81"/>
              </w:numPr>
              <w:spacing w:before="120" w:after="120" w:line="288" w:lineRule="auto"/>
              <w:ind w:left="0"/>
              <w:jc w:val="left"/>
            </w:pPr>
            <w:r>
              <w:rPr>
                <w:rFonts w:eastAsia="等线" w:ascii="Arial" w:cs="Arial" w:hAnsi="Arial"/>
                <w:sz w:val="22"/>
              </w:rPr>
              <w:t>素材达标情况以媒体认定为准；</w:t>
            </w:r>
          </w:p>
          <w:p>
            <w:pPr>
              <w:numPr>
                <w:numId w:val="82"/>
              </w:numPr>
              <w:spacing w:before="120" w:after="120" w:line="288" w:lineRule="auto"/>
              <w:ind w:left="0"/>
              <w:jc w:val="left"/>
            </w:pPr>
            <w:r>
              <w:rPr>
                <w:rFonts w:eastAsia="等线" w:ascii="Arial" w:cs="Arial" w:hAnsi="Arial"/>
                <w:sz w:val="22"/>
              </w:rPr>
              <w:t>优质素材广告消耗：符合代投判定标准的广告账户，在25年Q4产生的，投放优质素材的广告消耗。</w:t>
            </w:r>
          </w:p>
          <w:p>
            <w:pPr>
              <w:numPr>
                <w:numId w:val="83"/>
              </w:numPr>
              <w:spacing w:before="120" w:after="120" w:line="288" w:lineRule="auto"/>
              <w:ind w:left="0"/>
              <w:jc w:val="left"/>
            </w:pPr>
            <w:r>
              <w:rPr>
                <w:rFonts w:eastAsia="等线" w:ascii="Arial" w:cs="Arial" w:hAnsi="Arial"/>
                <w:sz w:val="22"/>
              </w:rPr>
              <w:t>甲方应积极配合乙方进行申报及调整，以保证满足媒体关于优质素材的评判标准，若甲方拒绝调整或配合的，则无法取得相应返点激励。</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tc>
        <w:tc>
          <w:tcPr>
            <w:tcW w:w="4260"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2. </w:t>
      </w:r>
      <w:r>
        <w:rPr>
          <w:rFonts w:eastAsia="等线" w:ascii="Arial" w:cs="Arial" w:hAnsi="Arial"/>
          <w:b w:val="true"/>
          <w:sz w:val="32"/>
        </w:rPr>
        <w:t>通用</w:t>
      </w:r>
      <w:bookmarkEnd w:id="1"/>
    </w:p>
    <w:p>
      <w:pPr>
        <w:numPr>
          <w:numId w:val="84"/>
        </w:numPr>
        <w:spacing w:before="120" w:after="120" w:line="288" w:lineRule="auto"/>
        <w:ind w:left="0"/>
        <w:jc w:val="left"/>
      </w:pPr>
      <w:r>
        <w:rPr>
          <w:rFonts w:eastAsia="等线" w:ascii="Arial" w:cs="Arial" w:hAnsi="Arial"/>
          <w:sz w:val="22"/>
        </w:rPr>
        <w:t>甲方向乙方支付全额广告发布金额并在季度结束后，乙方将根据甲方实际支付的广告发布总额结算返点。甲方明确知悉并同意：甲方在该季度内存在任一笔款项逾期支付的，乙方有权取消该季度的全部返点；甲方存在具有媒体平台约定的减免支付返点的情形的，即使甲方已经支付完毕广告发布金额，也不参与返点。</w:t>
      </w:r>
    </w:p>
    <w:p>
      <w:pPr>
        <w:numPr>
          <w:numId w:val="85"/>
        </w:numPr>
        <w:spacing w:before="120" w:after="120" w:line="288" w:lineRule="auto"/>
        <w:ind w:left="0"/>
        <w:jc w:val="left"/>
      </w:pPr>
      <w:r>
        <w:rPr>
          <w:rFonts w:eastAsia="等线" w:ascii="Arial" w:cs="Arial" w:hAnsi="Arial"/>
          <w:sz w:val="22"/>
        </w:rPr>
        <w:t>同一客户的基础返点和专项返点如同时满足，可重复叠加，具体以乙方每季度确认的返点金额为准。</w:t>
      </w:r>
    </w:p>
    <w:p>
      <w:pPr>
        <w:numPr>
          <w:numId w:val="86"/>
        </w:numPr>
        <w:spacing w:before="120" w:after="120" w:line="288" w:lineRule="auto"/>
        <w:ind w:left="0"/>
        <w:jc w:val="left"/>
      </w:pPr>
      <w:r>
        <w:rPr>
          <w:rFonts w:eastAsia="等线" w:ascii="Arial" w:cs="Arial" w:hAnsi="Arial"/>
          <w:sz w:val="22"/>
        </w:rPr>
        <w:t>甲方已悉知针对TikTok不提供返点部分的消耗金额或因TikTok单方面决定不给予返点的，乙方也有权不向甲方提供任何返点，如乙方预先已提供的部分，则有权在下次结算时收回。</w:t>
      </w:r>
    </w:p>
    <w:p>
      <w:pPr>
        <w:numPr>
          <w:numId w:val="87"/>
        </w:numPr>
        <w:spacing w:before="120" w:after="120" w:line="288" w:lineRule="auto"/>
        <w:ind w:left="0"/>
        <w:jc w:val="left"/>
      </w:pPr>
      <w:r>
        <w:rPr>
          <w:rFonts w:eastAsia="等线" w:ascii="Arial" w:cs="Arial" w:hAnsi="Arial"/>
          <w:sz w:val="22"/>
        </w:rPr>
        <w:t>如甲方被媒体判定为违规投放，则乙方有权保留由于甲方违规而产生的媒体罚金的追究权利， 最终将以媒体判定为准。</w:t>
      </w:r>
    </w:p>
    <w:p>
      <w:pPr>
        <w:numPr>
          <w:numId w:val="88"/>
        </w:numPr>
        <w:spacing w:before="120" w:after="120" w:line="288" w:lineRule="auto"/>
        <w:ind w:left="0"/>
        <w:jc w:val="left"/>
      </w:pPr>
      <w:r>
        <w:rPr>
          <w:rFonts w:eastAsia="等线" w:ascii="Arial" w:cs="Arial" w:hAnsi="Arial"/>
          <w:sz w:val="22"/>
        </w:rPr>
        <w:t>甲方对返点金额的计算存在异议，应当在收到对账单之日起15个自然日内书面通知乙方，否则，视为甲方认可返点金额的计算方式。进一步的，如媒体判定需要返还返点的，则乙方有权在甲方账单中直接扣除，如金额不足的，乙方有权要求甲方在收到通知后30日全额返还。</w:t>
      </w:r>
    </w:p>
    <w:p>
      <w:pPr>
        <w:numPr>
          <w:numId w:val="89"/>
        </w:numPr>
        <w:spacing w:before="120" w:after="120" w:line="288" w:lineRule="auto"/>
        <w:ind w:left="0"/>
        <w:jc w:val="left"/>
      </w:pPr>
      <w:r>
        <w:rPr>
          <w:rFonts w:eastAsia="等线" w:ascii="Arial" w:cs="Arial" w:hAnsi="Arial"/>
          <w:sz w:val="22"/>
        </w:rPr>
        <w:t>甲方在TikTok for Business中投放目标受众国家为匈牙利的任何消耗，无返点。</w:t>
      </w:r>
    </w:p>
    <w:p>
      <w:pPr>
        <w:numPr>
          <w:numId w:val="90"/>
        </w:numPr>
        <w:spacing w:before="120" w:after="120" w:line="288" w:lineRule="auto"/>
        <w:ind w:left="0"/>
        <w:jc w:val="left"/>
      </w:pPr>
      <w:r>
        <w:rPr>
          <w:rFonts w:eastAsia="等线" w:ascii="Arial" w:cs="Arial" w:hAnsi="Arial"/>
          <w:sz w:val="22"/>
        </w:rPr>
        <w:t>若甲方为法国客户，则其在TikTok for Business中投放目标受众国家为法国的任何消耗均无返点。</w:t>
      </w:r>
    </w:p>
    <w:p>
      <w:pPr>
        <w:numPr>
          <w:numId w:val="91"/>
        </w:numPr>
        <w:spacing w:before="120" w:after="120" w:line="288" w:lineRule="auto"/>
        <w:ind w:left="0"/>
        <w:jc w:val="left"/>
      </w:pPr>
      <w:r>
        <w:rPr>
          <w:rFonts w:eastAsia="等线" w:ascii="Arial" w:cs="Arial" w:hAnsi="Arial"/>
          <w:sz w:val="22"/>
        </w:rPr>
        <w:t>甲方在TikTok for Business中投放目标受众国家为美国、加拿大、澳大利亚、新西兰的任何消耗，如使用非“中国大陆、香港、澳门”主体开户投放的，无任何返点。</w:t>
      </w:r>
    </w:p>
    <w:p>
      <w:pPr>
        <w:numPr>
          <w:numId w:val="92"/>
        </w:numPr>
        <w:spacing w:before="120" w:after="120" w:line="288" w:lineRule="auto"/>
        <w:ind w:left="0"/>
        <w:jc w:val="left"/>
      </w:pPr>
      <w:r>
        <w:rPr>
          <w:rFonts w:eastAsia="等线" w:ascii="Arial" w:cs="Arial" w:hAnsi="Arial"/>
          <w:sz w:val="22"/>
        </w:rPr>
        <w:t>任何在TikTok for Business投放项目中有关网红达人（KOL）的费用\Creator fee\Production fee\Copyright fee均不计入返点结算。</w:t>
      </w:r>
    </w:p>
    <w:p>
      <w:pPr>
        <w:numPr>
          <w:numId w:val="93"/>
        </w:numPr>
        <w:spacing w:before="120" w:after="120" w:line="288" w:lineRule="auto"/>
        <w:ind w:left="0"/>
        <w:jc w:val="left"/>
      </w:pPr>
      <w:r>
        <w:rPr>
          <w:rFonts w:eastAsia="等线" w:ascii="Arial" w:cs="Arial" w:hAnsi="Arial"/>
          <w:sz w:val="22"/>
        </w:rPr>
        <w:t>甲方属于Turkey, Pakistan, Morocco, Egypt, Cambodia, Argentina, Chilee, Ecuador, Uruguay, Guatemala, Costa Rica, Panama, Dominican Republic, Puerto Rico, Paraguay, and Bolivia, Colombia, Peru, Kazakhstan, South Africa, Taiwan, Kenya, Algeria, Azerbaijan, Sri Lanka, Baltics and Balkans countries地区的公司/集团，所产生的广告消耗一律不计返点。（如地区划分有调整，以最新GSE限定地区标准为准）</w:t>
      </w:r>
    </w:p>
    <w:p>
      <w:pPr>
        <w:numPr>
          <w:numId w:val="94"/>
        </w:numPr>
        <w:spacing w:before="120" w:after="120" w:line="288" w:lineRule="auto"/>
        <w:ind w:left="0"/>
        <w:jc w:val="left"/>
      </w:pPr>
      <w:r>
        <w:rPr>
          <w:rFonts w:eastAsia="等线" w:ascii="Arial" w:cs="Arial" w:hAnsi="Arial"/>
          <w:sz w:val="22"/>
        </w:rPr>
        <w:t>闭环电商广告消耗与TTS业绩含义相同，包含LSA、VSA、PSA、GMV Max等产品产生的消耗，具体定义以媒体约定为准。</w:t>
      </w:r>
    </w:p>
    <w:p>
      <w:pPr>
        <w:numPr>
          <w:numId w:val="95"/>
        </w:numPr>
        <w:spacing w:before="120" w:after="120" w:line="288" w:lineRule="auto"/>
        <w:ind w:left="0"/>
        <w:jc w:val="left"/>
      </w:pPr>
      <w:r>
        <w:rPr>
          <w:rFonts w:eastAsia="等线" w:ascii="Arial" w:cs="Arial" w:hAnsi="Arial"/>
          <w:sz w:val="22"/>
        </w:rPr>
        <w:t>"消耗"、"广告消耗"、"业绩"含义相同, 均指未被媒体内控判为违规的adv产生的业绩。</w:t>
      </w:r>
    </w:p>
    <w:p>
      <w:pPr>
        <w:numPr>
          <w:numId w:val="96"/>
        </w:numPr>
        <w:spacing w:before="120" w:after="120" w:line="288" w:lineRule="auto"/>
        <w:ind w:left="0"/>
        <w:jc w:val="left"/>
      </w:pPr>
      <w:r>
        <w:rPr>
          <w:rFonts w:eastAsia="等线" w:ascii="Arial" w:cs="Arial" w:hAnsi="Arial"/>
          <w:sz w:val="22"/>
        </w:rPr>
        <w:t>上述所有专项返点中，关于广告消耗区间，均为大于等于区间中的最小数，小于区间中的最大数。（例如 ”$1,000-2,000”，指大于等于$1,000，小于$2,000）</w:t>
      </w:r>
    </w:p>
    <w:p>
      <w:pPr>
        <w:numPr>
          <w:numId w:val="97"/>
        </w:numPr>
        <w:spacing w:before="120" w:after="120" w:line="288" w:lineRule="auto"/>
        <w:ind w:left="0"/>
        <w:jc w:val="left"/>
      </w:pPr>
      <w:r>
        <w:rPr>
          <w:rFonts w:eastAsia="等线" w:ascii="Arial" w:cs="Arial" w:hAnsi="Arial"/>
          <w:sz w:val="22"/>
        </w:rPr>
        <w:t>甲方应保证所有数据均为真实有效的，不存在作弊行为，最终数据判定均以媒体为准。</w:t>
      </w:r>
    </w:p>
    <w:p>
      <w:pPr>
        <w:numPr>
          <w:numId w:val="98"/>
        </w:numPr>
        <w:spacing w:before="120" w:after="120" w:line="288" w:lineRule="auto"/>
        <w:ind w:left="0"/>
        <w:jc w:val="left"/>
      </w:pPr>
      <w:r>
        <w:rPr>
          <w:rFonts w:eastAsia="等线" w:ascii="Arial" w:cs="Arial" w:hAnsi="Arial"/>
          <w:sz w:val="22"/>
        </w:rPr>
        <w:t>返点名额已满或超过该季度乙方在媒体处获得的返点上限的，即使甲方满足了上述条款约定的标准，则甲方也无法获得上述专项返点；如媒体的评判标准有任何修改的，均以媒体实时更新的为准。</w:t>
      </w:r>
    </w:p>
    <w:p>
      <w:pPr>
        <w:numPr>
          <w:numId w:val="99"/>
        </w:numPr>
        <w:spacing w:before="120" w:after="120" w:line="288" w:lineRule="auto"/>
        <w:ind w:left="0"/>
        <w:jc w:val="left"/>
      </w:pPr>
      <w:r>
        <w:rPr>
          <w:rFonts w:eastAsia="等线" w:ascii="Arial" w:cs="Arial" w:hAnsi="Arial"/>
          <w:sz w:val="22"/>
        </w:rPr>
        <w:t>本季度新开的US本本店铺（不包含ACCU，ACCU商家的政策以媒体后续通知为准）不适用上述全部返点政策（含基础返点和其他专项返点）。</w:t>
      </w:r>
    </w:p>
    <w:p>
      <w:pPr>
        <w:numPr>
          <w:numId w:val="100"/>
        </w:numPr>
        <w:spacing w:before="120" w:after="120" w:line="288" w:lineRule="auto"/>
        <w:ind w:left="0"/>
        <w:jc w:val="left"/>
      </w:pPr>
      <w:r>
        <w:rPr>
          <w:rFonts w:eastAsia="等线" w:ascii="Arial" w:cs="Arial" w:hAnsi="Arial"/>
          <w:sz w:val="22"/>
        </w:rPr>
        <w:t>本季度新开的SEA本本店铺是否参与本季度返点核算（含基础返点和其他专项返点）以是否达到TikTok for Business 评估的“优质新开”标准为准。TikTok for Business将在该店铺首销后的完整季度评估该店铺是否符合“优质新开”标准，最终判定结果以媒体公布为准。</w:t>
      </w:r>
    </w:p>
    <w:p>
      <w:pPr>
        <w:spacing w:before="120" w:after="120" w:line="288" w:lineRule="auto"/>
        <w:ind w:left="0" w:firstLine="420"/>
        <w:jc w:val="left"/>
      </w:pPr>
    </w:p>
    <w:p>
      <w:pPr>
        <w:numPr>
          <w:numId w:val="101"/>
        </w:numPr>
        <w:spacing w:before="120" w:after="120" w:line="288" w:lineRule="auto"/>
        <w:ind w:left="0"/>
        <w:jc w:val="left"/>
      </w:pPr>
      <w:r>
        <w:rPr>
          <w:rFonts w:eastAsia="等线" w:ascii="Arial" w:cs="Arial" w:hAnsi="Arial"/>
          <w:b w:val="true"/>
          <w:sz w:val="22"/>
        </w:rPr>
        <w:t>Kwai</w:t>
      </w:r>
    </w:p>
    <w:p>
      <w:pPr>
        <w:spacing w:before="120" w:after="120" w:line="288" w:lineRule="auto"/>
        <w:ind w:left="0" w:firstLine="420"/>
        <w:jc w:val="left"/>
      </w:pPr>
      <w:r>
        <w:rPr>
          <w:rFonts w:eastAsia="等线" w:ascii="Arial" w:cs="Arial" w:hAnsi="Arial"/>
          <w:sz w:val="22"/>
        </w:rPr>
        <w:t>4.1 甲方向乙方支付全额广告发布金额，在季度结束后，乙方将根据甲方实际支付的广告发布总额结算返点。甲方明确知悉并同意：甲方在该季度内存在任一笔款项逾期支付的，乙方有权取消该季度的全部返点；甲方存在具有媒体平台约定的减免支付返点的情形的，即使甲方已经按时支付完毕广告发布金额，也不参与返点。</w:t>
      </w:r>
    </w:p>
    <w:p>
      <w:pPr>
        <w:spacing w:before="120" w:after="120" w:line="288" w:lineRule="auto"/>
        <w:ind w:left="0" w:firstLine="420"/>
        <w:jc w:val="left"/>
      </w:pPr>
      <w:r>
        <w:rPr>
          <w:rFonts w:eastAsia="等线" w:ascii="Arial" w:cs="Arial" w:hAnsi="Arial"/>
          <w:sz w:val="22"/>
        </w:rPr>
        <w:t>4.2 甲方投放行业为【A类】的广告，返点比例如下：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80"/>
        <w:gridCol w:w="4065"/>
        <w:gridCol w:w="1950"/>
      </w:tblGrid>
      <w:tr>
        <w:tc>
          <w:tcPr>
            <w:tcW w:w="22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广告类型</w:t>
            </w:r>
          </w:p>
        </w:tc>
        <w:tc>
          <w:tcPr>
            <w:tcW w:w="4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广告发布额度区间（单位：万美元）</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r>
      <w:tr>
        <w:tc>
          <w:tcPr>
            <w:tcW w:w="22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效果类（自投）</w:t>
            </w:r>
          </w:p>
        </w:tc>
        <w:tc>
          <w:tcPr>
            <w:tcW w:w="4065" w:type="dxa"/>
            <w:tcMar>
              <w:top w:type="dxa" w:w="60"/>
              <w:left w:type="dxa" w:w="120"/>
              <w:bottom w:type="dxa" w:w="30"/>
              <w:right w:type="dxa" w:w="120"/>
            </w:tcMar>
          </w:tcPr>
          <w:p>
            <w:pPr>
              <w:spacing w:before="120" w:after="120" w:line="288" w:lineRule="auto"/>
              <w:ind w:left="0"/>
              <w:jc w:val="left"/>
            </w:pP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2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品牌类</w:t>
            </w:r>
          </w:p>
        </w:tc>
        <w:tc>
          <w:tcPr>
            <w:tcW w:w="4065" w:type="dxa"/>
            <w:tcMar>
              <w:top w:type="dxa" w:w="60"/>
              <w:left w:type="dxa" w:w="120"/>
              <w:bottom w:type="dxa" w:w="30"/>
              <w:right w:type="dxa" w:w="120"/>
            </w:tcMar>
          </w:tcPr>
          <w:p>
            <w:pPr>
              <w:spacing w:before="120" w:after="120" w:line="288" w:lineRule="auto"/>
              <w:ind w:left="0"/>
              <w:jc w:val="left"/>
            </w:pP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2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创作者变现类</w:t>
            </w:r>
          </w:p>
        </w:tc>
        <w:tc>
          <w:tcPr>
            <w:tcW w:w="4065" w:type="dxa"/>
            <w:tcMar>
              <w:top w:type="dxa" w:w="60"/>
              <w:left w:type="dxa" w:w="120"/>
              <w:bottom w:type="dxa" w:w="30"/>
              <w:right w:type="dxa" w:w="120"/>
            </w:tcMar>
          </w:tcPr>
          <w:p>
            <w:pPr>
              <w:spacing w:before="120" w:after="120" w:line="288" w:lineRule="auto"/>
              <w:ind w:left="0"/>
              <w:jc w:val="left"/>
            </w:pP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420"/>
        <w:jc w:val="left"/>
      </w:pPr>
      <w:r>
        <w:rPr>
          <w:rFonts w:eastAsia="等线" w:ascii="Arial" w:cs="Arial" w:hAnsi="Arial"/>
          <w:sz w:val="22"/>
        </w:rPr>
        <w:t>*A类行业：指一级行业为游戏、电商零售、消费品、生活服务、通信、金融、传媒社交、文体娱乐、汽车、旅游出行、商务服务、教育培训、房产/不动产、健康医疗、 社会公共和政府组织、化工及能源、工具。</w:t>
      </w:r>
    </w:p>
    <w:p>
      <w:pPr>
        <w:spacing w:before="120" w:after="120" w:line="288" w:lineRule="auto"/>
        <w:ind w:left="0" w:firstLine="420"/>
        <w:jc w:val="left"/>
      </w:pPr>
      <w:r>
        <w:rPr>
          <w:rFonts w:eastAsia="等线" w:ascii="Arial" w:cs="Arial" w:hAnsi="Arial"/>
          <w:sz w:val="22"/>
        </w:rPr>
        <w:t>*效果类：信息流广告（以实时竞价的方式在广告平台上竞争广告位）、快任务、品牌竞价。</w:t>
      </w:r>
    </w:p>
    <w:p>
      <w:pPr>
        <w:spacing w:before="120" w:after="120" w:line="288" w:lineRule="auto"/>
        <w:ind w:left="0" w:firstLine="420"/>
        <w:jc w:val="left"/>
      </w:pPr>
      <w:r>
        <w:rPr>
          <w:rFonts w:eastAsia="等线" w:ascii="Arial" w:cs="Arial" w:hAnsi="Arial"/>
          <w:sz w:val="22"/>
        </w:rPr>
        <w:t>*品牌类: 开屏广告 Eyemax、合约信息流 First Sight、Reach &amp; Frequncy、 TeleKwai、挑战赛广告 Hashtag Challenge、特殊招商项目-非标产品。</w:t>
      </w:r>
    </w:p>
    <w:p>
      <w:pPr>
        <w:spacing w:before="120" w:after="120" w:line="288" w:lineRule="auto"/>
        <w:ind w:left="0" w:firstLine="420"/>
        <w:jc w:val="left"/>
      </w:pPr>
      <w:r>
        <w:rPr>
          <w:rFonts w:eastAsia="等线" w:ascii="Arial" w:cs="Arial" w:hAnsi="Arial"/>
          <w:sz w:val="22"/>
        </w:rPr>
        <w:t>*创作者变现类：KCM</w:t>
      </w:r>
    </w:p>
    <w:p>
      <w:pPr>
        <w:spacing w:before="120" w:after="120" w:line="288" w:lineRule="auto"/>
        <w:ind w:left="0" w:firstLine="420"/>
        <w:jc w:val="left"/>
      </w:pPr>
      <w:r>
        <w:rPr>
          <w:rFonts w:eastAsia="等线" w:ascii="Arial" w:cs="Arial" w:hAnsi="Arial"/>
          <w:sz w:val="22"/>
        </w:rPr>
        <w:t>4.3 甲方投放行业为【B类】的广告，且在【取得牌照并在SIGAP系统名单内】，返点比例如下：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950"/>
        <w:gridCol w:w="2835"/>
      </w:tblGrid>
      <w:tr>
        <w:tc>
          <w:tcPr>
            <w:tcW w:w="4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广告发布额度区间（单位：万美元）</w:t>
            </w:r>
          </w:p>
        </w:tc>
        <w:tc>
          <w:tcPr>
            <w:tcW w:w="28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r>
      <w:tr>
        <w:tc>
          <w:tcPr>
            <w:tcW w:w="4950" w:type="dxa"/>
            <w:tcMar>
              <w:top w:type="dxa" w:w="60"/>
              <w:left w:type="dxa" w:w="120"/>
              <w:bottom w:type="dxa" w:w="30"/>
              <w:right w:type="dxa" w:w="120"/>
            </w:tcMar>
          </w:tcPr>
          <w:p>
            <w:pPr>
              <w:spacing w:before="120" w:after="120" w:line="288" w:lineRule="auto"/>
              <w:ind w:left="0"/>
              <w:jc w:val="left"/>
            </w:pPr>
          </w:p>
        </w:tc>
        <w:tc>
          <w:tcPr>
            <w:tcW w:w="28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420"/>
        <w:jc w:val="left"/>
      </w:pPr>
      <w:r>
        <w:rPr>
          <w:rFonts w:eastAsia="等线" w:ascii="Arial" w:cs="Arial" w:hAnsi="Arial"/>
          <w:sz w:val="22"/>
        </w:rPr>
        <w:t>*B类行业：指一级行业为除A类之外的行业</w:t>
      </w:r>
    </w:p>
    <w:p>
      <w:pPr>
        <w:spacing w:before="120" w:after="120" w:line="288" w:lineRule="auto"/>
        <w:ind w:left="0" w:firstLine="420"/>
        <w:jc w:val="left"/>
      </w:pPr>
      <w:r>
        <w:rPr>
          <w:rFonts w:eastAsia="等线" w:ascii="Arial" w:cs="Arial" w:hAnsi="Arial"/>
          <w:sz w:val="22"/>
        </w:rPr>
        <w:t>4.4  行业判定：具体行业判定，依据甲方主体下落地页/应用/账户的推广情况综合判定，且行业分类会实时更新，最终均以Kwai媒体判定为准。</w:t>
      </w:r>
    </w:p>
    <w:p>
      <w:pPr>
        <w:spacing w:before="120" w:after="120" w:line="288" w:lineRule="auto"/>
        <w:ind w:left="0" w:firstLine="420"/>
        <w:jc w:val="left"/>
      </w:pPr>
      <w:r>
        <w:rPr>
          <w:rFonts w:eastAsia="等线" w:ascii="Arial" w:cs="Arial" w:hAnsi="Arial"/>
          <w:sz w:val="22"/>
        </w:rPr>
        <w:t>4.5  SIGAP系统名单内判定：均以Kwai媒体审核判定为准。</w:t>
      </w:r>
    </w:p>
    <w:p>
      <w:pPr>
        <w:spacing w:before="120" w:after="120" w:line="288" w:lineRule="auto"/>
        <w:ind w:left="0" w:firstLine="420"/>
        <w:jc w:val="left"/>
      </w:pPr>
      <w:r>
        <w:rPr>
          <w:rFonts w:eastAsia="等线" w:ascii="Arial" w:cs="Arial" w:hAnsi="Arial"/>
          <w:sz w:val="22"/>
        </w:rPr>
        <w:t>4.6  广告类型判定：均以Kwai媒体判定为准。</w:t>
      </w:r>
    </w:p>
    <w:p>
      <w:pPr>
        <w:spacing w:before="120" w:after="120" w:line="288" w:lineRule="auto"/>
        <w:ind w:left="0" w:firstLine="420"/>
        <w:jc w:val="left"/>
      </w:pPr>
      <w:r>
        <w:rPr>
          <w:rFonts w:eastAsia="等线" w:ascii="Arial" w:cs="Arial" w:hAnsi="Arial"/>
          <w:sz w:val="22"/>
        </w:rPr>
        <w:t>4.7  甲方应该严格按照行业类型开设账户并投放广告，如甲方违反上述规则（例如开设A类账户投放B类行业的广告），则媒体或/和乙方有权对甲方进行处罚，包括但不限于扣除罚金，取消返点，冻结账户等；如不足以弥补乙方损失的，乙方有权向甲方继续追偿。</w:t>
      </w:r>
    </w:p>
    <w:p>
      <w:pPr>
        <w:spacing w:before="120" w:after="120" w:line="288" w:lineRule="auto"/>
        <w:ind w:left="0" w:firstLine="420"/>
        <w:jc w:val="left"/>
      </w:pPr>
    </w:p>
    <w:p>
      <w:pPr>
        <w:numPr>
          <w:numId w:val="102"/>
        </w:numPr>
        <w:spacing w:before="120" w:after="120" w:line="288" w:lineRule="auto"/>
        <w:ind w:left="0"/>
        <w:jc w:val="left"/>
      </w:pPr>
      <w:r>
        <w:rPr>
          <w:rFonts w:eastAsia="等线" w:ascii="Arial" w:cs="Arial" w:hAnsi="Arial"/>
          <w:b w:val="true"/>
          <w:sz w:val="22"/>
        </w:rPr>
        <w:t>LinkedIn</w:t>
      </w:r>
    </w:p>
    <w:p>
      <w:pPr>
        <w:spacing w:before="120" w:after="120" w:line="288" w:lineRule="auto"/>
        <w:ind w:left="0" w:firstLine="420"/>
        <w:jc w:val="left"/>
      </w:pPr>
      <w:r>
        <w:rPr>
          <w:rFonts w:eastAsia="等线" w:ascii="Arial" w:cs="Arial" w:hAnsi="Arial"/>
          <w:sz w:val="22"/>
        </w:rPr>
        <w:t>5.1 甲方向乙方支付全额广告发布金额，在季度结束后，乙方将根据甲方实际支付的广告发布总额结算返点。甲方明确知悉并同意：甲方在该季度内存在任一笔款项逾期支付的，乙方有权取消该季度的全部返点；甲方存在具有媒体平台约定的减免支付返点的情形的，即使甲方已经按时支付完毕广告发布金额，也不参与返点。</w:t>
      </w:r>
    </w:p>
    <w:p>
      <w:pPr>
        <w:spacing w:before="120" w:after="120" w:line="288" w:lineRule="auto"/>
        <w:ind w:left="0" w:firstLine="420"/>
        <w:jc w:val="left"/>
      </w:pPr>
      <w:r>
        <w:rPr>
          <w:rFonts w:eastAsia="等线" w:ascii="Arial" w:cs="Arial" w:hAnsi="Arial"/>
          <w:sz w:val="22"/>
        </w:rPr>
        <w:t>5.2 返点比例如下：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190"/>
        <w:gridCol w:w="2775"/>
      </w:tblGrid>
      <w:tr>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广告发布额度区间（单位：万美元）</w:t>
            </w: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r>
      <w:tr>
        <w:tc>
          <w:tcPr>
            <w:tcW w:w="5190" w:type="dxa"/>
            <w:tcMar>
              <w:top w:type="dxa" w:w="60"/>
              <w:left w:type="dxa" w:w="120"/>
              <w:bottom w:type="dxa" w:w="30"/>
              <w:right w:type="dxa" w:w="120"/>
            </w:tcMar>
          </w:tcPr>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420"/>
        <w:jc w:val="left"/>
      </w:pPr>
      <w:r>
        <w:rPr>
          <w:rFonts w:eastAsia="等线" w:ascii="Arial" w:cs="Arial" w:hAnsi="Arial"/>
          <w:sz w:val="22"/>
        </w:rPr>
        <w:t>5.3 如甲方选择预付合作方式，则乙方将在甲方实际消耗金额超过预付金额的90%时向甲方做出提示；如甲方实际消耗金额达到预付金额时，甲方应立即停止消耗，否则乙方有权停止对甲方提供任何服务包括但不限于暂停账户消耗并收回账号相关权限。</w:t>
      </w:r>
    </w:p>
    <w:p>
      <w:pPr>
        <w:spacing w:before="120" w:after="120" w:line="288" w:lineRule="auto"/>
        <w:ind w:left="0" w:firstLine="420"/>
        <w:jc w:val="left"/>
      </w:pPr>
      <w:r>
        <w:rPr>
          <w:rFonts w:eastAsia="等线" w:ascii="Arial" w:cs="Arial" w:hAnsi="Arial"/>
          <w:sz w:val="22"/>
        </w:rPr>
        <w:t>5.4 如甲方选择后付合作方式，则不管甲方的实际消耗是否超过充值需求，甲方均应按照实际的消耗与乙方结算，即据实结算原则，如甲方逾期或拒绝支付的，乙方有权停止对甲方提供任何服务包括但不限于暂停账户消耗并收回账号相关权限。</w:t>
      </w:r>
    </w:p>
    <w:p>
      <w:pPr>
        <w:spacing w:before="120" w:after="120" w:line="288" w:lineRule="auto"/>
        <w:ind w:left="0" w:firstLine="420"/>
        <w:jc w:val="left"/>
      </w:pPr>
      <w:r>
        <w:rPr>
          <w:rFonts w:eastAsia="等线" w:ascii="Arial" w:cs="Arial" w:hAnsi="Arial"/>
          <w:sz w:val="22"/>
        </w:rPr>
        <w:t>5.5 甲方悉知，LinkedIn媒体投放需缴纳税费。如甲方选择预付合作方式，则税费在充值时直接扣减；如甲方选择后付合作方式，则税费合并计算至当月账单中。进一步的，税费均不参与返点计算。</w:t>
      </w:r>
    </w:p>
    <w:p>
      <w:pPr>
        <w:spacing w:before="120" w:after="120" w:line="288" w:lineRule="auto"/>
        <w:ind w:left="0" w:firstLine="420"/>
        <w:jc w:val="left"/>
      </w:pPr>
      <w:r>
        <w:rPr>
          <w:rFonts w:eastAsia="等线" w:ascii="Arial" w:cs="Arial" w:hAnsi="Arial"/>
          <w:sz w:val="22"/>
        </w:rPr>
        <w:t>5.6  上述5.2条款约定的返点比例政策仅截止至2025年6月30日，即双方应以补充协议的形式另行签署自2025年7月1日起适用的LinkedIn新返点政策，否则乙方有权拒绝按照上述条款约定的返点比例向甲方支付返点，并不承担任何违约责任。</w:t>
      </w:r>
    </w:p>
    <w:p>
      <w:pPr>
        <w:spacing w:before="120" w:after="120" w:line="288" w:lineRule="auto"/>
        <w:ind w:left="0" w:firstLine="420"/>
        <w:jc w:val="left"/>
      </w:pPr>
    </w:p>
    <w:p>
      <w:pPr>
        <w:numPr>
          <w:numId w:val="103"/>
        </w:numPr>
        <w:spacing w:before="120" w:after="120" w:line="288" w:lineRule="auto"/>
        <w:ind w:left="0"/>
        <w:jc w:val="left"/>
      </w:pPr>
      <w:r>
        <w:rPr>
          <w:rFonts w:eastAsia="等线" w:ascii="Arial" w:cs="Arial" w:hAnsi="Arial"/>
          <w:b w:val="true"/>
          <w:sz w:val="22"/>
        </w:rPr>
        <w:t>Twitter（X）\Outbrain\Moloco等其他小媒体</w:t>
      </w:r>
    </w:p>
    <w:p>
      <w:pPr>
        <w:spacing w:before="120" w:after="120" w:line="288" w:lineRule="auto"/>
        <w:ind w:left="0" w:firstLine="420"/>
        <w:jc w:val="left"/>
      </w:pPr>
      <w:r>
        <w:rPr>
          <w:rFonts w:eastAsia="等线" w:ascii="Arial" w:cs="Arial" w:hAnsi="Arial"/>
          <w:sz w:val="22"/>
        </w:rPr>
        <w:t>6.1 甲方向乙方支付全额广告发布金额，在季度结束后，乙方将根据甲方实际支付的广告发布总额结算返点。甲方明确知悉并同意：甲方在该季度内存在任一笔款项逾期支付的，乙方有权取消该季度的全部返点；甲方存在具有媒体平台约定的减免支付返点的情形的，即使甲方已经按时支付完毕广告发布金额，也不参与返点。</w:t>
      </w:r>
    </w:p>
    <w:p>
      <w:pPr>
        <w:spacing w:before="120" w:after="120" w:line="288" w:lineRule="auto"/>
        <w:ind w:left="0" w:firstLine="420"/>
        <w:jc w:val="left"/>
      </w:pPr>
      <w:r>
        <w:rPr>
          <w:rFonts w:eastAsia="等线" w:ascii="Arial" w:cs="Arial" w:hAnsi="Arial"/>
          <w:sz w:val="22"/>
        </w:rPr>
        <w:t>6.2返点比例如下：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190"/>
        <w:gridCol w:w="2775"/>
      </w:tblGrid>
      <w:tr>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广告发布额度区间（单位：万美元）</w:t>
            </w: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r>
      <w:tr>
        <w:tc>
          <w:tcPr>
            <w:tcW w:w="5190" w:type="dxa"/>
            <w:tcMar>
              <w:top w:type="dxa" w:w="60"/>
              <w:left w:type="dxa" w:w="120"/>
              <w:bottom w:type="dxa" w:w="30"/>
              <w:right w:type="dxa" w:w="120"/>
            </w:tcMar>
          </w:tcPr>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420"/>
        <w:jc w:val="left"/>
      </w:pPr>
      <w:r>
        <w:rPr>
          <w:rFonts w:eastAsia="等线" w:ascii="Arial" w:cs="Arial" w:hAnsi="Arial"/>
          <w:sz w:val="22"/>
        </w:rPr>
        <w:t>6.3 甲方确认，在Outbrain媒体投放社交聚合类(social aggregator) 和套利/搜索类 （Search/SERP）的广告，不参与返点。</w:t>
      </w:r>
    </w:p>
    <w:p>
      <w:pPr>
        <w:spacing w:before="120" w:after="120" w:line="288" w:lineRule="auto"/>
        <w:ind w:left="0" w:firstLine="420"/>
        <w:jc w:val="left"/>
      </w:pPr>
    </w:p>
    <w:p>
      <w:pPr>
        <w:numPr>
          <w:numId w:val="104"/>
        </w:numPr>
        <w:spacing w:before="120" w:after="120" w:line="288" w:lineRule="auto"/>
        <w:ind w:left="0"/>
        <w:jc w:val="left"/>
      </w:pPr>
      <w:r>
        <w:rPr>
          <w:rFonts w:eastAsia="等线" w:ascii="Arial" w:cs="Arial" w:hAnsi="Arial"/>
          <w:b w:val="true"/>
          <w:sz w:val="22"/>
        </w:rPr>
        <w:t>TTD，Pinterest，YAHOO-日本，REDDIT，SEEDAPP，LINE,  BlueTurbo DSP等其他小媒体</w:t>
      </w:r>
    </w:p>
    <w:p>
      <w:pPr>
        <w:spacing w:before="120" w:after="120" w:line="288" w:lineRule="auto"/>
        <w:ind w:left="0" w:firstLine="420"/>
        <w:jc w:val="left"/>
      </w:pPr>
      <w:r>
        <w:rPr>
          <w:rFonts w:eastAsia="等线" w:ascii="Arial" w:cs="Arial" w:hAnsi="Arial"/>
          <w:sz w:val="22"/>
        </w:rPr>
        <w:t>7.1 甲方在【】媒体进行广告投放的，所涉及的消耗均无任何返点，且甲方需要向乙方额外支付当月广告投放总消耗金额的【 】%作为服务费，该服务费用与当月广告消耗费用按约定账期一同结算。</w:t>
      </w:r>
    </w:p>
    <w:p>
      <w:pPr>
        <w:spacing w:before="120" w:after="120" w:line="288" w:lineRule="auto"/>
        <w:ind w:left="0" w:firstLine="420"/>
        <w:jc w:val="left"/>
      </w:pPr>
      <w:r>
        <w:rPr>
          <w:rFonts w:eastAsia="等线" w:ascii="Arial" w:cs="Arial" w:hAnsi="Arial"/>
          <w:sz w:val="22"/>
        </w:rPr>
        <w:t>7.2  如甲方选择预付合作方式，则乙方有权在甲方实际消耗金额超过预付金额的90%时向甲方做出提示；如甲方实际消耗金额达到预付金额时，甲方应立即停止消耗，否则乙方有权停止对甲方提供任何服务包括但不限于暂停账户消耗并收回账号相关权限。</w:t>
      </w:r>
    </w:p>
    <w:p>
      <w:pPr>
        <w:spacing w:before="120" w:after="120" w:line="288" w:lineRule="auto"/>
        <w:ind w:left="0" w:firstLine="420"/>
        <w:jc w:val="left"/>
      </w:pPr>
      <w:r>
        <w:rPr>
          <w:rFonts w:eastAsia="等线" w:ascii="Arial" w:cs="Arial" w:hAnsi="Arial"/>
          <w:sz w:val="22"/>
        </w:rPr>
        <w:t>7.3 如甲方选择后付合作方式，则不管甲方的实际消耗是否超过充值需求，甲方均应按照实际的消耗与乙方结算，即据实结算原则，如甲方逾期或拒绝支付的，乙方有权停止对甲方提供任何服务包括但不限于暂停账户消耗并收回账号相关权限。</w:t>
      </w:r>
    </w:p>
    <w:p>
      <w:pPr>
        <w:spacing w:before="120" w:after="120" w:line="288" w:lineRule="auto"/>
        <w:ind w:left="0" w:firstLine="420"/>
        <w:jc w:val="left"/>
      </w:pPr>
    </w:p>
    <w:p>
      <w:pPr>
        <w:numPr>
          <w:numId w:val="105"/>
        </w:numPr>
        <w:spacing w:before="120" w:after="120" w:line="288" w:lineRule="auto"/>
        <w:ind w:left="0"/>
        <w:jc w:val="left"/>
      </w:pPr>
      <w:r>
        <w:rPr>
          <w:rFonts w:eastAsia="等线" w:ascii="Arial" w:cs="Arial" w:hAnsi="Arial"/>
          <w:b w:val="true"/>
          <w:sz w:val="22"/>
        </w:rPr>
        <w:t>Microsoft advertising(Bing)</w:t>
      </w:r>
    </w:p>
    <w:p>
      <w:pPr>
        <w:spacing w:before="120" w:after="120" w:line="288" w:lineRule="auto"/>
        <w:ind w:left="0" w:firstLine="420"/>
        <w:jc w:val="left"/>
      </w:pPr>
      <w:r>
        <w:rPr>
          <w:rFonts w:eastAsia="等线" w:ascii="Arial" w:cs="Arial" w:hAnsi="Arial"/>
          <w:sz w:val="22"/>
        </w:rPr>
        <w:t>8.1 甲方向乙方支付全额广告发布金额，在季度结束后，乙方将根据甲方实际支付的广告发布总额结算返点。甲方明确知悉并同意：甲方在该季度内存在任一笔款项逾期支付的，乙方有权取消该季度的全部返点；甲方存在具有媒体平台约定的减免支付返点的情形的，即使甲方已经按时支付完毕广告发布金额，也不参与返点。</w:t>
      </w:r>
    </w:p>
    <w:p>
      <w:pPr>
        <w:spacing w:before="120" w:after="120" w:line="288" w:lineRule="auto"/>
        <w:ind w:left="0" w:firstLine="420"/>
        <w:jc w:val="left"/>
      </w:pPr>
      <w:r>
        <w:rPr>
          <w:rFonts w:eastAsia="等线" w:ascii="Arial" w:cs="Arial" w:hAnsi="Arial"/>
          <w:sz w:val="22"/>
        </w:rPr>
        <w:t>8.2 【2025年7月1日】至【2026年6月30日】期间，双方确认按照如下返点计算：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35"/>
        <w:gridCol w:w="3495"/>
        <w:gridCol w:w="2550"/>
      </w:tblGrid>
      <w:tr>
        <w:tc>
          <w:tcPr>
            <w:tcW w:w="22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p>
            <w:pPr>
              <w:spacing w:before="120" w:after="120" w:line="288" w:lineRule="auto"/>
              <w:ind w:left="0"/>
              <w:jc w:val="center"/>
            </w:pPr>
            <w:r>
              <w:rPr>
                <w:rFonts w:eastAsia="等线" w:ascii="Arial" w:cs="Arial" w:hAnsi="Arial"/>
                <w:sz w:val="22"/>
              </w:rPr>
              <w:t>（单一客户XID）</w:t>
            </w:r>
          </w:p>
        </w:tc>
        <w:tc>
          <w:tcPr>
            <w:tcW w:w="3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考核指标</w:t>
            </w:r>
          </w:p>
          <w:p>
            <w:pPr>
              <w:spacing w:before="120" w:after="120" w:line="288" w:lineRule="auto"/>
              <w:ind w:left="0"/>
              <w:jc w:val="center"/>
            </w:pPr>
            <w:r>
              <w:rPr>
                <w:rFonts w:eastAsia="等线" w:ascii="Arial" w:cs="Arial" w:hAnsi="Arial"/>
                <w:sz w:val="22"/>
              </w:rPr>
              <w:t>（X为广告消耗金额/每季度）</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r>
      <w:tr>
        <w:tc>
          <w:tcPr>
            <w:tcW w:w="22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基础返点</w:t>
            </w:r>
          </w:p>
          <w:p>
            <w:pPr>
              <w:spacing w:before="120" w:after="120" w:line="288" w:lineRule="auto"/>
              <w:ind w:left="0"/>
              <w:jc w:val="center"/>
            </w:pPr>
            <w:r>
              <w:rPr>
                <w:rFonts w:eastAsia="等线" w:ascii="Arial" w:cs="Arial" w:hAnsi="Arial"/>
                <w:sz w:val="22"/>
              </w:rPr>
              <w:t>base rebate</w:t>
            </w:r>
          </w:p>
        </w:tc>
        <w:tc>
          <w:tcPr>
            <w:tcW w:w="3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X&gt;0美金</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23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新客返点</w:t>
            </w:r>
          </w:p>
          <w:p>
            <w:pPr>
              <w:spacing w:before="120" w:after="120" w:line="288" w:lineRule="auto"/>
              <w:ind w:left="0"/>
              <w:jc w:val="center"/>
            </w:pPr>
            <w:r>
              <w:rPr>
                <w:rFonts w:eastAsia="等线" w:ascii="Arial" w:cs="Arial" w:hAnsi="Arial"/>
                <w:sz w:val="22"/>
              </w:rPr>
              <w:t>new acquisition</w:t>
            </w:r>
          </w:p>
        </w:tc>
        <w:tc>
          <w:tcPr>
            <w:tcW w:w="349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0＜X＜3000美金</w:t>
            </w:r>
          </w:p>
        </w:tc>
        <w:tc>
          <w:tcPr>
            <w:tcW w:w="255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235" w:type="dxa"/>
            <w:vMerge w:val="continue"/>
            <w:tcMar>
              <w:top w:type="dxa" w:w="60"/>
              <w:left w:type="dxa" w:w="120"/>
              <w:bottom w:type="dxa" w:w="30"/>
              <w:right w:type="dxa" w:w="120"/>
            </w:tcMar>
          </w:tcPr>
          <w:p>
            <w:pPr>
              <w:spacing w:before="120" w:after="120" w:line="288" w:lineRule="auto"/>
              <w:ind w:left="0"/>
              <w:jc w:val="left"/>
            </w:pPr>
          </w:p>
        </w:tc>
        <w:tc>
          <w:tcPr>
            <w:tcW w:w="3495" w:type="dxa"/>
            <w:vMerge w:val="continue"/>
            <w:tcMar>
              <w:top w:type="dxa" w:w="60"/>
              <w:left w:type="dxa" w:w="120"/>
              <w:bottom w:type="dxa" w:w="30"/>
              <w:right w:type="dxa" w:w="120"/>
            </w:tcMar>
          </w:tcPr>
          <w:p>
            <w:pPr>
              <w:spacing w:before="120" w:after="120" w:line="288" w:lineRule="auto"/>
              <w:ind w:left="0"/>
              <w:jc w:val="left"/>
            </w:pPr>
          </w:p>
        </w:tc>
        <w:tc>
          <w:tcPr>
            <w:tcW w:w="2550" w:type="dxa"/>
            <w:vMerge w:val="continue"/>
            <w:tcMar>
              <w:top w:type="dxa" w:w="60"/>
              <w:left w:type="dxa" w:w="120"/>
              <w:bottom w:type="dxa" w:w="30"/>
              <w:right w:type="dxa" w:w="120"/>
            </w:tcMar>
          </w:tcPr>
          <w:p>
            <w:pPr>
              <w:spacing w:before="120" w:after="120" w:line="288" w:lineRule="auto"/>
              <w:ind w:left="0"/>
              <w:jc w:val="left"/>
            </w:pPr>
          </w:p>
        </w:tc>
      </w:tr>
      <w:tr>
        <w:tc>
          <w:tcPr>
            <w:tcW w:w="22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高质量新客返点</w:t>
            </w:r>
          </w:p>
          <w:p>
            <w:pPr>
              <w:spacing w:before="120" w:after="120" w:line="288" w:lineRule="auto"/>
              <w:ind w:left="0"/>
              <w:jc w:val="center"/>
            </w:pPr>
            <w:r>
              <w:rPr>
                <w:rFonts w:eastAsia="等线" w:ascii="Arial" w:cs="Arial" w:hAnsi="Arial"/>
                <w:sz w:val="22"/>
              </w:rPr>
              <w:t>High Quality</w:t>
            </w:r>
          </w:p>
          <w:p>
            <w:pPr>
              <w:spacing w:before="120" w:after="120" w:line="288" w:lineRule="auto"/>
              <w:ind w:left="0"/>
              <w:jc w:val="center"/>
            </w:pPr>
            <w:r>
              <w:rPr>
                <w:rFonts w:eastAsia="等线" w:ascii="Arial" w:cs="Arial" w:hAnsi="Arial"/>
                <w:sz w:val="22"/>
              </w:rPr>
              <w:t>new acquisition</w:t>
            </w:r>
          </w:p>
        </w:tc>
        <w:tc>
          <w:tcPr>
            <w:tcW w:w="3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X≥3000美金</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%（额外返点）</w:t>
            </w:r>
          </w:p>
        </w:tc>
      </w:tr>
      <w:tr>
        <w:tc>
          <w:tcPr>
            <w:tcW w:w="223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额外激励</w:t>
            </w:r>
          </w:p>
          <w:p>
            <w:pPr>
              <w:spacing w:before="120" w:after="120" w:line="288" w:lineRule="auto"/>
              <w:ind w:left="0"/>
              <w:jc w:val="center"/>
            </w:pPr>
            <w:r>
              <w:rPr>
                <w:rFonts w:eastAsia="等线" w:ascii="Arial" w:cs="Arial" w:hAnsi="Arial"/>
                <w:sz w:val="22"/>
              </w:rPr>
              <w:t>Incentives</w:t>
            </w:r>
          </w:p>
        </w:tc>
        <w:tc>
          <w:tcPr>
            <w:tcW w:w="3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X≥【200,000】美金</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235" w:type="dxa"/>
            <w:vMerge w:val="continue"/>
            <w:tcMar>
              <w:top w:type="dxa" w:w="60"/>
              <w:left w:type="dxa" w:w="120"/>
              <w:bottom w:type="dxa" w:w="30"/>
              <w:right w:type="dxa" w:w="120"/>
            </w:tcMar>
          </w:tcPr>
          <w:p>
            <w:pPr>
              <w:spacing w:before="120" w:after="120" w:line="288" w:lineRule="auto"/>
              <w:ind w:left="0"/>
              <w:jc w:val="left"/>
            </w:pPr>
          </w:p>
        </w:tc>
        <w:tc>
          <w:tcPr>
            <w:tcW w:w="3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X≥【300,000】美金</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235" w:type="dxa"/>
            <w:vMerge w:val="continue"/>
            <w:tcMar>
              <w:top w:type="dxa" w:w="60"/>
              <w:left w:type="dxa" w:w="120"/>
              <w:bottom w:type="dxa" w:w="30"/>
              <w:right w:type="dxa" w:w="120"/>
            </w:tcMar>
          </w:tcPr>
          <w:p>
            <w:pPr>
              <w:spacing w:before="120" w:after="120" w:line="288" w:lineRule="auto"/>
              <w:ind w:left="0"/>
              <w:jc w:val="left"/>
            </w:pPr>
          </w:p>
        </w:tc>
        <w:tc>
          <w:tcPr>
            <w:tcW w:w="3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X≥【500,000】美金</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420"/>
        <w:jc w:val="left"/>
      </w:pPr>
      <w:r>
        <w:rPr>
          <w:rFonts w:eastAsia="等线" w:ascii="Arial" w:cs="Arial" w:hAnsi="Arial"/>
          <w:sz w:val="22"/>
        </w:rPr>
        <w:t>8.2.1 单一客户：一般情况指一个XID为一个单一客户主体，除直客以外。</w:t>
      </w:r>
    </w:p>
    <w:p>
      <w:pPr>
        <w:spacing w:before="120" w:after="120" w:line="288" w:lineRule="auto"/>
        <w:ind w:left="0" w:firstLine="420"/>
        <w:jc w:val="left"/>
      </w:pPr>
      <w:r>
        <w:rPr>
          <w:rFonts w:eastAsia="等线" w:ascii="Arial" w:cs="Arial" w:hAnsi="Arial"/>
          <w:sz w:val="22"/>
        </w:rPr>
        <w:t>8.2.2 新客：新创建的XID，新的Domain，非套利及联盟账户，且在过去半年没有消耗过的账户，可被媒体可判定为新客。</w:t>
      </w:r>
    </w:p>
    <w:p>
      <w:pPr>
        <w:spacing w:before="120" w:after="120" w:line="288" w:lineRule="auto"/>
        <w:ind w:left="0" w:firstLine="420"/>
        <w:jc w:val="left"/>
      </w:pPr>
      <w:r>
        <w:rPr>
          <w:rFonts w:eastAsia="等线" w:ascii="Arial" w:cs="Arial" w:hAnsi="Arial"/>
          <w:sz w:val="22"/>
        </w:rPr>
        <w:t>8.2.3 高质量新客：被媒体判定为新客，且在前3个月内消耗超过3000美金的。</w:t>
      </w:r>
    </w:p>
    <w:p>
      <w:pPr>
        <w:spacing w:before="120" w:after="120" w:line="288" w:lineRule="auto"/>
        <w:ind w:left="0" w:firstLine="420"/>
        <w:jc w:val="left"/>
      </w:pPr>
      <w:r>
        <w:rPr>
          <w:rFonts w:eastAsia="等线" w:ascii="Arial" w:cs="Arial" w:hAnsi="Arial"/>
          <w:sz w:val="22"/>
        </w:rPr>
        <w:t>8.2.4 直客：由Microsoft advertising(Bing)媒体直接管理的客户，具体以媒体确定的名单为准。</w:t>
      </w:r>
    </w:p>
    <w:p>
      <w:pPr>
        <w:spacing w:before="120" w:after="120" w:line="288" w:lineRule="auto"/>
        <w:ind w:left="0" w:firstLine="420"/>
        <w:jc w:val="left"/>
      </w:pPr>
      <w:r>
        <w:rPr>
          <w:rFonts w:eastAsia="等线" w:ascii="Arial" w:cs="Arial" w:hAnsi="Arial"/>
          <w:sz w:val="22"/>
        </w:rPr>
        <w:t>8.2.5 CID：Manager account经理账户。</w:t>
      </w:r>
    </w:p>
    <w:p>
      <w:pPr>
        <w:spacing w:before="120" w:after="120" w:line="288" w:lineRule="auto"/>
        <w:ind w:left="0" w:firstLine="420"/>
        <w:jc w:val="left"/>
      </w:pPr>
      <w:r>
        <w:rPr>
          <w:rFonts w:eastAsia="等线" w:ascii="Arial" w:cs="Arial" w:hAnsi="Arial"/>
          <w:sz w:val="22"/>
        </w:rPr>
        <w:t>8.2.6 XID：Account经理账户下的独立子账户。</w:t>
      </w:r>
    </w:p>
    <w:p>
      <w:pPr>
        <w:spacing w:before="120" w:after="120" w:line="288" w:lineRule="auto"/>
        <w:ind w:left="0" w:firstLine="420"/>
        <w:jc w:val="left"/>
      </w:pPr>
      <w:r>
        <w:rPr>
          <w:rFonts w:eastAsia="等线" w:ascii="Arial" w:cs="Arial" w:hAnsi="Arial"/>
          <w:sz w:val="22"/>
        </w:rPr>
        <w:t>8.2.7 Domain：广告投放链接。</w:t>
      </w:r>
    </w:p>
    <w:p>
      <w:pPr>
        <w:spacing w:before="120" w:after="120" w:line="288" w:lineRule="auto"/>
        <w:ind w:left="0" w:firstLine="420"/>
        <w:jc w:val="left"/>
      </w:pPr>
      <w:r>
        <w:rPr>
          <w:rFonts w:eastAsia="等线" w:ascii="Arial" w:cs="Arial" w:hAnsi="Arial"/>
          <w:sz w:val="22"/>
        </w:rPr>
        <w:t>8.3 套利及联盟账户Affiliate Account: 指通过代理购买微软广告服务的客户，其目的是为了推广或营销他人的产品或服务，具体账户的判定以媒体不时更新的为准。</w:t>
      </w:r>
    </w:p>
    <w:p>
      <w:pPr>
        <w:spacing w:before="120" w:after="120" w:line="288" w:lineRule="auto"/>
        <w:ind w:left="0" w:firstLine="420"/>
        <w:jc w:val="left"/>
      </w:pPr>
      <w:r>
        <w:rPr>
          <w:rFonts w:eastAsia="等线" w:ascii="Arial" w:cs="Arial" w:hAnsi="Arial"/>
          <w:sz w:val="22"/>
        </w:rPr>
        <w:t>8.4如甲方在任何一个月出现违规消耗导致账户被封或者被媒体判定为低质量广告的，则该XID整年均无返点。</w:t>
      </w:r>
    </w:p>
    <w:p>
      <w:pPr>
        <w:spacing w:before="120" w:after="120" w:line="288" w:lineRule="auto"/>
        <w:ind w:left="0" w:firstLine="420"/>
        <w:jc w:val="left"/>
      </w:pPr>
      <w:r>
        <w:rPr>
          <w:rFonts w:eastAsia="等线" w:ascii="Arial" w:cs="Arial" w:hAnsi="Arial"/>
          <w:sz w:val="22"/>
        </w:rPr>
        <w:t>8.5如甲方已在其它代理处开设XID，后续又在乙方处开设新的XID，如两个XID投放的Domain一致，则甲方在乙方处无法获得新客返点。</w:t>
      </w:r>
    </w:p>
    <w:p>
      <w:pPr>
        <w:spacing w:before="120" w:after="120" w:line="288" w:lineRule="auto"/>
        <w:ind w:left="0" w:firstLine="420"/>
        <w:jc w:val="left"/>
      </w:pPr>
      <w:r>
        <w:rPr>
          <w:rFonts w:eastAsia="等线" w:ascii="Arial" w:cs="Arial" w:hAnsi="Arial"/>
          <w:sz w:val="22"/>
        </w:rPr>
        <w:t>8.6基础返点、新客返点、高质量新客返点和额外激励可叠加取得。甲方被媒体认定为新客的返点最多可以领取一年；如甲方被认定为高质量新客的，则可以在新客返点的基础上叠加额外返点，但该额外返点最多只能领取半年。</w:t>
      </w:r>
    </w:p>
    <w:p>
      <w:pPr>
        <w:spacing w:before="120" w:after="120" w:line="288" w:lineRule="auto"/>
        <w:ind w:left="0" w:firstLine="420"/>
        <w:jc w:val="left"/>
      </w:pPr>
    </w:p>
    <w:p>
      <w:pPr>
        <w:pStyle w:val="3"/>
        <w:spacing w:before="300" w:after="120" w:line="288" w:lineRule="auto"/>
        <w:ind w:left="0"/>
        <w:jc w:val="left"/>
        <w:outlineLvl w:val="2"/>
      </w:pPr>
      <w:bookmarkStart w:name="heading_2" w:id="2"/>
      <w:r>
        <w:rPr>
          <w:rFonts w:eastAsia="等线" w:ascii="Arial" w:cs="Arial" w:hAnsi="Arial"/>
          <w:color w:val="3370ff"/>
          <w:sz w:val="30"/>
        </w:rPr>
        <w:t xml:space="preserve">2.1 </w:t>
      </w:r>
      <w:r>
        <w:rPr>
          <w:rFonts w:eastAsia="等线" w:ascii="Arial" w:cs="Arial" w:hAnsi="Arial"/>
          <w:b w:val="true"/>
          <w:sz w:val="30"/>
        </w:rPr>
        <w:t>Amazon</w:t>
      </w:r>
      <w:bookmarkEnd w:id="2"/>
    </w:p>
    <w:p>
      <w:pPr>
        <w:spacing w:before="120" w:after="120" w:line="288" w:lineRule="auto"/>
        <w:ind w:left="0" w:firstLine="420"/>
        <w:jc w:val="left"/>
      </w:pPr>
      <w:r>
        <w:rPr>
          <w:rFonts w:eastAsia="等线" w:ascii="Arial" w:cs="Arial" w:hAnsi="Arial"/>
          <w:sz w:val="22"/>
        </w:rPr>
        <w:t>9.1甲方向乙方支付全额广告发布金额，在季度结束后，乙方将根据甲方实际支付的广告发布总额结算返点。甲方明确知悉并同意：甲方在该季度内存在任一笔款项逾期支付的，乙方有权取消该季度的全部返点；甲方存在具有媒体平台约定的减免支付返点的情形的，即使甲方已经按时支付完毕广告发布金额，也不参与返点。</w:t>
      </w:r>
    </w:p>
    <w:p>
      <w:pPr>
        <w:spacing w:before="120" w:after="120" w:line="288" w:lineRule="auto"/>
        <w:ind w:left="0" w:firstLine="420"/>
        <w:jc w:val="left"/>
      </w:pPr>
      <w:r>
        <w:rPr>
          <w:rFonts w:eastAsia="等线" w:ascii="Arial" w:cs="Arial" w:hAnsi="Arial"/>
          <w:sz w:val="22"/>
        </w:rPr>
        <w:t>9.2双方确认按照如下返点计算：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805"/>
        <w:gridCol w:w="2805"/>
        <w:gridCol w:w="2655"/>
      </w:tblGrid>
      <w:tr>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投放地区</w:t>
            </w:r>
          </w:p>
        </w:tc>
        <w:tc>
          <w:tcPr>
            <w:tcW w:w="26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r>
      <w:tr>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Self Service</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Global</w:t>
            </w:r>
          </w:p>
        </w:tc>
        <w:tc>
          <w:tcPr>
            <w:tcW w:w="26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Managed Service</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26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420"/>
        <w:jc w:val="left"/>
      </w:pPr>
      <w:r>
        <w:rPr>
          <w:rFonts w:eastAsia="等线" w:ascii="Arial" w:cs="Arial" w:hAnsi="Arial"/>
          <w:sz w:val="22"/>
        </w:rPr>
        <w:t>9.2.1 Self Service：指可以通过DSP后台投出去的广告形式，其中包括但不限于Prime video\Twitch\Fire Tablet中的部分广告类型。</w:t>
      </w:r>
    </w:p>
    <w:p>
      <w:pPr>
        <w:spacing w:before="120" w:after="120" w:line="288" w:lineRule="auto"/>
        <w:ind w:left="0" w:firstLine="420"/>
        <w:jc w:val="left"/>
      </w:pPr>
      <w:r>
        <w:rPr>
          <w:rFonts w:eastAsia="等线" w:ascii="Arial" w:cs="Arial" w:hAnsi="Arial"/>
          <w:sz w:val="22"/>
        </w:rPr>
        <w:t>9.2.2 Managed Service：指除Self Service类型以外的广告形式。</w:t>
      </w:r>
    </w:p>
    <w:p>
      <w:pPr>
        <w:spacing w:before="120" w:after="120" w:line="288" w:lineRule="auto"/>
        <w:ind w:left="0" w:firstLine="420"/>
        <w:jc w:val="left"/>
      </w:pPr>
      <w:r>
        <w:rPr>
          <w:rFonts w:eastAsia="等线" w:ascii="Arial" w:cs="Arial" w:hAnsi="Arial"/>
          <w:sz w:val="22"/>
        </w:rPr>
        <w:t>9.3 甲方确认，如甲方在媒体的Block list（大型客户名单）中，则无任何返点奖励。</w:t>
      </w:r>
    </w:p>
    <w:p>
      <w:pPr>
        <w:spacing w:before="120" w:after="120" w:line="288" w:lineRule="auto"/>
        <w:ind w:left="0" w:firstLine="420"/>
        <w:jc w:val="left"/>
      </w:pPr>
      <w:r>
        <w:rPr>
          <w:rFonts w:eastAsia="等线" w:ascii="Arial" w:cs="Arial" w:hAnsi="Arial"/>
          <w:sz w:val="22"/>
        </w:rPr>
        <w:t>9.4 上述广告类型/形式以及Block list的具体判定，会实时更新，最终均以Amazon媒体判定为准。</w:t>
      </w:r>
    </w:p>
    <w:p>
      <w:pPr>
        <w:spacing w:before="120" w:after="120" w:line="288" w:lineRule="auto"/>
        <w:ind w:left="0" w:firstLine="420"/>
        <w:jc w:val="left"/>
      </w:pPr>
      <w:r>
        <w:rPr>
          <w:rFonts w:eastAsia="等线" w:ascii="Arial" w:cs="Arial" w:hAnsi="Arial"/>
          <w:sz w:val="22"/>
        </w:rPr>
        <w:t>9.5如甲方选择后付合作方式，则不管甲方的实际消耗是否超过充值需求，甲方均应按照实际的消耗与乙方结算，即据实结算原则，如甲方逾期或拒绝支付的，乙方有权停止对甲方提供任何服务包括但不限于暂停账户消耗并收回账号相关权限。</w:t>
      </w:r>
    </w:p>
    <w:p>
      <w:pPr>
        <w:spacing w:before="120" w:after="120" w:line="288" w:lineRule="auto"/>
        <w:ind w:left="0" w:firstLine="420"/>
        <w:jc w:val="left"/>
      </w:pPr>
    </w:p>
    <w:p>
      <w:pPr>
        <w:pStyle w:val="3"/>
        <w:spacing w:before="300" w:after="120" w:line="288" w:lineRule="auto"/>
        <w:ind w:left="0"/>
        <w:jc w:val="left"/>
        <w:outlineLvl w:val="2"/>
      </w:pPr>
      <w:bookmarkStart w:name="heading_3" w:id="3"/>
      <w:r>
        <w:rPr>
          <w:rFonts w:eastAsia="等线" w:ascii="Arial" w:cs="Arial" w:hAnsi="Arial"/>
          <w:color w:val="3370ff"/>
          <w:sz w:val="30"/>
        </w:rPr>
        <w:t xml:space="preserve">2.2 </w:t>
      </w:r>
      <w:r>
        <w:rPr>
          <w:rFonts w:eastAsia="等线" w:ascii="Arial" w:cs="Arial" w:hAnsi="Arial"/>
          <w:b w:val="true"/>
          <w:sz w:val="30"/>
        </w:rPr>
        <w:t>Applovin</w:t>
      </w:r>
      <w:bookmarkEnd w:id="3"/>
    </w:p>
    <w:p>
      <w:pPr>
        <w:spacing w:before="120" w:after="120" w:line="288" w:lineRule="auto"/>
        <w:ind w:left="0" w:firstLine="420"/>
        <w:jc w:val="left"/>
      </w:pPr>
      <w:r>
        <w:rPr>
          <w:rFonts w:eastAsia="等线" w:ascii="Arial" w:cs="Arial" w:hAnsi="Arial"/>
          <w:sz w:val="22"/>
        </w:rPr>
        <w:t>10.1甲方向乙方支付全额广告发布金额，在年度结束后，乙方将根据甲方实际支付的广告发布总额结算返点。甲方明确知悉并同意：甲方在该年度内存在任一笔款项逾期支付的，乙方有权取消该年度的全部返点；甲方存在具有媒体平台约定的减免支付返点的情形的，即使甲方已经按时支付完毕广告发布金额，也不参与返点。</w:t>
      </w:r>
    </w:p>
    <w:p>
      <w:pPr>
        <w:spacing w:before="120" w:after="120" w:line="288" w:lineRule="auto"/>
        <w:ind w:left="0" w:firstLine="420"/>
        <w:jc w:val="left"/>
      </w:pPr>
      <w:r>
        <w:rPr>
          <w:rFonts w:eastAsia="等线" w:ascii="Arial" w:cs="Arial" w:hAnsi="Arial"/>
          <w:sz w:val="22"/>
        </w:rPr>
        <w:t>10.2 如甲方选择自投，则双方确认按照如下返点计算：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190"/>
        <w:gridCol w:w="2775"/>
      </w:tblGrid>
      <w:tr>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广告发布额度区间（单位：万美元）</w:t>
            </w: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r>
      <w:tr>
        <w:tc>
          <w:tcPr>
            <w:tcW w:w="5190" w:type="dxa"/>
            <w:tcMar>
              <w:top w:type="dxa" w:w="60"/>
              <w:left w:type="dxa" w:w="120"/>
              <w:bottom w:type="dxa" w:w="30"/>
              <w:right w:type="dxa" w:w="120"/>
            </w:tcMar>
          </w:tcPr>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420"/>
        <w:jc w:val="left"/>
      </w:pPr>
      <w:r>
        <w:rPr>
          <w:rFonts w:eastAsia="等线" w:ascii="Arial" w:cs="Arial" w:hAnsi="Arial"/>
          <w:sz w:val="22"/>
        </w:rPr>
        <w:t xml:space="preserve">10.3 如甲方选择代投，则代投服务费以双方在“三、代投政策”处的约定为准。 </w:t>
      </w:r>
    </w:p>
    <w:p>
      <w:pPr>
        <w:spacing w:before="120" w:after="120" w:line="288" w:lineRule="auto"/>
        <w:ind w:left="0" w:firstLine="420"/>
        <w:jc w:val="left"/>
      </w:pPr>
      <w:r>
        <w:rPr>
          <w:rFonts w:eastAsia="等线" w:ascii="Arial" w:cs="Arial" w:hAnsi="Arial"/>
          <w:sz w:val="22"/>
        </w:rPr>
        <w:t>10.4 甲方需要向乙方额外支付当月广告投放总消耗金额的【 】%作为服务费，该服务费用与当月广告消耗费用按约定账期一同结算。</w:t>
      </w:r>
    </w:p>
    <w:p>
      <w:pPr>
        <w:spacing w:before="120" w:after="120" w:line="288" w:lineRule="auto"/>
        <w:ind w:left="0" w:firstLine="420"/>
        <w:jc w:val="left"/>
      </w:pPr>
      <w:r>
        <w:rPr>
          <w:rFonts w:eastAsia="等线" w:ascii="Arial" w:cs="Arial" w:hAnsi="Arial"/>
          <w:sz w:val="22"/>
        </w:rPr>
        <w:t>10.5如甲方选择预付合作方式，则乙方有权在甲方实际消耗金额超过预付金额的90%时向甲方做出提示；如甲方实际消耗金额达到预付金额时，甲方应立即停止消耗，否则乙方有权停止对甲方提供任何服务包括但不限于暂停账户消耗并收回账号相关权限。</w:t>
      </w:r>
    </w:p>
    <w:p>
      <w:pPr>
        <w:spacing w:before="120" w:after="120" w:line="288" w:lineRule="auto"/>
        <w:ind w:left="0" w:firstLine="420"/>
        <w:jc w:val="left"/>
      </w:pPr>
      <w:r>
        <w:rPr>
          <w:rFonts w:eastAsia="等线" w:ascii="Arial" w:cs="Arial" w:hAnsi="Arial"/>
          <w:sz w:val="22"/>
        </w:rPr>
        <w:t>10.6如甲方选择代投方式，则甲方无权使用和操作代投广告账户，否则该账户因此导致的所有费用或消耗，均需由甲方自行承担。</w:t>
      </w:r>
    </w:p>
    <w:p>
      <w:pPr>
        <w:spacing w:before="120" w:after="120" w:line="288" w:lineRule="auto"/>
        <w:ind w:left="0" w:firstLine="420"/>
        <w:jc w:val="left"/>
      </w:pPr>
      <w:r>
        <w:rPr>
          <w:rFonts w:eastAsia="等线" w:ascii="Arial" w:cs="Arial" w:hAnsi="Arial"/>
          <w:sz w:val="22"/>
        </w:rPr>
        <w:t>10.7 甲方明确并同意，媒体给予的任何折扣、优惠券、Coupon等，均不享受返点。</w:t>
      </w:r>
    </w:p>
    <w:p>
      <w:pPr>
        <w:spacing w:before="120" w:after="120" w:line="288" w:lineRule="auto"/>
        <w:ind w:left="0" w:firstLine="420"/>
        <w:jc w:val="left"/>
      </w:pPr>
      <w:r>
        <w:rPr>
          <w:rFonts w:eastAsia="等线" w:ascii="Arial" w:cs="Arial" w:hAnsi="Arial"/>
          <w:sz w:val="22"/>
        </w:rPr>
        <w:t>10.8 不管甲方的实际消耗是否超过充值需求，甲方均应按照实际的消耗与乙方结算，即据实结算原则，如甲方逾期或拒绝支付的，乙方有权停止对甲方提供任何服务包括但不限于暂停账户消耗并收回账号相关权限。</w:t>
      </w:r>
    </w:p>
    <w:p>
      <w:pPr>
        <w:spacing w:before="120" w:after="120" w:line="288" w:lineRule="auto"/>
        <w:ind w:left="0" w:firstLine="0"/>
        <w:jc w:val="left"/>
      </w:pPr>
    </w:p>
    <w:p>
      <w:pPr>
        <w:pStyle w:val="3"/>
        <w:spacing w:before="300" w:after="120" w:line="288" w:lineRule="auto"/>
        <w:ind w:left="0"/>
        <w:jc w:val="left"/>
        <w:outlineLvl w:val="2"/>
      </w:pPr>
      <w:bookmarkStart w:name="heading_4" w:id="4"/>
      <w:r>
        <w:rPr>
          <w:rFonts w:eastAsia="等线" w:ascii="Arial" w:cs="Arial" w:hAnsi="Arial"/>
          <w:color w:val="3370ff"/>
          <w:sz w:val="30"/>
        </w:rPr>
        <w:t xml:space="preserve">2.3 </w:t>
      </w:r>
      <w:r>
        <w:rPr>
          <w:rFonts w:eastAsia="等线" w:ascii="Arial" w:cs="Arial" w:hAnsi="Arial"/>
          <w:b w:val="true"/>
          <w:sz w:val="30"/>
        </w:rPr>
        <w:t>Pinterest</w:t>
      </w:r>
      <w:bookmarkEnd w:id="4"/>
    </w:p>
    <w:p>
      <w:pPr>
        <w:spacing w:before="120" w:after="120" w:line="288" w:lineRule="auto"/>
        <w:ind w:left="0" w:firstLine="420"/>
        <w:jc w:val="left"/>
      </w:pPr>
      <w:r>
        <w:rPr>
          <w:rFonts w:eastAsia="等线" w:ascii="Arial" w:cs="Arial" w:hAnsi="Arial"/>
          <w:sz w:val="22"/>
        </w:rPr>
        <w:t>11.1 甲方向乙方支付全额广告发布金额，在年度结束后，乙方将根据甲方实际支付的广告发布总额结算返点。甲方明确知悉并同意：甲方在该年度内存在任一笔款项逾期支付的，乙方有权取消该年度的全部返点；甲方存在具有媒体平台约定的减免支付返点的情形的，即使甲方已经按时支付完毕广告发布金额，也不参与返点。</w:t>
      </w:r>
    </w:p>
    <w:p>
      <w:pPr>
        <w:spacing w:before="120" w:after="120" w:line="288" w:lineRule="auto"/>
        <w:ind w:left="0" w:firstLine="420"/>
        <w:jc w:val="left"/>
      </w:pPr>
      <w:r>
        <w:rPr>
          <w:rFonts w:eastAsia="等线" w:ascii="Arial" w:cs="Arial" w:hAnsi="Arial"/>
          <w:sz w:val="22"/>
        </w:rPr>
        <w:t>11.2 如甲方选择投放如下地区/国家的，则双方确认按照如下返点计算：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780"/>
        <w:gridCol w:w="1500"/>
      </w:tblGrid>
      <w:tr>
        <w:tc>
          <w:tcPr>
            <w:tcW w:w="67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地区/国家</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返点比例(%)</w:t>
            </w:r>
          </w:p>
        </w:tc>
      </w:tr>
      <w:tr>
        <w:tc>
          <w:tcPr>
            <w:tcW w:w="67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美国、阿根廷, 澳大利亚, 奥地利, 比利时, 巴西, 加拿大, 智利, 哥伦比亚, 丹麦, 芬兰, 法国, 德国, 爱尔兰, 意大利, 日本, 卢森堡, 墨西哥, 荷兰, 新西兰, 挪威, 葡萄牙, 西班牙, 瑞典, 瑞士, 英国</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67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阿尔及利亚、巴林、保加利亚、哥斯达黎加、克罗地亚、塞浦路斯、捷克、多米尼加共和国、厄瓜多尔、埃及、爱沙尼亚、希腊、危地马拉、中国香港、匈牙利、印度、印度尼西亚、伊拉克、以色列、科威特、拉脱维亚、立陶宛、马来西亚、马耳他、摩洛哥、尼日利亚、北马其顿共和国、阿曼、巴基斯坦、秘鲁、菲律宾、波兰、波多黎各、卡塔尔、罗马尼亚、沙特阿拉伯、塞尔维亚、新加坡、斯洛伐克、南非、韩国、中国台湾、泰国、土耳其、阿拉伯联合酋长国、越南</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pStyle w:val="3"/>
        <w:spacing w:before="300" w:after="120" w:line="288" w:lineRule="auto"/>
        <w:ind w:left="0"/>
        <w:jc w:val="left"/>
        <w:outlineLvl w:val="2"/>
      </w:pPr>
      <w:bookmarkStart w:name="heading_5" w:id="5"/>
      <w:r>
        <w:rPr>
          <w:rFonts w:eastAsia="等线" w:ascii="Arial" w:cs="Arial" w:hAnsi="Arial"/>
          <w:b w:val="true"/>
          <w:sz w:val="30"/>
        </w:rPr>
        <w:t>11.3以上地区/国家的划分、返点金额比例及媒体政策要求，最终以Pinterest实时更新的为准。</w:t>
      </w:r>
      <w:bookmarkEnd w:id="5"/>
    </w:p>
    <w:p>
      <w:pPr>
        <w:spacing w:before="120" w:after="120" w:line="288" w:lineRule="auto"/>
        <w:ind w:left="0" w:firstLine="420"/>
        <w:jc w:val="left"/>
      </w:pPr>
      <w:r>
        <w:rPr>
          <w:rFonts w:eastAsia="等线" w:ascii="Arial" w:cs="Arial" w:hAnsi="Arial"/>
          <w:sz w:val="22"/>
        </w:rPr>
        <w:t>11.4甲方已悉知针对Pinterest不提供返点部分的消耗金额或因Pinterest单方面决定不给予返点的，乙方也有权不向甲方提供任何返点，如乙方预先已提供的部分，则有权在下次结算时收回。</w:t>
      </w:r>
    </w:p>
    <w:p>
      <w:pPr>
        <w:spacing w:before="120" w:after="120" w:line="288" w:lineRule="auto"/>
        <w:ind w:left="0" w:firstLine="0"/>
        <w:jc w:val="left"/>
      </w:pPr>
    </w:p>
    <w:p>
      <w:pPr>
        <w:numPr>
          <w:numId w:val="106"/>
        </w:numPr>
        <w:spacing w:before="120" w:after="120" w:line="288" w:lineRule="auto"/>
        <w:ind w:left="453"/>
        <w:jc w:val="left"/>
      </w:pPr>
      <w:r>
        <w:rPr>
          <w:rFonts w:eastAsia="等线" w:ascii="Arial" w:cs="Arial" w:hAnsi="Arial"/>
          <w:b w:val="true"/>
          <w:sz w:val="22"/>
        </w:rPr>
        <w:t>代投政策</w:t>
      </w:r>
    </w:p>
    <w:p>
      <w:pPr>
        <w:numPr>
          <w:numId w:val="107"/>
        </w:numPr>
        <w:spacing w:before="120" w:after="120" w:line="288" w:lineRule="auto"/>
        <w:ind w:left="907"/>
        <w:jc w:val="left"/>
      </w:pPr>
      <w:r>
        <w:rPr>
          <w:rFonts w:eastAsia="等线" w:ascii="Arial" w:cs="Arial" w:hAnsi="Arial"/>
          <w:sz w:val="22"/>
        </w:rPr>
        <w:t>如甲方委托乙方在媒体平台代投广告的，甲方每月应额外向乙方支付的代投服务费情况如下：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690"/>
        <w:gridCol w:w="4590"/>
      </w:tblGrid>
      <w:tr>
        <w:tc>
          <w:tcPr>
            <w:tcW w:w="3690" w:type="dxa"/>
            <w:tcMar>
              <w:top w:type="dxa" w:w="60"/>
              <w:left w:type="dxa" w:w="120"/>
              <w:bottom w:type="dxa" w:w="30"/>
              <w:right w:type="dxa" w:w="120"/>
            </w:tcMar>
          </w:tcPr>
          <w:p>
            <w:pPr>
              <w:pStyle w:val="4"/>
              <w:spacing w:before="260" w:after="120" w:line="288" w:lineRule="auto"/>
              <w:ind w:left="0"/>
              <w:jc w:val="center"/>
              <w:outlineLvl w:val="3"/>
            </w:pPr>
            <w:bookmarkStart w:name="heading_6" w:id="6"/>
            <w:r>
              <w:rPr>
                <w:rFonts w:eastAsia="等线" w:ascii="Arial" w:cs="Arial" w:hAnsi="Arial"/>
                <w:b w:val="true"/>
                <w:sz w:val="28"/>
              </w:rPr>
              <w:t>媒体</w:t>
            </w:r>
            <w:bookmarkEnd w:id="6"/>
          </w:p>
        </w:tc>
        <w:tc>
          <w:tcPr>
            <w:tcW w:w="4590" w:type="dxa"/>
            <w:tcMar>
              <w:top w:type="dxa" w:w="60"/>
              <w:left w:type="dxa" w:w="120"/>
              <w:bottom w:type="dxa" w:w="30"/>
              <w:right w:type="dxa" w:w="120"/>
            </w:tcMar>
          </w:tcPr>
          <w:p>
            <w:pPr>
              <w:pStyle w:val="4"/>
              <w:spacing w:before="260" w:after="120" w:line="288" w:lineRule="auto"/>
              <w:ind w:left="0"/>
              <w:jc w:val="center"/>
              <w:outlineLvl w:val="3"/>
            </w:pPr>
            <w:bookmarkStart w:name="heading_7" w:id="7"/>
            <w:r>
              <w:rPr>
                <w:rFonts w:eastAsia="等线" w:ascii="Arial" w:cs="Arial" w:hAnsi="Arial"/>
                <w:b w:val="true"/>
                <w:sz w:val="28"/>
              </w:rPr>
              <w:t>代投服务费比例(%)</w:t>
            </w:r>
            <w:bookmarkEnd w:id="7"/>
          </w:p>
        </w:tc>
      </w:tr>
      <w:tr>
        <w:tc>
          <w:tcPr>
            <w:tcW w:w="3690" w:type="dxa"/>
            <w:tcMar>
              <w:top w:type="dxa" w:w="60"/>
              <w:left w:type="dxa" w:w="120"/>
              <w:bottom w:type="dxa" w:w="30"/>
              <w:right w:type="dxa" w:w="120"/>
            </w:tcMar>
          </w:tcPr>
          <w:p>
            <w:pPr>
              <w:pStyle w:val="4"/>
              <w:spacing w:before="260" w:after="120" w:line="288" w:lineRule="auto"/>
              <w:ind w:left="0"/>
              <w:jc w:val="left"/>
              <w:outlineLvl w:val="3"/>
            </w:pPr>
            <w:bookmarkStart w:name="heading_8" w:id="8"/>
            <w:bookmarkEnd w:id="8"/>
          </w:p>
        </w:tc>
        <w:tc>
          <w:tcPr>
            <w:tcW w:w="4590" w:type="dxa"/>
            <w:vMerge w:val="restart"/>
            <w:tcMar>
              <w:top w:type="dxa" w:w="60"/>
              <w:left w:type="dxa" w:w="120"/>
              <w:bottom w:type="dxa" w:w="30"/>
              <w:right w:type="dxa" w:w="120"/>
            </w:tcMar>
          </w:tcPr>
          <w:p>
            <w:pPr>
              <w:pStyle w:val="4"/>
              <w:spacing w:before="260" w:after="120" w:line="288" w:lineRule="auto"/>
              <w:ind w:left="0"/>
              <w:jc w:val="left"/>
              <w:outlineLvl w:val="3"/>
            </w:pPr>
            <w:bookmarkStart w:name="heading_9" w:id="9"/>
            <w:bookmarkEnd w:id="9"/>
          </w:p>
        </w:tc>
      </w:tr>
      <w:tr>
        <w:tc>
          <w:tcPr>
            <w:tcW w:w="3690" w:type="dxa"/>
            <w:tcMar>
              <w:top w:type="dxa" w:w="60"/>
              <w:left w:type="dxa" w:w="120"/>
              <w:bottom w:type="dxa" w:w="30"/>
              <w:right w:type="dxa" w:w="120"/>
            </w:tcMar>
          </w:tcPr>
          <w:p>
            <w:pPr>
              <w:pStyle w:val="4"/>
              <w:spacing w:before="260" w:after="120" w:line="288" w:lineRule="auto"/>
              <w:ind w:left="0"/>
              <w:jc w:val="left"/>
              <w:outlineLvl w:val="3"/>
            </w:pPr>
            <w:bookmarkStart w:name="heading_10" w:id="10"/>
            <w:bookmarkEnd w:id="10"/>
          </w:p>
        </w:tc>
        <w:tc>
          <w:tcPr>
            <w:tcW w:w="4590" w:type="dxa"/>
            <w:vMerge w:val="continue"/>
            <w:tcMar>
              <w:top w:type="dxa" w:w="60"/>
              <w:left w:type="dxa" w:w="120"/>
              <w:bottom w:type="dxa" w:w="30"/>
              <w:right w:type="dxa" w:w="120"/>
            </w:tcMar>
          </w:tcPr>
          <w:p>
            <w:pPr>
              <w:spacing w:before="120" w:after="120" w:line="288" w:lineRule="auto"/>
              <w:ind w:left="0"/>
              <w:jc w:val="left"/>
            </w:pPr>
          </w:p>
        </w:tc>
      </w:tr>
    </w:tbl>
    <w:p>
      <w:pPr>
        <w:numPr>
          <w:numId w:val="108"/>
        </w:numPr>
        <w:spacing w:before="120" w:after="120" w:line="288" w:lineRule="auto"/>
        <w:ind w:left="0"/>
        <w:jc w:val="left"/>
      </w:pPr>
      <w:r>
        <w:rPr>
          <w:rFonts w:eastAsia="等线" w:ascii="Arial" w:cs="Arial" w:hAnsi="Arial"/>
          <w:sz w:val="22"/>
        </w:rPr>
        <w:t>代投服务费的最低标准为每月【2500】美元。代投服务费可按固定金额或投放金额比例计算，若两者金额不一致，则以较高者为准。若按比例计算结果低于【2500】美元，则乙方有权按最低标准收取代投服务费。</w:t>
      </w:r>
    </w:p>
    <w:p>
      <w:pPr>
        <w:numPr>
          <w:numId w:val="109"/>
        </w:numPr>
        <w:spacing w:before="120" w:after="120" w:line="288" w:lineRule="auto"/>
        <w:ind w:left="0"/>
        <w:jc w:val="left"/>
      </w:pPr>
      <w:r>
        <w:rPr>
          <w:rFonts w:eastAsia="等线" w:ascii="Arial" w:cs="Arial" w:hAnsi="Arial"/>
          <w:sz w:val="22"/>
        </w:rPr>
        <w:t>代投服务费独立于本合同项下的返点政策，与甲方是否取得返点及返点金额无关。返点为媒体激励返还，代投服务费为乙方提供广告优化、投放及账户管理等服务的对价，二者可并行执行。</w:t>
      </w:r>
    </w:p>
    <w:p>
      <w:pPr>
        <w:spacing w:before="120" w:after="120" w:line="288" w:lineRule="auto"/>
        <w:ind w:left="0" w:firstLine="0"/>
        <w:jc w:val="left"/>
      </w:pPr>
    </w:p>
    <w:p>
      <w:pPr>
        <w:numPr>
          <w:numId w:val="110"/>
        </w:numPr>
        <w:spacing w:before="120" w:after="120" w:line="288" w:lineRule="auto"/>
        <w:ind w:left="453"/>
        <w:jc w:val="left"/>
      </w:pPr>
      <w:r>
        <w:rPr>
          <w:rFonts w:eastAsia="等线" w:ascii="Arial" w:cs="Arial" w:hAnsi="Arial"/>
          <w:b w:val="true"/>
          <w:sz w:val="22"/>
        </w:rPr>
        <w:t>媒体平台返点结算与支付方式：</w:t>
      </w:r>
    </w:p>
    <w:p>
      <w:pPr>
        <w:pStyle w:val="3"/>
        <w:spacing w:before="300" w:after="120" w:line="288" w:lineRule="auto"/>
        <w:ind w:left="0"/>
        <w:jc w:val="left"/>
        <w:outlineLvl w:val="2"/>
      </w:pPr>
      <w:bookmarkStart w:name="heading_11" w:id="11"/>
      <w:r>
        <w:rPr>
          <w:rFonts w:eastAsia="等线" w:ascii="Arial" w:cs="Arial" w:hAnsi="Arial"/>
          <w:b w:val="true"/>
          <w:sz w:val="30"/>
        </w:rPr>
        <w:t>1. 双方同意按照如下第【】种方式支付返点金额：</w:t>
      </w:r>
      <w:bookmarkEnd w:id="11"/>
    </w:p>
    <w:p>
      <w:pPr>
        <w:pStyle w:val="4"/>
        <w:spacing w:before="260" w:after="120" w:line="288" w:lineRule="auto"/>
        <w:ind w:left="0"/>
        <w:jc w:val="left"/>
        <w:outlineLvl w:val="3"/>
      </w:pPr>
      <w:bookmarkStart w:name="heading_12" w:id="12"/>
      <w:r>
        <w:rPr>
          <w:rFonts w:eastAsia="等线" w:ascii="Arial" w:cs="Arial" w:hAnsi="Arial"/>
          <w:b w:val="true"/>
          <w:sz w:val="28"/>
        </w:rPr>
        <w:t>1).返点金额支付至甲方银行账号</w:t>
      </w:r>
      <w:bookmarkEnd w:id="12"/>
    </w:p>
    <w:p>
      <w:pPr>
        <w:spacing w:before="120" w:after="120" w:line="288" w:lineRule="auto"/>
        <w:ind w:left="0" w:firstLine="420"/>
        <w:jc w:val="left"/>
      </w:pPr>
      <w:r>
        <w:rPr>
          <w:rFonts w:eastAsia="等线" w:ascii="Arial" w:cs="Arial" w:hAnsi="Arial"/>
          <w:sz w:val="22"/>
        </w:rPr>
        <w:t>甲方的银行账户信息如下：</w:t>
      </w:r>
    </w:p>
    <w:p>
      <w:pPr>
        <w:spacing w:before="120" w:after="120" w:line="288" w:lineRule="auto"/>
        <w:ind w:left="0" w:firstLine="420"/>
        <w:jc w:val="left"/>
      </w:pPr>
      <w:r>
        <w:rPr>
          <w:rFonts w:eastAsia="等线" w:ascii="Arial" w:cs="Arial" w:hAnsi="Arial"/>
          <w:sz w:val="22"/>
        </w:rPr>
        <w:t>户 名：</w:t>
      </w:r>
    </w:p>
    <w:p>
      <w:pPr>
        <w:spacing w:before="120" w:after="120" w:line="288" w:lineRule="auto"/>
        <w:ind w:left="0" w:firstLine="420"/>
        <w:jc w:val="left"/>
      </w:pPr>
      <w:r>
        <w:rPr>
          <w:rFonts w:eastAsia="等线" w:ascii="Arial" w:cs="Arial" w:hAnsi="Arial"/>
          <w:sz w:val="22"/>
        </w:rPr>
        <w:t>账 号：</w:t>
      </w:r>
    </w:p>
    <w:p>
      <w:pPr>
        <w:spacing w:before="120" w:after="120" w:line="288" w:lineRule="auto"/>
        <w:ind w:left="0" w:firstLine="420"/>
        <w:jc w:val="left"/>
      </w:pPr>
      <w:r>
        <w:rPr>
          <w:rFonts w:eastAsia="等线" w:ascii="Arial" w:cs="Arial" w:hAnsi="Arial"/>
          <w:sz w:val="22"/>
        </w:rPr>
        <w:t>开户行：</w:t>
      </w:r>
    </w:p>
    <w:p>
      <w:pPr>
        <w:spacing w:before="120" w:after="120" w:line="288" w:lineRule="auto"/>
        <w:ind w:left="0" w:firstLine="420"/>
        <w:jc w:val="left"/>
      </w:pPr>
      <w:r>
        <w:rPr>
          <w:rFonts w:eastAsia="等线" w:ascii="Arial" w:cs="Arial" w:hAnsi="Arial"/>
          <w:sz w:val="22"/>
        </w:rPr>
        <w:t xml:space="preserve">Swift Code: </w:t>
      </w:r>
    </w:p>
    <w:p>
      <w:pPr>
        <w:spacing w:before="120" w:after="120" w:line="288" w:lineRule="auto"/>
        <w:ind w:left="0" w:firstLine="420"/>
        <w:jc w:val="left"/>
      </w:pPr>
      <w:r>
        <w:rPr>
          <w:rFonts w:eastAsia="等线" w:ascii="Arial" w:cs="Arial" w:hAnsi="Arial"/>
          <w:sz w:val="22"/>
        </w:rPr>
        <w:t>银行地址：</w:t>
      </w:r>
    </w:p>
    <w:p>
      <w:pPr>
        <w:spacing w:before="120" w:after="120" w:line="288" w:lineRule="auto"/>
        <w:ind w:left="0" w:firstLine="420"/>
        <w:jc w:val="left"/>
      </w:pPr>
      <w:r>
        <w:rPr>
          <w:rFonts w:eastAsia="等线" w:ascii="Arial" w:cs="Arial" w:hAnsi="Arial"/>
          <w:sz w:val="22"/>
        </w:rPr>
        <w:t>a. 返点金额按季度结算。返点金额经双方核对确认无误后，乙方收到甲方交付的合规有效的Invoice之日起【】个工作日内支付返点金额，甲方应负责因此发生的转账手续费用。包含本次合同约定的【 】媒体投放。</w:t>
      </w:r>
    </w:p>
    <w:p>
      <w:pPr>
        <w:spacing w:before="120" w:after="120" w:line="288" w:lineRule="auto"/>
        <w:ind w:left="0" w:firstLine="420"/>
        <w:jc w:val="left"/>
      </w:pPr>
      <w:r>
        <w:rPr>
          <w:rFonts w:eastAsia="等线" w:ascii="Arial" w:cs="Arial" w:hAnsi="Arial"/>
          <w:sz w:val="22"/>
        </w:rPr>
        <w:t>b. 乙方应在自然年度结束并收到媒体返点报告后，与甲方进行合同期间内产生的返点消耗进行核对。待双方数据确认后，乙方将返点金额汇入甲方银行账户。此种返点结算方式适用于年度返点媒体，包含本次合同约定的【 】媒体投放。</w:t>
      </w:r>
    </w:p>
    <w:p>
      <w:pPr>
        <w:pStyle w:val="4"/>
        <w:spacing w:before="260" w:after="120" w:line="288" w:lineRule="auto"/>
        <w:ind w:left="0"/>
        <w:jc w:val="left"/>
        <w:outlineLvl w:val="3"/>
      </w:pPr>
      <w:bookmarkStart w:name="heading_13" w:id="13"/>
      <w:r>
        <w:rPr>
          <w:rFonts w:eastAsia="等线" w:ascii="Arial" w:cs="Arial" w:hAnsi="Arial"/>
          <w:b w:val="true"/>
          <w:sz w:val="28"/>
        </w:rPr>
        <w:t>2).返点金额支付至甲方媒体账户</w:t>
      </w:r>
      <w:bookmarkEnd w:id="13"/>
    </w:p>
    <w:p>
      <w:pPr>
        <w:spacing w:before="120" w:after="120" w:line="288" w:lineRule="auto"/>
        <w:ind w:left="0" w:firstLine="420"/>
        <w:jc w:val="left"/>
      </w:pPr>
      <w:r>
        <w:rPr>
          <w:rFonts w:eastAsia="等线" w:ascii="Arial" w:cs="Arial" w:hAnsi="Arial"/>
          <w:sz w:val="22"/>
        </w:rPr>
        <w:t>a. 返点金额按季度结算。返点金额经双方核对确认无误后，乙方收到甲方交付的合规有效的Invoice之日起【】个工作日内支付返点金额到甲方的媒体账户中，甲方应负责因此发生的转账手续费用。包含本次合同约定的【 】媒体投放。</w:t>
      </w:r>
    </w:p>
    <w:p>
      <w:pPr>
        <w:spacing w:before="120" w:after="120" w:line="288" w:lineRule="auto"/>
        <w:ind w:left="0" w:firstLine="420"/>
        <w:jc w:val="left"/>
      </w:pPr>
      <w:r>
        <w:rPr>
          <w:rFonts w:eastAsia="等线" w:ascii="Arial" w:cs="Arial" w:hAnsi="Arial"/>
          <w:sz w:val="22"/>
        </w:rPr>
        <w:t>b. 乙方应在自然年度结束并收到媒体返点报告后，与甲方进行合同期间内产生的返点消耗进行核对。待双方数据确认后，乙方将返点金额支付至甲方的媒体账户中。此种返点结算方式适用于年度返点媒体，包含本次合同约定的【 】媒体投放</w:t>
      </w:r>
    </w:p>
    <w:p>
      <w:pPr>
        <w:pStyle w:val="4"/>
        <w:spacing w:before="260" w:after="120" w:line="288" w:lineRule="auto"/>
        <w:ind w:left="0"/>
        <w:jc w:val="left"/>
        <w:outlineLvl w:val="3"/>
      </w:pPr>
      <w:bookmarkStart w:name="heading_14" w:id="14"/>
      <w:r>
        <w:rPr>
          <w:rFonts w:eastAsia="等线" w:ascii="Arial" w:cs="Arial" w:hAnsi="Arial"/>
          <w:b w:val="true"/>
          <w:sz w:val="28"/>
        </w:rPr>
        <w:t>3). 返点金额在账单中进行抵扣结算</w:t>
      </w:r>
      <w:bookmarkEnd w:id="14"/>
    </w:p>
    <w:p>
      <w:pPr>
        <w:spacing w:before="120" w:after="120" w:line="288" w:lineRule="auto"/>
        <w:ind w:left="0" w:firstLine="420"/>
        <w:jc w:val="left"/>
      </w:pPr>
      <w:r>
        <w:rPr>
          <w:rFonts w:eastAsia="等线" w:ascii="Arial" w:cs="Arial" w:hAnsi="Arial"/>
          <w:sz w:val="22"/>
        </w:rPr>
        <w:t xml:space="preserve"> a.甲方返点金额在应付乙方的广告款中直接扣减。返点金额按季度结算，该季度返点金额于该季度返点确认完成后的首个账单中抵扣，包含本次合同约定的【 】媒体投放。</w:t>
      </w:r>
    </w:p>
    <w:p>
      <w:pPr>
        <w:spacing w:before="120" w:after="120" w:line="288" w:lineRule="auto"/>
        <w:ind w:left="0" w:firstLine="420"/>
        <w:jc w:val="left"/>
      </w:pPr>
      <w:r>
        <w:rPr>
          <w:rFonts w:eastAsia="等线" w:ascii="Arial" w:cs="Arial" w:hAnsi="Arial"/>
          <w:sz w:val="22"/>
        </w:rPr>
        <w:t>b. 乙方应在自然年度结束并收到媒体返点报告后，与甲方进行合同期间内产生的返点消耗进行核对。待双方数据确认后，乙方将返点金额汇入甲方银行账户或抵扣在次年度合作账单中。此种返点结算方式适用于年度返点媒体，包含本次合同约定的【 】媒体投放。</w:t>
      </w:r>
    </w:p>
    <w:p>
      <w:pPr>
        <w:spacing w:before="120" w:after="120" w:line="288" w:lineRule="auto"/>
        <w:ind w:left="0" w:firstLine="420"/>
        <w:jc w:val="left"/>
      </w:pPr>
      <w:r>
        <w:rPr>
          <w:rFonts w:eastAsia="等线" w:ascii="Arial" w:cs="Arial" w:hAnsi="Arial"/>
          <w:sz w:val="22"/>
        </w:rPr>
        <w:t>2. 返点结算时，甲方应向乙方交付正规的、符合乙方财务制度要求的Invoice。甲方交付的Invoice不符合要求的，乙方有权拒绝或延迟支付/扣减返点金额，直至收到有效Invoice为止，并且不承担逾期付款违约责任。</w:t>
      </w:r>
    </w:p>
    <w:p>
      <w:pPr>
        <w:spacing w:before="120" w:after="120" w:line="288" w:lineRule="auto"/>
        <w:ind w:left="0" w:firstLine="420"/>
        <w:jc w:val="left"/>
      </w:pPr>
      <w:r>
        <w:rPr>
          <w:rFonts w:eastAsia="等线" w:ascii="Arial" w:cs="Arial" w:hAnsi="Arial"/>
          <w:sz w:val="22"/>
        </w:rPr>
        <w:t>3. 在甲方选择后付广告费用的情形下，甲方明确知悉并同意：如甲方在该季度内任一笔款项未能按时且足额付款的，则乙方有权扣除该季度甲方应得全部返点；在此情形下若经协商乙方同意给予部分返点，则乙方有权将双方确认后的返点金额于次季度第三个月的账单进行抵扣或按照本条适用的其他支付方式进行支付。</w:t>
      </w:r>
    </w:p>
    <w:p>
      <w:pPr>
        <w:spacing w:before="120" w:after="120" w:line="288" w:lineRule="auto"/>
        <w:ind w:left="0" w:firstLine="420"/>
        <w:jc w:val="left"/>
      </w:pPr>
      <w:r>
        <w:rPr>
          <w:rFonts w:eastAsia="等线" w:ascii="Arial" w:cs="Arial" w:hAnsi="Arial"/>
          <w:sz w:val="22"/>
        </w:rPr>
        <w:t>4. 甲方对返点的计算和金额存在异议的，应当在收到返点对账单之日起15个自然日内书面通知乙方，否则视为甲方认可该笔返点的计算方式和金额。</w:t>
      </w:r>
    </w:p>
    <w:p>
      <w:pPr>
        <w:spacing w:before="120" w:after="120" w:line="288" w:lineRule="auto"/>
        <w:ind w:left="0" w:firstLine="420"/>
        <w:jc w:val="left"/>
      </w:pPr>
      <w:r>
        <w:rPr>
          <w:rFonts w:eastAsia="等线" w:ascii="Arial" w:cs="Arial" w:hAnsi="Arial"/>
          <w:sz w:val="22"/>
        </w:rPr>
        <w:t>5. 乙方在收到媒体支付的返点款项后，按照双方约定的返点结算方式与甲方进行结算。若媒体延迟支付返点款项，则乙方有权顺延与甲方进行返点结算的时间，直至收到该笔返点款项为止。</w:t>
      </w:r>
    </w:p>
    <w:p>
      <w:pPr>
        <w:numPr>
          <w:numId w:val="111"/>
        </w:numPr>
        <w:spacing w:before="120" w:after="120" w:line="288" w:lineRule="auto"/>
        <w:ind w:left="453"/>
        <w:jc w:val="left"/>
      </w:pPr>
      <w:r>
        <w:rPr>
          <w:rFonts w:eastAsia="等线" w:ascii="Arial" w:cs="Arial" w:hAnsi="Arial"/>
          <w:b w:val="true"/>
          <w:sz w:val="22"/>
        </w:rPr>
        <w:t>政策调整</w:t>
      </w:r>
    </w:p>
    <w:p>
      <w:pPr>
        <w:spacing w:before="120" w:after="120" w:line="288" w:lineRule="auto"/>
        <w:ind w:left="0" w:firstLine="420"/>
        <w:jc w:val="left"/>
      </w:pPr>
      <w:r>
        <w:rPr>
          <w:rFonts w:eastAsia="等线" w:ascii="Arial" w:cs="Arial" w:hAnsi="Arial"/>
          <w:sz w:val="22"/>
        </w:rPr>
        <w:t>1.  合作期限内，因媒体平台相关政策调整的，乙方有权相应调整给予甲方的返点比例。</w:t>
      </w:r>
    </w:p>
    <w:p>
      <w:pPr>
        <w:spacing w:before="120" w:after="120" w:line="288" w:lineRule="auto"/>
        <w:ind w:left="0" w:firstLine="420"/>
        <w:jc w:val="left"/>
      </w:pPr>
      <w:r>
        <w:rPr>
          <w:rFonts w:eastAsia="等线" w:ascii="Arial" w:cs="Arial" w:hAnsi="Arial"/>
          <w:sz w:val="22"/>
        </w:rPr>
        <w:t>2.  每季度或年度媒体给予乙方返点比例确定时，若媒体给予乙方的返点比例低于乙方给予甲方的返点比例，则乙方有权调整乙方给予甲方的返点比例。</w:t>
      </w:r>
    </w:p>
    <w:p>
      <w:pPr>
        <w:spacing w:before="120" w:after="120" w:line="288" w:lineRule="auto"/>
        <w:ind w:left="0" w:firstLine="420"/>
        <w:jc w:val="left"/>
      </w:pPr>
      <w:r>
        <w:rPr>
          <w:rFonts w:eastAsia="等线" w:ascii="Arial" w:cs="Arial" w:hAnsi="Arial"/>
          <w:sz w:val="22"/>
        </w:rPr>
        <w:t>3.  乙方向甲方提供的返点报告的数据以媒体提供为准，媒体数据报告为最终双方的结算依据。</w:t>
      </w:r>
    </w:p>
    <w:p>
      <w:pPr>
        <w:spacing w:before="120" w:after="120" w:line="288" w:lineRule="auto"/>
        <w:ind w:left="0" w:firstLine="420"/>
        <w:jc w:val="left"/>
      </w:pPr>
    </w:p>
    <w:p>
      <w:pPr>
        <w:numPr>
          <w:numId w:val="112"/>
        </w:numPr>
        <w:spacing w:before="120" w:after="120" w:line="288" w:lineRule="auto"/>
        <w:ind w:left="453"/>
        <w:jc w:val="left"/>
      </w:pPr>
      <w:r>
        <w:rPr>
          <w:rFonts w:eastAsia="等线" w:ascii="Arial" w:cs="Arial" w:hAnsi="Arial"/>
          <w:b w:val="true"/>
          <w:sz w:val="22"/>
        </w:rPr>
        <w:t xml:space="preserve">原合同约定的其它内容不变，任何未尽事宜，以原合同约定为准，并本协议自甲、乙双方盖章完毕之日起生效。 </w:t>
      </w:r>
    </w:p>
    <w:p>
      <w:pPr>
        <w:spacing w:before="120" w:after="120" w:line="288" w:lineRule="auto"/>
        <w:ind w:left="0" w:firstLine="420"/>
        <w:jc w:val="left"/>
      </w:pPr>
    </w:p>
    <w:p>
      <w:pPr>
        <w:numPr>
          <w:numId w:val="113"/>
        </w:numPr>
        <w:spacing w:before="120" w:after="120" w:line="288" w:lineRule="auto"/>
        <w:ind w:left="453"/>
        <w:jc w:val="left"/>
      </w:pPr>
      <w:r>
        <w:rPr>
          <w:rFonts w:eastAsia="等线" w:ascii="Arial" w:cs="Arial" w:hAnsi="Arial"/>
          <w:b w:val="true"/>
          <w:sz w:val="22"/>
        </w:rPr>
        <w:t>本协议一式二份，双方各执一份，具有同等法律效力。</w:t>
      </w:r>
    </w:p>
    <w:p>
      <w:pPr>
        <w:spacing w:before="120" w:after="120" w:line="288" w:lineRule="auto"/>
        <w:ind w:left="0" w:firstLine="0"/>
        <w:jc w:val="left"/>
      </w:pPr>
      <w:r>
        <w:rPr>
          <w:rFonts w:eastAsia="等线" w:ascii="Arial" w:cs="Arial" w:hAnsi="Arial"/>
          <w:sz w:val="22"/>
        </w:rPr>
        <w:t>（以下无正文，为签字盖章页）</w:t>
      </w: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sz w:val="22"/>
        </w:rPr>
        <w:t>甲方（签字/盖章：）                     乙方（签字/盖章：）</w:t>
      </w: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sz w:val="22"/>
        </w:rPr>
        <w:t>签订日期：                             签订日期：</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47653">
    <w:lvl>
      <w:start w:val="1"/>
      <w:numFmt w:val="lowerLetter"/>
      <w:suff w:val="tab"/>
      <w:lvlText w:val="%1."/>
      <w:rPr>
        <w:color w:val="3370ff"/>
      </w:rPr>
    </w:lvl>
  </w:abstractNum>
  <w:abstractNum w:abstractNumId="47654">
    <w:lvl>
      <w:numFmt w:val="bullet"/>
      <w:suff w:val="tab"/>
      <w:lvlText w:val="▪"/>
      <w:rPr>
        <w:color w:val="3370ff"/>
        <w:sz w:val="11"/>
      </w:rPr>
    </w:lvl>
  </w:abstractNum>
  <w:abstractNum w:abstractNumId="47655">
    <w:lvl>
      <w:start w:val="1"/>
      <w:numFmt w:val="decimal"/>
      <w:suff w:val="tab"/>
      <w:lvlText w:val="%1."/>
      <w:rPr>
        <w:color w:val="3370ff"/>
      </w:rPr>
    </w:lvl>
  </w:abstractNum>
  <w:abstractNum w:abstractNumId="47656">
    <w:lvl>
      <w:start w:val="2"/>
      <w:numFmt w:val="decimal"/>
      <w:suff w:val="tab"/>
      <w:lvlText w:val="%1."/>
      <w:rPr>
        <w:color w:val="3370ff"/>
      </w:rPr>
    </w:lvl>
  </w:abstractNum>
  <w:abstractNum w:abstractNumId="47657">
    <w:lvl>
      <w:start w:val="1"/>
      <w:numFmt w:val="decimal"/>
      <w:suff w:val="tab"/>
      <w:lvlText w:val="%1."/>
      <w:rPr>
        <w:color w:val="3370ff"/>
      </w:rPr>
    </w:lvl>
  </w:abstractNum>
  <w:abstractNum w:abstractNumId="47658">
    <w:lvl>
      <w:start w:val="2"/>
      <w:numFmt w:val="decimal"/>
      <w:suff w:val="tab"/>
      <w:lvlText w:val="%1."/>
      <w:rPr>
        <w:color w:val="3370ff"/>
      </w:rPr>
    </w:lvl>
  </w:abstractNum>
  <w:abstractNum w:abstractNumId="47659">
    <w:lvl>
      <w:start w:val="1"/>
      <w:numFmt w:val="decimal"/>
      <w:suff w:val="tab"/>
      <w:lvlText w:val="%1."/>
      <w:rPr>
        <w:color w:val="3370ff"/>
      </w:rPr>
    </w:lvl>
  </w:abstractNum>
  <w:abstractNum w:abstractNumId="47660">
    <w:lvl>
      <w:start w:val="1"/>
      <w:numFmt w:val="decimal"/>
      <w:suff w:val="tab"/>
      <w:lvlText w:val="%1."/>
      <w:rPr>
        <w:color w:val="3370ff"/>
      </w:rPr>
    </w:lvl>
  </w:abstractNum>
  <w:abstractNum w:abstractNumId="47661">
    <w:lvl>
      <w:start w:val="1"/>
      <w:numFmt w:val="decimal"/>
      <w:suff w:val="tab"/>
      <w:lvlText w:val="%1."/>
      <w:rPr>
        <w:color w:val="3370ff"/>
      </w:rPr>
    </w:lvl>
  </w:abstractNum>
  <w:abstractNum w:abstractNumId="47662">
    <w:lvl>
      <w:start w:val="2"/>
      <w:numFmt w:val="decimal"/>
      <w:suff w:val="tab"/>
      <w:lvlText w:val="%1."/>
      <w:rPr>
        <w:color w:val="3370ff"/>
      </w:rPr>
    </w:lvl>
  </w:abstractNum>
  <w:abstractNum w:abstractNumId="47663">
    <w:lvl>
      <w:start w:val="2"/>
      <w:numFmt w:val="decimal"/>
      <w:suff w:val="tab"/>
      <w:lvlText w:val="%1."/>
      <w:rPr>
        <w:color w:val="3370ff"/>
      </w:rPr>
    </w:lvl>
  </w:abstractNum>
  <w:abstractNum w:abstractNumId="47664">
    <w:lvl>
      <w:start w:val="3"/>
      <w:numFmt w:val="decimal"/>
      <w:suff w:val="tab"/>
      <w:lvlText w:val="%1."/>
      <w:rPr>
        <w:color w:val="3370ff"/>
      </w:rPr>
    </w:lvl>
  </w:abstractNum>
  <w:abstractNum w:abstractNumId="47665">
    <w:lvl>
      <w:start w:val="1"/>
      <w:numFmt w:val="decimal"/>
      <w:suff w:val="tab"/>
      <w:lvlText w:val="%1."/>
      <w:rPr>
        <w:color w:val="3370ff"/>
      </w:rPr>
    </w:lvl>
  </w:abstractNum>
  <w:abstractNum w:abstractNumId="47666">
    <w:lvl>
      <w:start w:val="2"/>
      <w:numFmt w:val="decimal"/>
      <w:suff w:val="tab"/>
      <w:lvlText w:val="%1."/>
      <w:rPr>
        <w:color w:val="3370ff"/>
      </w:rPr>
    </w:lvl>
  </w:abstractNum>
  <w:abstractNum w:abstractNumId="47667">
    <w:lvl>
      <w:start w:val="3"/>
      <w:numFmt w:val="decimal"/>
      <w:suff w:val="tab"/>
      <w:lvlText w:val="%1."/>
      <w:rPr>
        <w:color w:val="3370ff"/>
      </w:rPr>
    </w:lvl>
  </w:abstractNum>
  <w:abstractNum w:abstractNumId="47668">
    <w:lvl>
      <w:start w:val="4"/>
      <w:numFmt w:val="decimal"/>
      <w:suff w:val="tab"/>
      <w:lvlText w:val="%1."/>
      <w:rPr>
        <w:color w:val="3370ff"/>
      </w:rPr>
    </w:lvl>
  </w:abstractNum>
  <w:abstractNum w:abstractNumId="47669">
    <w:lvl>
      <w:start w:val="2"/>
      <w:numFmt w:val="decimal"/>
      <w:suff w:val="tab"/>
      <w:lvlText w:val="%1."/>
      <w:rPr>
        <w:color w:val="3370ff"/>
      </w:rPr>
    </w:lvl>
  </w:abstractNum>
  <w:abstractNum w:abstractNumId="47670">
    <w:lvl>
      <w:start w:val="1"/>
      <w:numFmt w:val="decimal"/>
      <w:suff w:val="tab"/>
      <w:lvlText w:val="%1."/>
      <w:rPr>
        <w:color w:val="3370ff"/>
      </w:rPr>
    </w:lvl>
  </w:abstractNum>
  <w:abstractNum w:abstractNumId="47671">
    <w:lvl>
      <w:start w:val="1"/>
      <w:numFmt w:val="decimal"/>
      <w:suff w:val="tab"/>
      <w:lvlText w:val="%1."/>
      <w:rPr>
        <w:color w:val="3370ff"/>
      </w:rPr>
    </w:lvl>
  </w:abstractNum>
  <w:abstractNum w:abstractNumId="47672">
    <w:lvl>
      <w:start w:val="2"/>
      <w:numFmt w:val="decimal"/>
      <w:suff w:val="tab"/>
      <w:lvlText w:val="%1."/>
      <w:rPr>
        <w:color w:val="3370ff"/>
      </w:rPr>
    </w:lvl>
  </w:abstractNum>
  <w:abstractNum w:abstractNumId="47673">
    <w:lvl>
      <w:start w:val="3"/>
      <w:numFmt w:val="decimal"/>
      <w:suff w:val="tab"/>
      <w:lvlText w:val="%1."/>
      <w:rPr>
        <w:color w:val="3370ff"/>
      </w:rPr>
    </w:lvl>
  </w:abstractNum>
  <w:abstractNum w:abstractNumId="47674">
    <w:lvl>
      <w:start w:val="4"/>
      <w:numFmt w:val="decimal"/>
      <w:suff w:val="tab"/>
      <w:lvlText w:val="%1."/>
      <w:rPr>
        <w:color w:val="3370ff"/>
      </w:rPr>
    </w:lvl>
  </w:abstractNum>
  <w:abstractNum w:abstractNumId="47675">
    <w:lvl>
      <w:start w:val="5"/>
      <w:numFmt w:val="decimal"/>
      <w:suff w:val="tab"/>
      <w:lvlText w:val="%1."/>
      <w:rPr>
        <w:color w:val="3370ff"/>
      </w:rPr>
    </w:lvl>
  </w:abstractNum>
  <w:abstractNum w:abstractNumId="47676">
    <w:lvl>
      <w:start w:val="6"/>
      <w:numFmt w:val="decimal"/>
      <w:suff w:val="tab"/>
      <w:lvlText w:val="%1."/>
      <w:rPr>
        <w:color w:val="3370ff"/>
      </w:rPr>
    </w:lvl>
  </w:abstractNum>
  <w:abstractNum w:abstractNumId="47677">
    <w:lvl>
      <w:start w:val="7"/>
      <w:numFmt w:val="decimal"/>
      <w:suff w:val="tab"/>
      <w:lvlText w:val="%1."/>
      <w:rPr>
        <w:color w:val="3370ff"/>
      </w:rPr>
    </w:lvl>
  </w:abstractNum>
  <w:abstractNum w:abstractNumId="47678">
    <w:lvl>
      <w:start w:val="2"/>
      <w:numFmt w:val="decimal"/>
      <w:suff w:val="tab"/>
      <w:lvlText w:val="%1."/>
      <w:rPr>
        <w:color w:val="3370ff"/>
      </w:rPr>
    </w:lvl>
  </w:abstractNum>
  <w:abstractNum w:abstractNumId="47679">
    <w:lvl>
      <w:start w:val="1"/>
      <w:numFmt w:val="decimal"/>
      <w:suff w:val="tab"/>
      <w:lvlText w:val="%1."/>
      <w:rPr>
        <w:color w:val="3370ff"/>
      </w:rPr>
    </w:lvl>
  </w:abstractNum>
  <w:abstractNum w:abstractNumId="47680">
    <w:lvl>
      <w:start w:val="2"/>
      <w:numFmt w:val="decimal"/>
      <w:suff w:val="tab"/>
      <w:lvlText w:val="%1."/>
      <w:rPr>
        <w:color w:val="3370ff"/>
      </w:rPr>
    </w:lvl>
  </w:abstractNum>
  <w:abstractNum w:abstractNumId="47681">
    <w:lvl>
      <w:start w:val="3"/>
      <w:numFmt w:val="decimal"/>
      <w:suff w:val="tab"/>
      <w:lvlText w:val="%1."/>
      <w:rPr>
        <w:color w:val="3370ff"/>
      </w:rPr>
    </w:lvl>
  </w:abstractNum>
  <w:abstractNum w:abstractNumId="47682">
    <w:lvl>
      <w:start w:val="4"/>
      <w:numFmt w:val="decimal"/>
      <w:suff w:val="tab"/>
      <w:lvlText w:val="%1."/>
      <w:rPr>
        <w:color w:val="3370ff"/>
      </w:rPr>
    </w:lvl>
  </w:abstractNum>
  <w:abstractNum w:abstractNumId="47683">
    <w:lvl>
      <w:start w:val="1"/>
      <w:numFmt w:val="decimal"/>
      <w:suff w:val="tab"/>
      <w:lvlText w:val="%1."/>
      <w:rPr>
        <w:color w:val="3370ff"/>
      </w:rPr>
    </w:lvl>
  </w:abstractNum>
  <w:abstractNum w:abstractNumId="47684">
    <w:lvl>
      <w:start w:val="2"/>
      <w:numFmt w:val="decimal"/>
      <w:suff w:val="tab"/>
      <w:lvlText w:val="%1."/>
      <w:rPr>
        <w:color w:val="3370ff"/>
      </w:rPr>
    </w:lvl>
  </w:abstractNum>
  <w:abstractNum w:abstractNumId="47685">
    <w:lvl>
      <w:start w:val="3"/>
      <w:numFmt w:val="decimal"/>
      <w:suff w:val="tab"/>
      <w:lvlText w:val="%1."/>
      <w:rPr>
        <w:color w:val="3370ff"/>
      </w:rPr>
    </w:lvl>
  </w:abstractNum>
  <w:abstractNum w:abstractNumId="47686">
    <w:lvl>
      <w:start w:val="4"/>
      <w:numFmt w:val="decimal"/>
      <w:suff w:val="tab"/>
      <w:lvlText w:val="%1."/>
      <w:rPr>
        <w:color w:val="3370ff"/>
      </w:rPr>
    </w:lvl>
  </w:abstractNum>
  <w:abstractNum w:abstractNumId="47687">
    <w:lvl>
      <w:start w:val="3"/>
      <w:numFmt w:val="decimal"/>
      <w:suff w:val="tab"/>
      <w:lvlText w:val="%1."/>
      <w:rPr>
        <w:color w:val="3370ff"/>
      </w:rPr>
    </w:lvl>
  </w:abstractNum>
  <w:abstractNum w:abstractNumId="47688">
    <w:lvl>
      <w:start w:val="1"/>
      <w:numFmt w:val="decimal"/>
      <w:suff w:val="tab"/>
      <w:lvlText w:val="%1."/>
      <w:rPr>
        <w:color w:val="3370ff"/>
      </w:rPr>
    </w:lvl>
  </w:abstractNum>
  <w:abstractNum w:abstractNumId="47689">
    <w:lvl>
      <w:start w:val="2"/>
      <w:numFmt w:val="decimal"/>
      <w:suff w:val="tab"/>
      <w:lvlText w:val="%1."/>
      <w:rPr>
        <w:color w:val="3370ff"/>
      </w:rPr>
    </w:lvl>
  </w:abstractNum>
  <w:abstractNum w:abstractNumId="47690">
    <w:lvl>
      <w:start w:val="3"/>
      <w:numFmt w:val="decimal"/>
      <w:suff w:val="tab"/>
      <w:lvlText w:val="%1."/>
      <w:rPr>
        <w:color w:val="3370ff"/>
      </w:rPr>
    </w:lvl>
  </w:abstractNum>
  <w:abstractNum w:abstractNumId="47691">
    <w:lvl>
      <w:start w:val="4"/>
      <w:numFmt w:val="decimal"/>
      <w:suff w:val="tab"/>
      <w:lvlText w:val="%1."/>
      <w:rPr>
        <w:color w:val="3370ff"/>
      </w:rPr>
    </w:lvl>
  </w:abstractNum>
  <w:abstractNum w:abstractNumId="47692">
    <w:lvl>
      <w:start w:val="4"/>
      <w:numFmt w:val="decimal"/>
      <w:suff w:val="tab"/>
      <w:lvlText w:val="%1."/>
      <w:rPr>
        <w:color w:val="3370ff"/>
      </w:rPr>
    </w:lvl>
  </w:abstractNum>
  <w:abstractNum w:abstractNumId="47693">
    <w:lvl>
      <w:start w:val="1"/>
      <w:numFmt w:val="decimal"/>
      <w:suff w:val="tab"/>
      <w:lvlText w:val="%1."/>
      <w:rPr>
        <w:color w:val="3370ff"/>
      </w:rPr>
    </w:lvl>
  </w:abstractNum>
  <w:abstractNum w:abstractNumId="47694">
    <w:lvl>
      <w:start w:val="2"/>
      <w:numFmt w:val="decimal"/>
      <w:suff w:val="tab"/>
      <w:lvlText w:val="%1."/>
      <w:rPr>
        <w:color w:val="3370ff"/>
      </w:rPr>
    </w:lvl>
  </w:abstractNum>
  <w:abstractNum w:abstractNumId="47695">
    <w:lvl>
      <w:start w:val="3"/>
      <w:numFmt w:val="decimal"/>
      <w:suff w:val="tab"/>
      <w:lvlText w:val="%1."/>
      <w:rPr>
        <w:color w:val="3370ff"/>
      </w:rPr>
    </w:lvl>
  </w:abstractNum>
  <w:abstractNum w:abstractNumId="47696">
    <w:lvl>
      <w:start w:val="4"/>
      <w:numFmt w:val="decimal"/>
      <w:suff w:val="tab"/>
      <w:lvlText w:val="%1."/>
      <w:rPr>
        <w:color w:val="3370ff"/>
      </w:rPr>
    </w:lvl>
  </w:abstractNum>
  <w:abstractNum w:abstractNumId="47697">
    <w:lvl>
      <w:start w:val="5"/>
      <w:numFmt w:val="decimal"/>
      <w:suff w:val="tab"/>
      <w:lvlText w:val="%1."/>
      <w:rPr>
        <w:color w:val="3370ff"/>
      </w:rPr>
    </w:lvl>
  </w:abstractNum>
  <w:abstractNum w:abstractNumId="47698">
    <w:lvl>
      <w:start w:val="1"/>
      <w:numFmt w:val="decimal"/>
      <w:suff w:val="tab"/>
      <w:lvlText w:val="%1."/>
      <w:rPr>
        <w:color w:val="3370ff"/>
      </w:rPr>
    </w:lvl>
  </w:abstractNum>
  <w:abstractNum w:abstractNumId="47699">
    <w:lvl>
      <w:start w:val="2"/>
      <w:numFmt w:val="decimal"/>
      <w:suff w:val="tab"/>
      <w:lvlText w:val="%1."/>
      <w:rPr>
        <w:color w:val="3370ff"/>
      </w:rPr>
    </w:lvl>
  </w:abstractNum>
  <w:abstractNum w:abstractNumId="47700">
    <w:lvl>
      <w:start w:val="3"/>
      <w:numFmt w:val="decimal"/>
      <w:suff w:val="tab"/>
      <w:lvlText w:val="%1."/>
      <w:rPr>
        <w:color w:val="3370ff"/>
      </w:rPr>
    </w:lvl>
  </w:abstractNum>
  <w:abstractNum w:abstractNumId="47701">
    <w:lvl>
      <w:start w:val="4"/>
      <w:numFmt w:val="decimal"/>
      <w:suff w:val="tab"/>
      <w:lvlText w:val="%1."/>
      <w:rPr>
        <w:color w:val="3370ff"/>
      </w:rPr>
    </w:lvl>
  </w:abstractNum>
  <w:abstractNum w:abstractNumId="47702">
    <w:lvl>
      <w:start w:val="6"/>
      <w:numFmt w:val="decimal"/>
      <w:suff w:val="tab"/>
      <w:lvlText w:val="%1."/>
      <w:rPr>
        <w:color w:val="3370ff"/>
      </w:rPr>
    </w:lvl>
  </w:abstractNum>
  <w:abstractNum w:abstractNumId="47703">
    <w:lvl>
      <w:start w:val="1"/>
      <w:numFmt w:val="decimal"/>
      <w:suff w:val="tab"/>
      <w:lvlText w:val="%1."/>
      <w:rPr>
        <w:color w:val="3370ff"/>
      </w:rPr>
    </w:lvl>
  </w:abstractNum>
  <w:abstractNum w:abstractNumId="47704">
    <w:lvl>
      <w:start w:val="2"/>
      <w:numFmt w:val="decimal"/>
      <w:suff w:val="tab"/>
      <w:lvlText w:val="%1."/>
      <w:rPr>
        <w:color w:val="3370ff"/>
      </w:rPr>
    </w:lvl>
  </w:abstractNum>
  <w:abstractNum w:abstractNumId="47705">
    <w:lvl>
      <w:start w:val="7"/>
      <w:numFmt w:val="lowerLetter"/>
      <w:suff w:val="tab"/>
      <w:lvlText w:val="%1."/>
      <w:rPr>
        <w:color w:val="3370ff"/>
      </w:rPr>
    </w:lvl>
  </w:abstractNum>
  <w:abstractNum w:abstractNumId="47706">
    <w:lvl>
      <w:start w:val="1"/>
      <w:numFmt w:val="decimal"/>
      <w:suff w:val="tab"/>
      <w:lvlText w:val="%1."/>
      <w:rPr>
        <w:color w:val="3370ff"/>
      </w:rPr>
    </w:lvl>
  </w:abstractNum>
  <w:abstractNum w:abstractNumId="47707">
    <w:lvl>
      <w:start w:val="2"/>
      <w:numFmt w:val="decimal"/>
      <w:suff w:val="tab"/>
      <w:lvlText w:val="%1."/>
      <w:rPr>
        <w:color w:val="3370ff"/>
      </w:rPr>
    </w:lvl>
  </w:abstractNum>
  <w:abstractNum w:abstractNumId="47708">
    <w:lvl>
      <w:start w:val="3"/>
      <w:numFmt w:val="decimal"/>
      <w:suff w:val="tab"/>
      <w:lvlText w:val="%1."/>
      <w:rPr>
        <w:color w:val="3370ff"/>
      </w:rPr>
    </w:lvl>
  </w:abstractNum>
  <w:abstractNum w:abstractNumId="47709">
    <w:lvl>
      <w:start w:val="4"/>
      <w:numFmt w:val="decimal"/>
      <w:suff w:val="tab"/>
      <w:lvlText w:val="%1."/>
      <w:rPr>
        <w:color w:val="3370ff"/>
      </w:rPr>
    </w:lvl>
  </w:abstractNum>
  <w:abstractNum w:abstractNumId="47710">
    <w:lvl>
      <w:start w:val="5"/>
      <w:numFmt w:val="decimal"/>
      <w:suff w:val="tab"/>
      <w:lvlText w:val="%1."/>
      <w:rPr>
        <w:color w:val="3370ff"/>
      </w:rPr>
    </w:lvl>
  </w:abstractNum>
  <w:abstractNum w:abstractNumId="47711">
    <w:lvl>
      <w:start w:val="8"/>
      <w:numFmt w:val="decimal"/>
      <w:suff w:val="tab"/>
      <w:lvlText w:val="%1."/>
      <w:rPr>
        <w:color w:val="3370ff"/>
      </w:rPr>
    </w:lvl>
  </w:abstractNum>
  <w:abstractNum w:abstractNumId="47712">
    <w:lvl>
      <w:start w:val="1"/>
      <w:numFmt w:val="decimal"/>
      <w:suff w:val="tab"/>
      <w:lvlText w:val="%1."/>
      <w:rPr>
        <w:color w:val="3370ff"/>
      </w:rPr>
    </w:lvl>
  </w:abstractNum>
  <w:abstractNum w:abstractNumId="47713">
    <w:lvl>
      <w:start w:val="2"/>
      <w:numFmt w:val="decimal"/>
      <w:suff w:val="tab"/>
      <w:lvlText w:val="%1."/>
      <w:rPr>
        <w:color w:val="3370ff"/>
      </w:rPr>
    </w:lvl>
  </w:abstractNum>
  <w:abstractNum w:abstractNumId="47714">
    <w:lvl>
      <w:start w:val="3"/>
      <w:numFmt w:val="decimal"/>
      <w:suff w:val="tab"/>
      <w:lvlText w:val="%1."/>
      <w:rPr>
        <w:color w:val="3370ff"/>
      </w:rPr>
    </w:lvl>
  </w:abstractNum>
  <w:abstractNum w:abstractNumId="47715">
    <w:lvl>
      <w:start w:val="4"/>
      <w:numFmt w:val="decimal"/>
      <w:suff w:val="tab"/>
      <w:lvlText w:val="%1."/>
      <w:rPr>
        <w:color w:val="3370ff"/>
      </w:rPr>
    </w:lvl>
  </w:abstractNum>
  <w:abstractNum w:abstractNumId="47716">
    <w:lvl>
      <w:start w:val="9"/>
      <w:numFmt w:val="decimal"/>
      <w:suff w:val="tab"/>
      <w:lvlText w:val="%1."/>
      <w:rPr>
        <w:color w:val="3370ff"/>
      </w:rPr>
    </w:lvl>
  </w:abstractNum>
  <w:abstractNum w:abstractNumId="47717">
    <w:lvl>
      <w:start w:val="1"/>
      <w:numFmt w:val="decimal"/>
      <w:suff w:val="tab"/>
      <w:lvlText w:val="%1."/>
      <w:rPr>
        <w:color w:val="3370ff"/>
      </w:rPr>
    </w:lvl>
  </w:abstractNum>
  <w:abstractNum w:abstractNumId="47718">
    <w:lvl>
      <w:start w:val="2"/>
      <w:numFmt w:val="decimal"/>
      <w:suff w:val="tab"/>
      <w:lvlText w:val="%1."/>
      <w:rPr>
        <w:color w:val="3370ff"/>
      </w:rPr>
    </w:lvl>
  </w:abstractNum>
  <w:abstractNum w:abstractNumId="47719">
    <w:lvl>
      <w:start w:val="3"/>
      <w:numFmt w:val="decimal"/>
      <w:suff w:val="tab"/>
      <w:lvlText w:val="%1."/>
      <w:rPr>
        <w:color w:val="3370ff"/>
      </w:rPr>
    </w:lvl>
  </w:abstractNum>
  <w:abstractNum w:abstractNumId="47720">
    <w:lvl>
      <w:start w:val="4"/>
      <w:numFmt w:val="decimal"/>
      <w:suff w:val="tab"/>
      <w:lvlText w:val="%1."/>
      <w:rPr>
        <w:color w:val="3370ff"/>
      </w:rPr>
    </w:lvl>
  </w:abstractNum>
  <w:abstractNum w:abstractNumId="47721">
    <w:lvl>
      <w:start w:val="5"/>
      <w:numFmt w:val="decimal"/>
      <w:suff w:val="tab"/>
      <w:lvlText w:val="%1."/>
      <w:rPr>
        <w:color w:val="3370ff"/>
      </w:rPr>
    </w:lvl>
  </w:abstractNum>
  <w:abstractNum w:abstractNumId="47722">
    <w:lvl>
      <w:start w:val="1"/>
      <w:numFmt w:val="decimal"/>
      <w:suff w:val="tab"/>
      <w:lvlText w:val="%1."/>
      <w:rPr>
        <w:color w:val="3370ff"/>
      </w:rPr>
    </w:lvl>
  </w:abstractNum>
  <w:abstractNum w:abstractNumId="47723">
    <w:lvl>
      <w:start w:val="2"/>
      <w:numFmt w:val="decimal"/>
      <w:suff w:val="tab"/>
      <w:lvlText w:val="%1."/>
      <w:rPr>
        <w:color w:val="3370ff"/>
      </w:rPr>
    </w:lvl>
  </w:abstractNum>
  <w:abstractNum w:abstractNumId="47724">
    <w:lvl>
      <w:start w:val="3"/>
      <w:numFmt w:val="decimal"/>
      <w:suff w:val="tab"/>
      <w:lvlText w:val="%1."/>
      <w:rPr>
        <w:color w:val="3370ff"/>
      </w:rPr>
    </w:lvl>
  </w:abstractNum>
  <w:abstractNum w:abstractNumId="47725">
    <w:lvl>
      <w:start w:val="4"/>
      <w:numFmt w:val="decimal"/>
      <w:suff w:val="tab"/>
      <w:lvlText w:val="%1."/>
      <w:rPr>
        <w:color w:val="3370ff"/>
      </w:rPr>
    </w:lvl>
  </w:abstractNum>
  <w:abstractNum w:abstractNumId="47726">
    <w:lvl>
      <w:start w:val="10"/>
      <w:numFmt w:val="decimal"/>
      <w:suff w:val="tab"/>
      <w:lvlText w:val="%1."/>
      <w:rPr>
        <w:color w:val="3370ff"/>
      </w:rPr>
    </w:lvl>
  </w:abstractNum>
  <w:abstractNum w:abstractNumId="47727">
    <w:lvl>
      <w:start w:val="1"/>
      <w:numFmt w:val="decimal"/>
      <w:suff w:val="tab"/>
      <w:lvlText w:val="%1."/>
      <w:rPr>
        <w:color w:val="3370ff"/>
      </w:rPr>
    </w:lvl>
  </w:abstractNum>
  <w:abstractNum w:abstractNumId="47728">
    <w:lvl>
      <w:start w:val="2"/>
      <w:numFmt w:val="decimal"/>
      <w:suff w:val="tab"/>
      <w:lvlText w:val="%1."/>
      <w:rPr>
        <w:color w:val="3370ff"/>
      </w:rPr>
    </w:lvl>
  </w:abstractNum>
  <w:abstractNum w:abstractNumId="47729">
    <w:lvl>
      <w:numFmt w:val="bullet"/>
      <w:suff w:val="tab"/>
      <w:lvlText w:val="•"/>
      <w:rPr>
        <w:color w:val="3370ff"/>
      </w:rPr>
    </w:lvl>
  </w:abstractNum>
  <w:abstractNum w:abstractNumId="47730">
    <w:lvl>
      <w:numFmt w:val="bullet"/>
      <w:suff w:val="tab"/>
      <w:lvlText w:val="•"/>
      <w:rPr>
        <w:color w:val="3370ff"/>
      </w:rPr>
    </w:lvl>
  </w:abstractNum>
  <w:abstractNum w:abstractNumId="47731">
    <w:lvl>
      <w:numFmt w:val="bullet"/>
      <w:suff w:val="tab"/>
      <w:lvlText w:val="•"/>
      <w:rPr>
        <w:color w:val="3370ff"/>
      </w:rPr>
    </w:lvl>
  </w:abstractNum>
  <w:abstractNum w:abstractNumId="47732">
    <w:lvl>
      <w:numFmt w:val="bullet"/>
      <w:suff w:val="tab"/>
      <w:lvlText w:val="•"/>
      <w:rPr>
        <w:color w:val="3370ff"/>
      </w:rPr>
    </w:lvl>
  </w:abstractNum>
  <w:abstractNum w:abstractNumId="47733">
    <w:lvl>
      <w:start w:val="3"/>
      <w:numFmt w:val="decimal"/>
      <w:suff w:val="tab"/>
      <w:lvlText w:val="%1."/>
      <w:rPr>
        <w:color w:val="3370ff"/>
      </w:rPr>
    </w:lvl>
  </w:abstractNum>
  <w:abstractNum w:abstractNumId="47734">
    <w:lvl>
      <w:start w:val="4"/>
      <w:numFmt w:val="decimal"/>
      <w:suff w:val="tab"/>
      <w:lvlText w:val="%1."/>
      <w:rPr>
        <w:color w:val="3370ff"/>
      </w:rPr>
    </w:lvl>
  </w:abstractNum>
  <w:abstractNum w:abstractNumId="47735">
    <w:lvl>
      <w:start w:val="5"/>
      <w:numFmt w:val="decimal"/>
      <w:suff w:val="tab"/>
      <w:lvlText w:val="%1."/>
      <w:rPr>
        <w:color w:val="3370ff"/>
      </w:rPr>
    </w:lvl>
  </w:abstractNum>
  <w:abstractNum w:abstractNumId="47736">
    <w:lvl>
      <w:start w:val="1"/>
      <w:numFmt w:val="decimal"/>
      <w:suff w:val="tab"/>
      <w:lvlText w:val="%1."/>
      <w:rPr>
        <w:color w:val="3370ff"/>
      </w:rPr>
    </w:lvl>
  </w:abstractNum>
  <w:abstractNum w:abstractNumId="47737">
    <w:lvl>
      <w:start w:val="2"/>
      <w:numFmt w:val="decimal"/>
      <w:suff w:val="tab"/>
      <w:lvlText w:val="%1."/>
      <w:rPr>
        <w:color w:val="3370ff"/>
      </w:rPr>
    </w:lvl>
  </w:abstractNum>
  <w:abstractNum w:abstractNumId="47738">
    <w:lvl>
      <w:start w:val="3"/>
      <w:numFmt w:val="decimal"/>
      <w:suff w:val="tab"/>
      <w:lvlText w:val="%1."/>
      <w:rPr>
        <w:color w:val="3370ff"/>
      </w:rPr>
    </w:lvl>
  </w:abstractNum>
  <w:abstractNum w:abstractNumId="47739">
    <w:lvl>
      <w:start w:val="4"/>
      <w:numFmt w:val="decimal"/>
      <w:suff w:val="tab"/>
      <w:lvlText w:val="%1."/>
      <w:rPr>
        <w:color w:val="3370ff"/>
      </w:rPr>
    </w:lvl>
  </w:abstractNum>
  <w:abstractNum w:abstractNumId="47740">
    <w:lvl>
      <w:start w:val="5"/>
      <w:numFmt w:val="decimal"/>
      <w:suff w:val="tab"/>
      <w:lvlText w:val="%1."/>
      <w:rPr>
        <w:color w:val="3370ff"/>
      </w:rPr>
    </w:lvl>
  </w:abstractNum>
  <w:abstractNum w:abstractNumId="47741">
    <w:lvl>
      <w:start w:val="6"/>
      <w:numFmt w:val="decimal"/>
      <w:suff w:val="tab"/>
      <w:lvlText w:val="%1."/>
      <w:rPr>
        <w:color w:val="3370ff"/>
      </w:rPr>
    </w:lvl>
  </w:abstractNum>
  <w:abstractNum w:abstractNumId="47742">
    <w:lvl>
      <w:start w:val="7"/>
      <w:numFmt w:val="decimal"/>
      <w:suff w:val="tab"/>
      <w:lvlText w:val="%1."/>
      <w:rPr>
        <w:color w:val="3370ff"/>
      </w:rPr>
    </w:lvl>
  </w:abstractNum>
  <w:abstractNum w:abstractNumId="47743">
    <w:lvl>
      <w:start w:val="8"/>
      <w:numFmt w:val="decimal"/>
      <w:suff w:val="tab"/>
      <w:lvlText w:val="%1."/>
      <w:rPr>
        <w:color w:val="3370ff"/>
      </w:rPr>
    </w:lvl>
  </w:abstractNum>
  <w:abstractNum w:abstractNumId="47744">
    <w:lvl>
      <w:start w:val="9"/>
      <w:numFmt w:val="decimal"/>
      <w:suff w:val="tab"/>
      <w:lvlText w:val="%1."/>
      <w:rPr>
        <w:color w:val="3370ff"/>
      </w:rPr>
    </w:lvl>
  </w:abstractNum>
  <w:abstractNum w:abstractNumId="47745">
    <w:lvl>
      <w:start w:val="10"/>
      <w:numFmt w:val="decimal"/>
      <w:suff w:val="tab"/>
      <w:lvlText w:val="%1."/>
      <w:rPr>
        <w:color w:val="3370ff"/>
      </w:rPr>
    </w:lvl>
  </w:abstractNum>
  <w:abstractNum w:abstractNumId="47746">
    <w:lvl>
      <w:start w:val="11"/>
      <w:numFmt w:val="decimal"/>
      <w:suff w:val="tab"/>
      <w:lvlText w:val="%1."/>
      <w:rPr>
        <w:color w:val="3370ff"/>
      </w:rPr>
    </w:lvl>
  </w:abstractNum>
  <w:abstractNum w:abstractNumId="47747">
    <w:lvl>
      <w:start w:val="12"/>
      <w:numFmt w:val="decimal"/>
      <w:suff w:val="tab"/>
      <w:lvlText w:val="%1."/>
      <w:rPr>
        <w:color w:val="3370ff"/>
      </w:rPr>
    </w:lvl>
  </w:abstractNum>
  <w:abstractNum w:abstractNumId="47748">
    <w:lvl>
      <w:start w:val="13"/>
      <w:numFmt w:val="decimal"/>
      <w:suff w:val="tab"/>
      <w:lvlText w:val="%1."/>
      <w:rPr>
        <w:color w:val="3370ff"/>
      </w:rPr>
    </w:lvl>
  </w:abstractNum>
  <w:abstractNum w:abstractNumId="47749">
    <w:lvl>
      <w:start w:val="14"/>
      <w:numFmt w:val="decimal"/>
      <w:suff w:val="tab"/>
      <w:lvlText w:val="%1."/>
      <w:rPr>
        <w:color w:val="3370ff"/>
      </w:rPr>
    </w:lvl>
  </w:abstractNum>
  <w:abstractNum w:abstractNumId="47750">
    <w:lvl>
      <w:start w:val="15"/>
      <w:numFmt w:val="decimal"/>
      <w:suff w:val="tab"/>
      <w:lvlText w:val="%1."/>
      <w:rPr>
        <w:color w:val="3370ff"/>
      </w:rPr>
    </w:lvl>
  </w:abstractNum>
  <w:abstractNum w:abstractNumId="47751">
    <w:lvl>
      <w:start w:val="16"/>
      <w:numFmt w:val="decimal"/>
      <w:suff w:val="tab"/>
      <w:lvlText w:val="%1."/>
      <w:rPr>
        <w:color w:val="3370ff"/>
      </w:rPr>
    </w:lvl>
  </w:abstractNum>
  <w:abstractNum w:abstractNumId="47752">
    <w:lvl>
      <w:start w:val="17"/>
      <w:numFmt w:val="decimal"/>
      <w:suff w:val="tab"/>
      <w:lvlText w:val="%1."/>
      <w:rPr>
        <w:color w:val="3370ff"/>
      </w:rPr>
    </w:lvl>
  </w:abstractNum>
  <w:abstractNum w:abstractNumId="47753">
    <w:lvl>
      <w:start w:val="4"/>
      <w:numFmt w:val="decimal"/>
      <w:suff w:val="tab"/>
      <w:lvlText w:val="%1."/>
      <w:rPr>
        <w:color w:val="3370ff"/>
      </w:rPr>
    </w:lvl>
  </w:abstractNum>
  <w:abstractNum w:abstractNumId="47754">
    <w:lvl>
      <w:start w:val="5"/>
      <w:numFmt w:val="decimal"/>
      <w:suff w:val="tab"/>
      <w:lvlText w:val="%1."/>
      <w:rPr>
        <w:color w:val="3370ff"/>
      </w:rPr>
    </w:lvl>
  </w:abstractNum>
  <w:abstractNum w:abstractNumId="47755">
    <w:lvl>
      <w:start w:val="6"/>
      <w:numFmt w:val="decimal"/>
      <w:suff w:val="tab"/>
      <w:lvlText w:val="%1."/>
      <w:rPr>
        <w:color w:val="3370ff"/>
      </w:rPr>
    </w:lvl>
  </w:abstractNum>
  <w:abstractNum w:abstractNumId="47756">
    <w:lvl>
      <w:start w:val="7"/>
      <w:numFmt w:val="decimal"/>
      <w:suff w:val="tab"/>
      <w:lvlText w:val="%1."/>
      <w:rPr>
        <w:color w:val="3370ff"/>
      </w:rPr>
    </w:lvl>
  </w:abstractNum>
  <w:abstractNum w:abstractNumId="47757">
    <w:lvl>
      <w:start w:val="8"/>
      <w:numFmt w:val="decimal"/>
      <w:suff w:val="tab"/>
      <w:lvlText w:val="%1."/>
      <w:rPr>
        <w:color w:val="3370ff"/>
      </w:rPr>
    </w:lvl>
  </w:abstractNum>
  <w:abstractNum w:abstractNumId="47758">
    <w:lvl>
      <w:start w:val="2"/>
      <w:numFmt w:val="lowerLetter"/>
      <w:suff w:val="tab"/>
      <w:lvlText w:val="%1."/>
      <w:rPr>
        <w:color w:val="3370ff"/>
      </w:rPr>
    </w:lvl>
  </w:abstractNum>
  <w:abstractNum w:abstractNumId="47759">
    <w:lvl>
      <w:start w:val="1"/>
      <w:numFmt w:val="lowerRoman"/>
      <w:suff w:val="tab"/>
      <w:lvlText w:val="%1."/>
      <w:rPr>
        <w:color w:val="3370ff"/>
      </w:rPr>
    </w:lvl>
  </w:abstractNum>
  <w:abstractNum w:abstractNumId="47760">
    <w:lvl>
      <w:start w:val="2"/>
      <w:numFmt w:val="decimal"/>
      <w:suff w:val="tab"/>
      <w:lvlText w:val="%1."/>
      <w:rPr>
        <w:color w:val="3370ff"/>
      </w:rPr>
    </w:lvl>
  </w:abstractNum>
  <w:abstractNum w:abstractNumId="47761">
    <w:lvl>
      <w:start w:val="3"/>
      <w:numFmt w:val="decimal"/>
      <w:suff w:val="tab"/>
      <w:lvlText w:val="%1."/>
      <w:rPr>
        <w:color w:val="3370ff"/>
      </w:rPr>
    </w:lvl>
  </w:abstractNum>
  <w:abstractNum w:abstractNumId="47762">
    <w:lvl>
      <w:start w:val="3"/>
      <w:numFmt w:val="lowerLetter"/>
      <w:suff w:val="tab"/>
      <w:lvlText w:val="%1."/>
      <w:rPr>
        <w:color w:val="3370ff"/>
      </w:rPr>
    </w:lvl>
  </w:abstractNum>
  <w:abstractNum w:abstractNumId="47763">
    <w:lvl>
      <w:start w:val="4"/>
      <w:numFmt w:val="lowerLetter"/>
      <w:suff w:val="tab"/>
      <w:lvlText w:val="%1."/>
      <w:rPr>
        <w:color w:val="3370ff"/>
      </w:rPr>
    </w:lvl>
  </w:abstractNum>
  <w:abstractNum w:abstractNumId="47764">
    <w:lvl>
      <w:start w:val="5"/>
      <w:numFmt w:val="lowerLetter"/>
      <w:suff w:val="tab"/>
      <w:lvlText w:val="%1."/>
      <w:rPr>
        <w:color w:val="3370ff"/>
      </w:rPr>
    </w:lvl>
  </w:abstractNum>
  <w:abstractNum w:abstractNumId="47765">
    <w:lvl>
      <w:start w:val="6"/>
      <w:numFmt w:val="lowerLetter"/>
      <w:suff w:val="tab"/>
      <w:lvlText w:val="%1."/>
      <w:rPr>
        <w:color w:val="3370ff"/>
      </w:rPr>
    </w:lvl>
  </w:abstractNum>
  <w:num w:numId="1">
    <w:abstractNumId w:val="47653"/>
  </w:num>
  <w:num w:numId="2">
    <w:abstractNumId w:val="47654"/>
  </w:num>
  <w:num w:numId="3">
    <w:abstractNumId w:val="47655"/>
  </w:num>
  <w:num w:numId="4">
    <w:abstractNumId w:val="47656"/>
  </w:num>
  <w:num w:numId="5">
    <w:abstractNumId w:val="47657"/>
  </w:num>
  <w:num w:numId="6">
    <w:abstractNumId w:val="47658"/>
  </w:num>
  <w:num w:numId="7">
    <w:abstractNumId w:val="47659"/>
  </w:num>
  <w:num w:numId="8">
    <w:abstractNumId w:val="47660"/>
  </w:num>
  <w:num w:numId="9">
    <w:abstractNumId w:val="47661"/>
  </w:num>
  <w:num w:numId="10">
    <w:abstractNumId w:val="47662"/>
  </w:num>
  <w:num w:numId="11">
    <w:abstractNumId w:val="47663"/>
  </w:num>
  <w:num w:numId="12">
    <w:abstractNumId w:val="47664"/>
  </w:num>
  <w:num w:numId="13">
    <w:abstractNumId w:val="47665"/>
  </w:num>
  <w:num w:numId="14">
    <w:abstractNumId w:val="47666"/>
  </w:num>
  <w:num w:numId="15">
    <w:abstractNumId w:val="47667"/>
  </w:num>
  <w:num w:numId="16">
    <w:abstractNumId w:val="47668"/>
  </w:num>
  <w:num w:numId="17">
    <w:abstractNumId w:val="47669"/>
  </w:num>
  <w:num w:numId="18">
    <w:abstractNumId w:val="47670"/>
  </w:num>
  <w:num w:numId="19">
    <w:abstractNumId w:val="47671"/>
  </w:num>
  <w:num w:numId="20">
    <w:abstractNumId w:val="47672"/>
  </w:num>
  <w:num w:numId="21">
    <w:abstractNumId w:val="47673"/>
  </w:num>
  <w:num w:numId="22">
    <w:abstractNumId w:val="47674"/>
  </w:num>
  <w:num w:numId="23">
    <w:abstractNumId w:val="47675"/>
  </w:num>
  <w:num w:numId="24">
    <w:abstractNumId w:val="47676"/>
  </w:num>
  <w:num w:numId="25">
    <w:abstractNumId w:val="47677"/>
  </w:num>
  <w:num w:numId="26">
    <w:abstractNumId w:val="47678"/>
  </w:num>
  <w:num w:numId="27">
    <w:abstractNumId w:val="47679"/>
  </w:num>
  <w:num w:numId="28">
    <w:abstractNumId w:val="47680"/>
  </w:num>
  <w:num w:numId="29">
    <w:abstractNumId w:val="47681"/>
  </w:num>
  <w:num w:numId="30">
    <w:abstractNumId w:val="47682"/>
  </w:num>
  <w:num w:numId="31">
    <w:abstractNumId w:val="47683"/>
  </w:num>
  <w:num w:numId="32">
    <w:abstractNumId w:val="47684"/>
  </w:num>
  <w:num w:numId="33">
    <w:abstractNumId w:val="47685"/>
  </w:num>
  <w:num w:numId="34">
    <w:abstractNumId w:val="47686"/>
  </w:num>
  <w:num w:numId="35">
    <w:abstractNumId w:val="47687"/>
  </w:num>
  <w:num w:numId="36">
    <w:abstractNumId w:val="47688"/>
  </w:num>
  <w:num w:numId="37">
    <w:abstractNumId w:val="47689"/>
  </w:num>
  <w:num w:numId="38">
    <w:abstractNumId w:val="47690"/>
  </w:num>
  <w:num w:numId="39">
    <w:abstractNumId w:val="47691"/>
  </w:num>
  <w:num w:numId="40">
    <w:abstractNumId w:val="47692"/>
  </w:num>
  <w:num w:numId="41">
    <w:abstractNumId w:val="47693"/>
  </w:num>
  <w:num w:numId="42">
    <w:abstractNumId w:val="47694"/>
  </w:num>
  <w:num w:numId="43">
    <w:abstractNumId w:val="47695"/>
  </w:num>
  <w:num w:numId="44">
    <w:abstractNumId w:val="47696"/>
  </w:num>
  <w:num w:numId="45">
    <w:abstractNumId w:val="47697"/>
  </w:num>
  <w:num w:numId="46">
    <w:abstractNumId w:val="47698"/>
  </w:num>
  <w:num w:numId="47">
    <w:abstractNumId w:val="47699"/>
  </w:num>
  <w:num w:numId="48">
    <w:abstractNumId w:val="47700"/>
  </w:num>
  <w:num w:numId="49">
    <w:abstractNumId w:val="47701"/>
  </w:num>
  <w:num w:numId="50">
    <w:abstractNumId w:val="47702"/>
  </w:num>
  <w:num w:numId="51">
    <w:abstractNumId w:val="47703"/>
  </w:num>
  <w:num w:numId="52">
    <w:abstractNumId w:val="47704"/>
  </w:num>
  <w:num w:numId="53">
    <w:abstractNumId w:val="47705"/>
  </w:num>
  <w:num w:numId="54">
    <w:abstractNumId w:val="47706"/>
  </w:num>
  <w:num w:numId="55">
    <w:abstractNumId w:val="47707"/>
  </w:num>
  <w:num w:numId="56">
    <w:abstractNumId w:val="47708"/>
  </w:num>
  <w:num w:numId="57">
    <w:abstractNumId w:val="47709"/>
  </w:num>
  <w:num w:numId="58">
    <w:abstractNumId w:val="47710"/>
  </w:num>
  <w:num w:numId="59">
    <w:abstractNumId w:val="47711"/>
  </w:num>
  <w:num w:numId="60">
    <w:abstractNumId w:val="47712"/>
  </w:num>
  <w:num w:numId="61">
    <w:abstractNumId w:val="47713"/>
  </w:num>
  <w:num w:numId="62">
    <w:abstractNumId w:val="47714"/>
  </w:num>
  <w:num w:numId="63">
    <w:abstractNumId w:val="47715"/>
  </w:num>
  <w:num w:numId="64">
    <w:abstractNumId w:val="47716"/>
  </w:num>
  <w:num w:numId="65">
    <w:abstractNumId w:val="47717"/>
  </w:num>
  <w:num w:numId="66">
    <w:abstractNumId w:val="47718"/>
  </w:num>
  <w:num w:numId="67">
    <w:abstractNumId w:val="47719"/>
  </w:num>
  <w:num w:numId="68">
    <w:abstractNumId w:val="47720"/>
  </w:num>
  <w:num w:numId="69">
    <w:abstractNumId w:val="47721"/>
  </w:num>
  <w:num w:numId="70">
    <w:abstractNumId w:val="47722"/>
  </w:num>
  <w:num w:numId="71">
    <w:abstractNumId w:val="47723"/>
  </w:num>
  <w:num w:numId="72">
    <w:abstractNumId w:val="47724"/>
  </w:num>
  <w:num w:numId="73">
    <w:abstractNumId w:val="47725"/>
  </w:num>
  <w:num w:numId="74">
    <w:abstractNumId w:val="47726"/>
  </w:num>
  <w:num w:numId="75">
    <w:abstractNumId w:val="47727"/>
  </w:num>
  <w:num w:numId="76">
    <w:abstractNumId w:val="47728"/>
  </w:num>
  <w:num w:numId="77">
    <w:abstractNumId w:val="47729"/>
  </w:num>
  <w:num w:numId="78">
    <w:abstractNumId w:val="47730"/>
  </w:num>
  <w:num w:numId="79">
    <w:abstractNumId w:val="47731"/>
  </w:num>
  <w:num w:numId="80">
    <w:abstractNumId w:val="47732"/>
  </w:num>
  <w:num w:numId="81">
    <w:abstractNumId w:val="47733"/>
  </w:num>
  <w:num w:numId="82">
    <w:abstractNumId w:val="47734"/>
  </w:num>
  <w:num w:numId="83">
    <w:abstractNumId w:val="47735"/>
  </w:num>
  <w:num w:numId="84">
    <w:abstractNumId w:val="47736"/>
  </w:num>
  <w:num w:numId="85">
    <w:abstractNumId w:val="47737"/>
  </w:num>
  <w:num w:numId="86">
    <w:abstractNumId w:val="47738"/>
  </w:num>
  <w:num w:numId="87">
    <w:abstractNumId w:val="47739"/>
  </w:num>
  <w:num w:numId="88">
    <w:abstractNumId w:val="47740"/>
  </w:num>
  <w:num w:numId="89">
    <w:abstractNumId w:val="47741"/>
  </w:num>
  <w:num w:numId="90">
    <w:abstractNumId w:val="47742"/>
  </w:num>
  <w:num w:numId="91">
    <w:abstractNumId w:val="47743"/>
  </w:num>
  <w:num w:numId="92">
    <w:abstractNumId w:val="47744"/>
  </w:num>
  <w:num w:numId="93">
    <w:abstractNumId w:val="47745"/>
  </w:num>
  <w:num w:numId="94">
    <w:abstractNumId w:val="47746"/>
  </w:num>
  <w:num w:numId="95">
    <w:abstractNumId w:val="47747"/>
  </w:num>
  <w:num w:numId="96">
    <w:abstractNumId w:val="47748"/>
  </w:num>
  <w:num w:numId="97">
    <w:abstractNumId w:val="47749"/>
  </w:num>
  <w:num w:numId="98">
    <w:abstractNumId w:val="47750"/>
  </w:num>
  <w:num w:numId="99">
    <w:abstractNumId w:val="47751"/>
  </w:num>
  <w:num w:numId="100">
    <w:abstractNumId w:val="47752"/>
  </w:num>
  <w:num w:numId="101">
    <w:abstractNumId w:val="47753"/>
  </w:num>
  <w:num w:numId="102">
    <w:abstractNumId w:val="47754"/>
  </w:num>
  <w:num w:numId="103">
    <w:abstractNumId w:val="47755"/>
  </w:num>
  <w:num w:numId="104">
    <w:abstractNumId w:val="47756"/>
  </w:num>
  <w:num w:numId="105">
    <w:abstractNumId w:val="47757"/>
  </w:num>
  <w:num w:numId="106">
    <w:abstractNumId w:val="47758"/>
  </w:num>
  <w:num w:numId="107">
    <w:abstractNumId w:val="47759"/>
  </w:num>
  <w:num w:numId="108">
    <w:abstractNumId w:val="47760"/>
  </w:num>
  <w:num w:numId="109">
    <w:abstractNumId w:val="47761"/>
  </w:num>
  <w:num w:numId="110">
    <w:abstractNumId w:val="47762"/>
  </w:num>
  <w:num w:numId="111">
    <w:abstractNumId w:val="47763"/>
  </w:num>
  <w:num w:numId="112">
    <w:abstractNumId w:val="47764"/>
  </w:num>
  <w:num w:numId="113">
    <w:abstractNumId w:val="4776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2025-12-10T07:49:22Z</dcterms:created>
  <dc:creator>Apache POI</dc:creator>
</cp:coreProperties>
</file>