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V1112-2025-广告发布合同补充协议（媒体政策变更）-美金-中英文 (2)</w:t>
      </w:r>
    </w:p>
    <w:p>
      <w:pPr>
        <w:spacing w:before="120" w:after="120" w:line="288" w:lineRule="auto"/>
        <w:ind w:left="0" w:firstLine="0"/>
        <w:jc w:val="center"/>
      </w:pPr>
      <w:r>
        <w:rPr>
          <w:rFonts w:eastAsia="等线" w:ascii="Arial" w:cs="Arial" w:hAnsi="Arial"/>
          <w:b w:val="true"/>
          <w:sz w:val="22"/>
        </w:rPr>
        <w:t>《广告发布合同》补充协议</w:t>
      </w:r>
    </w:p>
    <w:p>
      <w:pPr>
        <w:spacing w:before="120" w:after="120" w:line="288" w:lineRule="auto"/>
        <w:ind w:left="0" w:firstLine="0"/>
        <w:jc w:val="center"/>
      </w:pPr>
      <w:r>
        <w:rPr>
          <w:rFonts w:eastAsia="等线" w:ascii="Arial" w:cs="Arial" w:hAnsi="Arial"/>
          <w:b w:val="true"/>
          <w:sz w:val="22"/>
        </w:rPr>
        <w:t>Supplementary Agreement of the Advertisement Placement Contract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p>
    <w:p>
      <w:pPr>
        <w:spacing w:before="120" w:after="120" w:line="288" w:lineRule="auto"/>
        <w:ind w:left="0" w:firstLine="0"/>
        <w:jc w:val="left"/>
      </w:pPr>
      <w:r>
        <w:rPr>
          <w:rFonts w:eastAsia="等线" w:ascii="Arial" w:cs="Arial" w:hAnsi="Arial"/>
          <w:b w:val="true"/>
          <w:sz w:val="22"/>
        </w:rPr>
        <w:t>Party A:</w:t>
      </w:r>
    </w:p>
    <w:p>
      <w:pPr>
        <w:spacing w:before="120" w:after="120" w:line="288" w:lineRule="auto"/>
        <w:ind w:left="0" w:firstLine="0"/>
        <w:jc w:val="left"/>
      </w:pPr>
      <w:r>
        <w:rPr>
          <w:rFonts w:eastAsia="等线" w:ascii="Arial" w:cs="Arial" w:hAnsi="Arial"/>
          <w:b w:val="true"/>
          <w:sz w:val="22"/>
        </w:rPr>
        <w:t>地址：</w:t>
      </w:r>
    </w:p>
    <w:p>
      <w:pPr>
        <w:spacing w:before="120" w:after="120" w:line="288" w:lineRule="auto"/>
        <w:ind w:left="0" w:firstLine="0"/>
        <w:jc w:val="left"/>
      </w:pPr>
      <w:r>
        <w:rPr>
          <w:rFonts w:eastAsia="等线" w:ascii="Arial" w:cs="Arial" w:hAnsi="Arial"/>
          <w:b w:val="true"/>
          <w:sz w:val="22"/>
        </w:rPr>
        <w:t xml:space="preserve">Address: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w:t>
      </w:r>
    </w:p>
    <w:p>
      <w:pPr>
        <w:spacing w:before="120" w:after="120" w:line="288" w:lineRule="auto"/>
        <w:ind w:left="0" w:firstLine="0"/>
        <w:jc w:val="left"/>
      </w:pPr>
      <w:r>
        <w:rPr>
          <w:rFonts w:eastAsia="等线" w:ascii="Arial" w:cs="Arial" w:hAnsi="Arial"/>
          <w:b w:val="true"/>
          <w:sz w:val="22"/>
        </w:rPr>
        <w:t>Party B:</w:t>
      </w:r>
    </w:p>
    <w:p>
      <w:pPr>
        <w:spacing w:before="120" w:after="120" w:line="288" w:lineRule="auto"/>
        <w:ind w:left="0" w:firstLine="0"/>
        <w:jc w:val="left"/>
      </w:pPr>
      <w:r>
        <w:rPr>
          <w:rFonts w:eastAsia="等线" w:ascii="Arial" w:cs="Arial" w:hAnsi="Arial"/>
          <w:b w:val="true"/>
          <w:sz w:val="22"/>
        </w:rPr>
        <w:t>地址：</w:t>
      </w:r>
    </w:p>
    <w:p>
      <w:pPr>
        <w:spacing w:before="120" w:after="120" w:line="288" w:lineRule="auto"/>
        <w:ind w:left="0" w:firstLine="0"/>
        <w:jc w:val="left"/>
      </w:pPr>
      <w:r>
        <w:rPr>
          <w:rFonts w:eastAsia="等线" w:ascii="Arial" w:cs="Arial" w:hAnsi="Arial"/>
          <w:b w:val="true"/>
          <w:sz w:val="22"/>
        </w:rPr>
        <w:t xml:space="preserve">Address: </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鉴于：【】年【】月【】日，甲乙双方签署了《广告发布合同》及相关条款与政策，（下称“原合同”），原合同约定甲方委托乙方在【 】平台进行广告发布服务。合同期限为自【】年【】月【】日起至【】年【】月【】日止。</w:t>
      </w:r>
    </w:p>
    <w:p>
      <w:pPr>
        <w:spacing w:before="120" w:after="120" w:line="288" w:lineRule="auto"/>
        <w:ind w:left="0" w:firstLine="420"/>
        <w:jc w:val="left"/>
      </w:pPr>
      <w:r>
        <w:rPr>
          <w:rFonts w:eastAsia="等线" w:ascii="Arial" w:cs="Arial" w:hAnsi="Arial"/>
          <w:sz w:val="22"/>
        </w:rPr>
        <w:t>Whereas: Party A and Party B has entered into the Advertisement Placement Contract on 【(day)  (month)  (year)】 (collectively as the “Original Contract”), which specifies that the Party A shall provide advertisement placement service on the platform (the "media") of 【】. Cooperation period: from  (day)   (month)  (year) to  (day)  (month)  (year).</w:t>
      </w:r>
    </w:p>
    <w:p>
      <w:pPr>
        <w:spacing w:before="120" w:after="120" w:line="288" w:lineRule="auto"/>
        <w:ind w:left="0" w:firstLine="420"/>
        <w:jc w:val="left"/>
      </w:pPr>
    </w:p>
    <w:p>
      <w:pPr>
        <w:numPr>
          <w:numId w:val="1"/>
        </w:numPr>
        <w:spacing w:before="120" w:after="120" w:line="288" w:lineRule="auto"/>
        <w:ind w:left="453"/>
        <w:jc w:val="left"/>
      </w:pPr>
      <w:r>
        <w:rPr>
          <w:rFonts w:eastAsia="等线" w:ascii="Arial" w:cs="Arial" w:hAnsi="Arial"/>
          <w:sz w:val="22"/>
        </w:rPr>
        <w:t>双方自【】年【】月【】日起变更原合同中关于 “广告发布合同政策” 的相关条款，变更后内容如下：</w:t>
      </w:r>
    </w:p>
    <w:p>
      <w:pPr>
        <w:spacing w:before="120" w:after="120" w:line="288" w:lineRule="auto"/>
        <w:ind w:left="0" w:firstLine="420"/>
        <w:jc w:val="left"/>
      </w:pPr>
      <w:r>
        <w:rPr>
          <w:rFonts w:eastAsia="等线" w:ascii="Arial" w:cs="Arial" w:hAnsi="Arial"/>
          <w:sz w:val="22"/>
        </w:rPr>
        <w:t xml:space="preserve">Party A and Party B hereby agree to enter into a supplementary agreement (“this Agreement”) of the Original Contract on 【(day)   (month)   (year)】each party hereby agree on the specific matters relating to Policies for Advertising of Original Contract as follows: </w:t>
      </w:r>
    </w:p>
    <w:p>
      <w:pPr>
        <w:spacing w:before="120" w:after="120" w:line="288" w:lineRule="auto"/>
        <w:ind w:left="0" w:firstLine="420"/>
        <w:jc w:val="left"/>
      </w:pPr>
    </w:p>
    <w:p>
      <w:pPr>
        <w:numPr>
          <w:numId w:val="2"/>
        </w:numPr>
        <w:spacing w:before="120" w:after="120" w:line="288" w:lineRule="auto"/>
        <w:ind w:left="0"/>
        <w:jc w:val="left"/>
      </w:pPr>
      <w:r>
        <w:rPr>
          <w:rFonts w:eastAsia="等线" w:ascii="Arial" w:cs="Arial" w:hAnsi="Arial"/>
          <w:b w:val="true"/>
          <w:sz w:val="22"/>
        </w:rPr>
        <w:t>媒体平台投放政策：</w:t>
      </w:r>
    </w:p>
    <w:p>
      <w:pPr>
        <w:spacing w:before="120" w:after="120" w:line="288" w:lineRule="auto"/>
        <w:ind w:left="0" w:firstLine="420"/>
        <w:jc w:val="left"/>
      </w:pPr>
      <w:r>
        <w:rPr>
          <w:rFonts w:eastAsia="等线" w:ascii="Arial" w:cs="Arial" w:hAnsi="Arial"/>
          <w:b w:val="true"/>
          <w:sz w:val="22"/>
        </w:rPr>
        <w:t>Media platform policy</w:t>
      </w:r>
    </w:p>
    <w:p>
      <w:pPr>
        <w:pStyle w:val="3"/>
        <w:spacing w:before="300" w:after="120" w:line="288" w:lineRule="auto"/>
        <w:ind w:left="0"/>
        <w:jc w:val="left"/>
        <w:outlineLvl w:val="2"/>
      </w:pPr>
      <w:bookmarkStart w:name="heading_0" w:id="0"/>
      <w:r>
        <w:rPr>
          <w:rFonts w:eastAsia="等线" w:ascii="Arial" w:cs="Arial" w:hAnsi="Arial"/>
          <w:b w:val="true"/>
          <w:sz w:val="30"/>
        </w:rPr>
        <w:t>一、媒体政策</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 xml:space="preserve">Media Policies </w:t>
      </w:r>
      <w:bookmarkEnd w:id="1"/>
    </w:p>
    <w:p>
      <w:pPr>
        <w:spacing w:before="120" w:after="120" w:line="288" w:lineRule="auto"/>
        <w:ind w:left="0" w:firstLine="420"/>
        <w:jc w:val="left"/>
      </w:pPr>
      <w:r>
        <w:rPr>
          <w:rFonts w:eastAsia="等线" w:ascii="Arial" w:cs="Arial" w:hAnsi="Arial"/>
          <w:b w:val="true"/>
          <w:sz w:val="22"/>
        </w:rPr>
        <w:t>本合同适用【】媒体政策</w:t>
      </w:r>
    </w:p>
    <w:p>
      <w:pPr>
        <w:spacing w:before="120" w:after="120" w:line="288" w:lineRule="auto"/>
        <w:ind w:left="0" w:firstLine="420"/>
        <w:jc w:val="left"/>
      </w:pPr>
      <w:r>
        <w:rPr>
          <w:rFonts w:eastAsia="等线" w:ascii="Arial" w:cs="Arial" w:hAnsi="Arial"/>
          <w:b w:val="true"/>
          <w:sz w:val="22"/>
        </w:rPr>
        <w:t>This contract applies the [     ] media policies.</w:t>
      </w:r>
    </w:p>
    <w:p>
      <w:pPr>
        <w:pStyle w:val="4"/>
        <w:spacing w:before="260" w:after="120" w:line="288" w:lineRule="auto"/>
        <w:ind w:left="0"/>
        <w:jc w:val="left"/>
        <w:outlineLvl w:val="3"/>
      </w:pPr>
      <w:bookmarkStart w:name="heading_2" w:id="2"/>
      <w:r>
        <w:rPr>
          <w:rFonts w:eastAsia="等线" w:ascii="Arial" w:cs="Arial" w:hAnsi="Arial"/>
          <w:color w:val="3370ff"/>
          <w:sz w:val="28"/>
        </w:rPr>
        <w:t xml:space="preserve">1. </w:t>
      </w:r>
      <w:r>
        <w:rPr>
          <w:rFonts w:eastAsia="等线" w:ascii="Arial" w:cs="Arial" w:hAnsi="Arial"/>
          <w:b w:val="true"/>
          <w:sz w:val="28"/>
        </w:rPr>
        <w:t>Meta（Facebook）</w:t>
      </w:r>
      <w:bookmarkEnd w:id="2"/>
    </w:p>
    <w:p>
      <w:pPr>
        <w:spacing w:before="120" w:after="120" w:line="288" w:lineRule="auto"/>
        <w:ind w:left="0" w:firstLine="0"/>
        <w:jc w:val="left"/>
      </w:pPr>
      <w:r>
        <w:rPr>
          <w:rFonts w:eastAsia="等线" w:ascii="Arial" w:cs="Arial" w:hAnsi="Arial"/>
          <w:sz w:val="22"/>
        </w:rPr>
        <w:t>1.1甲方需遵循媒体广告政策规范规定进行广告投放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Party A shall abide by the media advertising policies, and Party B shall have the right to supervise and inspect Party A's advertising. Party A shall be obliged to implement its advertising placement in accordance with the media policies provided by Party B. Otherwise, Party A shall bear the losses incurred due to violation of media policies.</w:t>
      </w:r>
    </w:p>
    <w:p>
      <w:pPr>
        <w:spacing w:before="120" w:after="120" w:line="288" w:lineRule="auto"/>
        <w:ind w:left="0" w:firstLine="0"/>
        <w:jc w:val="left"/>
      </w:pPr>
      <w:r>
        <w:rPr>
          <w:rFonts w:eastAsia="等线" w:ascii="Arial" w:cs="Arial" w:hAnsi="Arial"/>
          <w:sz w:val="22"/>
        </w:rPr>
        <w:t>1.2如甲方账户违反Facebook平台的广告准则、隐私政策或使用规则、程序或本协议的约定，则该账户视为排除账户。每出现一次排除账户，Facebook平台有权根据情节严重性采取包括不限于关停账户、警告、扣除返点等处罚措施。因甲方违规操作导致Facebook平台处罚的，甲方应独自承担上述处罚的不利后果，如因情节严重，造成Facebook额外的罚金，甲方也应独自承担处罚。因政策更新导致的损失，乙方有向甲方追究损失的权利。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r>
        <w:rPr>
          <w:rFonts w:eastAsia="等线" w:ascii="Arial" w:cs="Arial" w:hAnsi="Arial"/>
          <w:sz w:val="22"/>
        </w:rPr>
        <w:t>Party A's account shall be deemed to be an excluded account if Party A breaches the Facebook platform's advertising guidelines, privacy policies or rules of use, procedures or this agreement. For every time Party A's account constitutes an excluded account, the Facebook platform will have the right to impose penal measures including but not limited to closing the account, warning and deducting the rebates, depending on the seriousness of the violation. Party A shall bear independently the adverse consequences of the above-mentioned penalty if Party A violates the rules and regulations. If Party A’s serious actions result in additional fines by Facebook, Party A shall bear such additional fines on its own. Party B shall have the right to claim from Party A losses caused by any policy update. In the event of any above-mentioned case, Party B shall have the right to deduct the corresponding fine from Party A's account, or to request Party A to pay the fine to the designated account of Party B within 10 working days from the date Party B sending out email notifying fines due to breaching advertisement placement.</w:t>
      </w:r>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2. </w:t>
      </w:r>
      <w:r>
        <w:rPr>
          <w:rFonts w:eastAsia="等线" w:ascii="Arial" w:cs="Arial" w:hAnsi="Arial"/>
          <w:b w:val="true"/>
          <w:sz w:val="28"/>
        </w:rPr>
        <w:t>Google</w:t>
      </w:r>
      <w:bookmarkEnd w:id="3"/>
    </w:p>
    <w:p>
      <w:pPr>
        <w:spacing w:before="120" w:after="120" w:line="288" w:lineRule="auto"/>
        <w:ind w:left="0" w:firstLine="0"/>
        <w:jc w:val="left"/>
      </w:pPr>
      <w:r>
        <w:rPr>
          <w:rFonts w:eastAsia="等线" w:ascii="Arial" w:cs="Arial" w:hAnsi="Arial"/>
          <w:sz w:val="22"/>
        </w:rPr>
        <w:t>以Google媒体的政策为准。</w:t>
      </w:r>
    </w:p>
    <w:p>
      <w:pPr>
        <w:spacing w:before="120" w:after="120" w:line="288" w:lineRule="auto"/>
        <w:ind w:left="0" w:firstLine="0"/>
        <w:jc w:val="left"/>
      </w:pPr>
      <w:r>
        <w:rPr>
          <w:rFonts w:eastAsia="等线" w:ascii="Arial" w:cs="Arial" w:hAnsi="Arial"/>
          <w:sz w:val="22"/>
        </w:rPr>
        <w:t>Google media's policies shall govern.</w:t>
      </w:r>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3. </w:t>
      </w:r>
      <w:r>
        <w:rPr>
          <w:rFonts w:eastAsia="等线" w:ascii="Arial" w:cs="Arial" w:hAnsi="Arial"/>
          <w:b w:val="true"/>
          <w:sz w:val="28"/>
        </w:rPr>
        <w:t>Twitter（X）</w:t>
      </w:r>
      <w:bookmarkEnd w:id="4"/>
    </w:p>
    <w:p>
      <w:pPr>
        <w:spacing w:before="120" w:after="120" w:line="288" w:lineRule="auto"/>
        <w:ind w:left="0" w:firstLine="0"/>
        <w:jc w:val="left"/>
      </w:pPr>
      <w:r>
        <w:rPr>
          <w:rFonts w:eastAsia="等线" w:ascii="Arial" w:cs="Arial" w:hAnsi="Arial"/>
          <w:sz w:val="22"/>
        </w:rPr>
        <w:t>甲方认可因媒体回滚造成的广告费用，甲方需按照媒体账单支付广告费用。</w:t>
      </w:r>
    </w:p>
    <w:p>
      <w:pPr>
        <w:spacing w:before="120" w:after="120" w:line="288" w:lineRule="auto"/>
        <w:ind w:left="0" w:firstLine="0"/>
        <w:jc w:val="left"/>
      </w:pPr>
      <w:r>
        <w:rPr>
          <w:rFonts w:eastAsia="等线" w:ascii="Arial" w:cs="Arial" w:hAnsi="Arial"/>
          <w:sz w:val="22"/>
        </w:rPr>
        <w:t>Party A agrees to pay for the advertising costs caused by the media roll-back display. Party A shall pay the advertising costs based on the media’s bill.</w:t>
      </w:r>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4. </w:t>
      </w:r>
      <w:r>
        <w:rPr>
          <w:rFonts w:eastAsia="等线" w:ascii="Arial" w:cs="Arial" w:hAnsi="Arial"/>
          <w:b w:val="true"/>
          <w:sz w:val="28"/>
        </w:rPr>
        <w:t>TikTok</w:t>
      </w:r>
      <w:bookmarkEnd w:id="5"/>
    </w:p>
    <w:p>
      <w:pPr>
        <w:spacing w:before="120" w:after="120" w:line="288" w:lineRule="auto"/>
        <w:ind w:left="0" w:firstLine="0"/>
        <w:jc w:val="left"/>
      </w:pPr>
      <w:r>
        <w:rPr>
          <w:rFonts w:eastAsia="等线" w:ascii="Arial" w:cs="Arial" w:hAnsi="Arial"/>
          <w:sz w:val="22"/>
        </w:rPr>
        <w:t>4.1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Party A shall abide by the media advertising policies（including but not limited &lt;TikTok Advertising Policies which website is https://ads.TikTok.com/help/article?aid=9550）, and Party B shall have the right to supervise and inspect Party A's advertising. Party A shall be obliged to implement its advertising placement in accordance with the media policies provided by Party B. Otherwise, Party A shall bear the losses incurred due to violation of media policies.</w:t>
      </w:r>
    </w:p>
    <w:p>
      <w:pPr>
        <w:spacing w:before="120" w:after="120" w:line="288" w:lineRule="auto"/>
        <w:ind w:left="0" w:firstLine="0"/>
        <w:jc w:val="left"/>
      </w:pPr>
      <w:r>
        <w:rPr>
          <w:rFonts w:eastAsia="等线" w:ascii="Arial" w:cs="Arial" w:hAnsi="Arial"/>
          <w:sz w:val="22"/>
        </w:rPr>
        <w:t>4.2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0"/>
        <w:jc w:val="left"/>
      </w:pPr>
      <w:r>
        <w:rPr>
          <w:rFonts w:eastAsia="等线" w:ascii="Arial" w:cs="Arial" w:hAnsi="Arial"/>
          <w:sz w:val="22"/>
        </w:rPr>
        <w:t>If Party A publish an advertisement that is prohibited by law , or may lead to the risk of violation of laws and regulations, or may seriously violate public order and customs, or break the relevant rules of TikTok’s policy, TikTok shall have the right, including but not limited to take the advertising offline , close the advertising account, cancel the rebates, non-refund of all advertising account balances, penalties for liquidated damage, etc.</w:t>
      </w:r>
    </w:p>
    <w:p>
      <w:pPr>
        <w:spacing w:before="120" w:after="120" w:line="288" w:lineRule="auto"/>
        <w:ind w:left="0" w:firstLine="0"/>
        <w:jc w:val="left"/>
      </w:pPr>
      <w:r>
        <w:rPr>
          <w:rFonts w:eastAsia="等线" w:ascii="Arial" w:cs="Arial" w:hAnsi="Arial"/>
          <w:sz w:val="22"/>
        </w:rPr>
        <w:t>4.3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r>
        <w:rPr>
          <w:rFonts w:eastAsia="等线" w:ascii="Arial" w:cs="Arial" w:hAnsi="Arial"/>
          <w:sz w:val="22"/>
        </w:rPr>
        <w:t>Party A shall bear independently the adverse consequences of the above-mentioned penalty if Party A violates the rules and regulations. If Party A’s serious actions result in additional fines by TikTok, Party A shall bear such additional fines on its own. Party B shall have the right to claim from Party A losses caused by any policy update. In the event of any above-mentioned case, Party B shall have the right to deduct the corresponding fine from Party A's account, or to request Party A to pay the fine to the designated account of Party B within 10 working days from the date Party B sending out email notifying fines due to breaching advertisement placement.</w:t>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5. </w:t>
      </w:r>
      <w:r>
        <w:rPr>
          <w:rFonts w:eastAsia="等线" w:ascii="Arial" w:cs="Arial" w:hAnsi="Arial"/>
          <w:b w:val="true"/>
          <w:sz w:val="28"/>
        </w:rPr>
        <w:t>其他媒体</w:t>
      </w:r>
      <w:bookmarkEnd w:id="6"/>
    </w:p>
    <w:p>
      <w:pPr>
        <w:spacing w:before="120" w:after="120" w:line="288" w:lineRule="auto"/>
        <w:ind w:left="0" w:firstLine="0"/>
        <w:jc w:val="left"/>
      </w:pPr>
      <w:r>
        <w:rPr>
          <w:rFonts w:eastAsia="等线" w:ascii="Arial" w:cs="Arial" w:hAnsi="Arial"/>
          <w:sz w:val="22"/>
        </w:rPr>
        <w:t>以投放媒体的政策为准。</w:t>
      </w:r>
    </w:p>
    <w:p>
      <w:pPr>
        <w:spacing w:before="120" w:after="120" w:line="288" w:lineRule="auto"/>
        <w:ind w:left="0" w:firstLine="0"/>
        <w:jc w:val="left"/>
      </w:pPr>
      <w:r>
        <w:rPr>
          <w:rFonts w:eastAsia="等线" w:ascii="Arial" w:cs="Arial" w:hAnsi="Arial"/>
          <w:sz w:val="22"/>
        </w:rPr>
        <w:t>The policies of the placement media shall govern.</w:t>
      </w:r>
    </w:p>
    <w:p>
      <w:pPr>
        <w:pStyle w:val="3"/>
        <w:spacing w:before="300" w:after="120" w:line="288" w:lineRule="auto"/>
        <w:ind w:left="0"/>
        <w:jc w:val="left"/>
        <w:outlineLvl w:val="2"/>
      </w:pPr>
      <w:bookmarkStart w:name="heading_7" w:id="7"/>
      <w:r>
        <w:rPr>
          <w:rFonts w:eastAsia="等线" w:ascii="Arial" w:cs="Arial" w:hAnsi="Arial"/>
          <w:b w:val="true"/>
          <w:sz w:val="30"/>
        </w:rPr>
        <w:t>二、返点政策</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Rebates policy</w:t>
      </w:r>
      <w:bookmarkEnd w:id="8"/>
    </w:p>
    <w:p>
      <w:pPr>
        <w:pStyle w:val="4"/>
        <w:spacing w:before="260" w:after="120" w:line="288" w:lineRule="auto"/>
        <w:ind w:left="0"/>
        <w:jc w:val="left"/>
        <w:outlineLvl w:val="3"/>
      </w:pPr>
      <w:bookmarkStart w:name="heading_9" w:id="9"/>
      <w:r>
        <w:rPr>
          <w:rFonts w:eastAsia="等线" w:ascii="Arial" w:cs="Arial" w:hAnsi="Arial"/>
          <w:b w:val="true"/>
          <w:sz w:val="28"/>
        </w:rPr>
        <w:t>本合同适用以下第【】种返点政策</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This contract applies the following [     ] type of rebates policies.</w:t>
      </w:r>
      <w:bookmarkEnd w:id="10"/>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6. </w:t>
      </w:r>
      <w:r>
        <w:rPr>
          <w:rFonts w:eastAsia="等线" w:ascii="Arial" w:cs="Arial" w:hAnsi="Arial"/>
          <w:b w:val="true"/>
          <w:sz w:val="28"/>
        </w:rPr>
        <w:t>Meta（Facebook）</w:t>
      </w:r>
      <w:bookmarkEnd w:id="11"/>
    </w:p>
    <w:p>
      <w:pPr>
        <w:spacing w:before="120" w:after="120" w:line="288" w:lineRule="auto"/>
        <w:ind w:left="0" w:firstLine="420"/>
        <w:jc w:val="left"/>
      </w:pPr>
      <w:r>
        <w:rPr>
          <w:rFonts w:eastAsia="等线" w:ascii="Arial" w:cs="Arial" w:hAnsi="Arial"/>
          <w:sz w:val="22"/>
        </w:rPr>
        <w:t>1.1甲方明确知悉并同意：甲方向乙方按时支付全额广告发布费后，乙方将根据甲方实际支付的广告发布费总额以及所属账户的标准等级向甲方结算返点。媒体将按照自然月度更新标准等级名单（Booklist），甲方账户当月度的返点比例将按照甲方账户当月度在媒体处判定的标准等级计算。</w:t>
      </w:r>
    </w:p>
    <w:p>
      <w:pPr>
        <w:spacing w:before="120" w:after="120" w:line="288" w:lineRule="auto"/>
        <w:ind w:left="0" w:firstLine="420"/>
        <w:jc w:val="left"/>
      </w:pPr>
      <w:r>
        <w:rPr>
          <w:rFonts w:eastAsia="等线" w:ascii="Arial" w:cs="Arial" w:hAnsi="Arial"/>
          <w:sz w:val="22"/>
        </w:rPr>
        <w:t>Party A explicitly acknowledges and consents that Party B will rebate to Party A based on the total amount of advertising fee actually paid and the standard grade of the affiliated account，after Party A pays the full advertising release fee to Party B on time, The media will update the standard grade list (Booklist) on a monthly basis as per nature. The rebate of Party A's account for the current month will be calculated in accordance with the standard grade determined by the media for Party A's account in the current month.</w:t>
      </w:r>
    </w:p>
    <w:p>
      <w:pPr>
        <w:spacing w:before="120" w:after="120" w:line="288" w:lineRule="auto"/>
        <w:ind w:left="0" w:firstLine="420"/>
        <w:jc w:val="left"/>
      </w:pPr>
      <w:r>
        <w:rPr>
          <w:rFonts w:eastAsia="等线" w:ascii="Arial" w:cs="Arial" w:hAnsi="Arial"/>
          <w:sz w:val="22"/>
        </w:rPr>
        <w:t>1.2媒体判断甲方的合并主体（ultimate_parent_name）符合如下标准等级的，则可对应获得如下返点奖励，金额最终以媒体判定为准：</w:t>
      </w:r>
    </w:p>
    <w:p>
      <w:pPr>
        <w:spacing w:before="120" w:after="120" w:line="288" w:lineRule="auto"/>
        <w:ind w:left="0" w:firstLine="420"/>
        <w:jc w:val="left"/>
      </w:pPr>
      <w:r>
        <w:rPr>
          <w:rFonts w:eastAsia="等线" w:ascii="Arial" w:cs="Arial" w:hAnsi="Arial"/>
          <w:sz w:val="22"/>
        </w:rPr>
        <w:t>If the media determines that the ultimate parent of the Party A meets the following criteria, the corresponding rebate can be obtained, and the final amount will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p>
            <w:pPr>
              <w:spacing w:before="120" w:after="120" w:line="288" w:lineRule="auto"/>
              <w:ind w:left="0"/>
              <w:jc w:val="center"/>
            </w:pPr>
            <w:r>
              <w:rPr>
                <w:rFonts w:eastAsia="等线" w:ascii="Arial" w:cs="Arial" w:hAnsi="Arial"/>
                <w:sz w:val="22"/>
              </w:rPr>
              <w:t>Ultimate parent standard grade</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sz w:val="22"/>
              </w:rPr>
              <w:t>Rebate percentage</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Managed Advertiser</w:t>
      </w:r>
      <w:r>
        <w:rPr>
          <w:rFonts w:eastAsia="等线" w:ascii="Arial" w:cs="Arial" w:hAnsi="Arial"/>
          <w:sz w:val="22"/>
        </w:rPr>
        <w:t>：即大中型且有直客管理的合并主体，以Meta实时更新的分类为准；</w:t>
      </w:r>
    </w:p>
    <w:p>
      <w:pPr>
        <w:spacing w:before="120" w:after="120" w:line="288" w:lineRule="auto"/>
        <w:ind w:left="0" w:firstLine="420"/>
        <w:jc w:val="left"/>
      </w:pPr>
      <w:r>
        <w:rPr>
          <w:rFonts w:eastAsia="等线" w:ascii="Arial" w:cs="Arial" w:hAnsi="Arial"/>
          <w:sz w:val="22"/>
        </w:rPr>
        <w:t>*Managed Advertiser：The large and medium-sized ultimate parent with direct customer management, classified in accordance with the real-time updates of Meta</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Unmanaged Advertiser</w:t>
      </w:r>
      <w:r>
        <w:rPr>
          <w:rFonts w:eastAsia="等线" w:ascii="Arial" w:cs="Arial" w:hAnsi="Arial"/>
          <w:sz w:val="22"/>
        </w:rPr>
        <w:t>：即无直客管理的合并主体，以Meta实时更新的分类为准。</w:t>
      </w:r>
    </w:p>
    <w:p>
      <w:pPr>
        <w:spacing w:before="120" w:after="120" w:line="288" w:lineRule="auto"/>
        <w:ind w:left="0" w:firstLine="420"/>
        <w:jc w:val="left"/>
      </w:pPr>
      <w:r>
        <w:rPr>
          <w:rFonts w:eastAsia="等线" w:ascii="Arial" w:cs="Arial" w:hAnsi="Arial"/>
          <w:sz w:val="22"/>
        </w:rPr>
        <w:t>*Unmanaged Advertiser：The ultimate parent without direct customer management, classified in accordance with the real-time updates of Meta;</w:t>
      </w:r>
    </w:p>
    <w:p>
      <w:pPr>
        <w:spacing w:before="120" w:after="120" w:line="288" w:lineRule="auto"/>
        <w:ind w:left="0" w:firstLine="420"/>
        <w:jc w:val="left"/>
      </w:pPr>
      <w:r>
        <w:rPr>
          <w:rFonts w:eastAsia="等线" w:ascii="Arial" w:cs="Arial" w:hAnsi="Arial"/>
          <w:sz w:val="22"/>
        </w:rPr>
        <w:t>1.3甲方确认，任一合并主体下的广告账户如被媒体判定为Disabled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spacing w:before="120" w:after="120" w:line="288" w:lineRule="auto"/>
        <w:ind w:left="0" w:firstLine="420"/>
        <w:jc w:val="left"/>
      </w:pPr>
      <w:r>
        <w:rPr>
          <w:rFonts w:eastAsia="等线" w:ascii="Arial" w:cs="Arial" w:hAnsi="Arial"/>
          <w:sz w:val="22"/>
        </w:rPr>
        <w:t>Party A confirms that if the advertising accounts under any ultimate parent is judged by the media as a Disabled Ad Account, then Party B has the right to cancel the full rebate for the quarter of the blocked account. Furthermore, if the consumption of the account identified by the media as "Disabled Ad Account" accounts for 15% or more of the total consumption of all accounts, then Party B is entitled to revoke the rebate for all of Party A's accounts in the current quarter.</w:t>
      </w:r>
    </w:p>
    <w:p>
      <w:pPr>
        <w:spacing w:before="120" w:after="120" w:line="288" w:lineRule="auto"/>
        <w:ind w:left="0" w:firstLine="420"/>
        <w:jc w:val="left"/>
      </w:pPr>
      <w:r>
        <w:rPr>
          <w:rFonts w:eastAsia="等线" w:ascii="Arial" w:cs="Arial" w:hAnsi="Arial"/>
          <w:sz w:val="22"/>
        </w:rPr>
        <w:t>1.4甲方已悉知针对Meta不提供返点部分的消耗金额或Meta单方面决定不给予返点的，乙方也有权不向甲方提供任何返点。</w:t>
      </w:r>
    </w:p>
    <w:p>
      <w:pPr>
        <w:spacing w:before="120" w:after="120" w:line="288" w:lineRule="auto"/>
        <w:ind w:left="0" w:firstLine="420"/>
        <w:jc w:val="left"/>
      </w:pPr>
      <w:r>
        <w:rPr>
          <w:rFonts w:eastAsia="等线" w:ascii="Arial" w:cs="Arial" w:hAnsi="Arial"/>
          <w:sz w:val="22"/>
        </w:rPr>
        <w:t>Party A is aware that in case Meta does not provide rebates for the consumption amount or if Meta unilaterally decides not to provide rebates, Party B also has the right not to provide any rebates to Party A</w:t>
      </w:r>
    </w:p>
    <w:p>
      <w:pPr>
        <w:spacing w:before="120" w:after="120" w:line="288" w:lineRule="auto"/>
        <w:ind w:left="0" w:firstLine="420"/>
        <w:jc w:val="left"/>
      </w:pPr>
      <w:r>
        <w:rPr>
          <w:rFonts w:eastAsia="等线" w:ascii="Arial" w:cs="Arial" w:hAnsi="Arial"/>
          <w:sz w:val="22"/>
        </w:rPr>
        <w:t>1.5甲方如使用非中国大陆主体开户投放的，以及被Meta媒体认为运营或实控主体不符合条件等情况的，则无任何返点。</w:t>
      </w:r>
    </w:p>
    <w:p>
      <w:pPr>
        <w:spacing w:before="120" w:after="120" w:line="288" w:lineRule="auto"/>
        <w:ind w:left="0" w:firstLine="420"/>
        <w:jc w:val="left"/>
      </w:pPr>
      <w:r>
        <w:rPr>
          <w:rFonts w:eastAsia="等线" w:ascii="Arial" w:cs="Arial" w:hAnsi="Arial"/>
          <w:sz w:val="22"/>
        </w:rPr>
        <w:t>If Party A uses an account opened by a non-mainland China entity or is deemed by Meta to have an operating or controlling entity that does not meet the conditions, there will be no rebates at all.</w:t>
      </w:r>
    </w:p>
    <w:p>
      <w:pPr>
        <w:spacing w:before="120" w:after="120" w:line="288" w:lineRule="auto"/>
        <w:ind w:left="0" w:firstLine="420"/>
        <w:jc w:val="left"/>
      </w:pPr>
      <w:r>
        <w:rPr>
          <w:rFonts w:eastAsia="等线" w:ascii="Arial" w:cs="Arial" w:hAnsi="Arial"/>
          <w:sz w:val="22"/>
        </w:rPr>
        <w:t>1.6甲方悉知，如甲方的任一“Unmanaged Advertiser”合并主体在Meta的季度消耗（包含所有代理）总额超过2000万美元的，则无任何返点。</w:t>
      </w:r>
    </w:p>
    <w:p>
      <w:pPr>
        <w:spacing w:before="120" w:after="120" w:line="288" w:lineRule="auto"/>
        <w:ind w:left="0" w:firstLine="420"/>
        <w:jc w:val="left"/>
      </w:pPr>
      <w:r>
        <w:rPr>
          <w:rFonts w:eastAsia="等线" w:ascii="Arial" w:cs="Arial" w:hAnsi="Arial"/>
          <w:sz w:val="22"/>
        </w:rPr>
        <w:t>Party A is aware that if any of Party A's "Unmanaged Advertiser" ultimate parent has a total quarterly consumption (including all agencies) on Meta exceeding 20,000,000 US dollars, then there will be no rebates at all.</w:t>
      </w:r>
    </w:p>
    <w:p>
      <w:pPr>
        <w:spacing w:before="120" w:after="120" w:line="288" w:lineRule="auto"/>
        <w:ind w:left="0" w:firstLine="420"/>
        <w:jc w:val="left"/>
      </w:pPr>
      <w:r>
        <w:rPr>
          <w:rFonts w:eastAsia="等线" w:ascii="Arial" w:cs="Arial" w:hAnsi="Arial"/>
          <w:sz w:val="22"/>
        </w:rPr>
        <w:t>1.7甲方应该严格按照合并主体标准等级开设账户并投放广告，如甲方违反上述规则（例如拆分实体或项目从而达到变更合并主体标准等级的），则媒体或/和乙方有权对甲方进行处罚，包括但不限于扣除罚金，取消返点，冻结账户等。</w:t>
      </w:r>
    </w:p>
    <w:p>
      <w:pPr>
        <w:spacing w:before="120" w:after="120" w:line="288" w:lineRule="auto"/>
        <w:ind w:left="0" w:firstLine="420"/>
        <w:jc w:val="left"/>
      </w:pPr>
      <w:r>
        <w:rPr>
          <w:rFonts w:eastAsia="等线" w:ascii="Arial" w:cs="Arial" w:hAnsi="Arial"/>
          <w:sz w:val="22"/>
        </w:rPr>
        <w:t>Party A should strictly open accounts and place advertisements in accordance with the standard level of the consolidated entity. If Party A violates the above rules (for example, splitting entities or projects to achieve a change in the standard level of the ultimate parent), the media and/or Party B shall have the right to impose penalties on Party A, including but not limited to imposing fines, cancelling rebates, freezing accounts, etc.</w:t>
      </w:r>
    </w:p>
    <w:p>
      <w:pPr>
        <w:spacing w:before="120" w:after="120" w:line="288" w:lineRule="auto"/>
        <w:ind w:left="0" w:firstLine="420"/>
        <w:jc w:val="left"/>
      </w:pPr>
      <w:r>
        <w:rPr>
          <w:rFonts w:eastAsia="等线" w:ascii="Arial" w:cs="Arial" w:hAnsi="Arial"/>
          <w:sz w:val="22"/>
        </w:rPr>
        <w:t>1.8甲方如被媒体判定为符合“Specified Advertiser”标准等级，即超大型且有直客管理的合并主体，则应与乙方另行签署协议约定返点比例等相关合作内容。</w:t>
      </w:r>
    </w:p>
    <w:p>
      <w:pPr>
        <w:spacing w:before="120" w:after="120" w:line="288" w:lineRule="auto"/>
        <w:ind w:left="0" w:firstLine="420"/>
        <w:jc w:val="left"/>
      </w:pPr>
      <w:r>
        <w:rPr>
          <w:rFonts w:eastAsia="等线" w:ascii="Arial" w:cs="Arial" w:hAnsi="Arial"/>
          <w:sz w:val="22"/>
        </w:rPr>
        <w:t>If Party A is judged by the media to conform to the standard level of "Specified Advertiser", which is, a very large and directly managed ultimate parent, Party A shall sign a separate agreement with Party B to stipulate the rebates and other related details.</w:t>
      </w:r>
    </w:p>
    <w:p>
      <w:pPr>
        <w:spacing w:before="120" w:after="120" w:line="288" w:lineRule="auto"/>
        <w:ind w:left="0" w:firstLine="420"/>
        <w:jc w:val="left"/>
      </w:pPr>
      <w:r>
        <w:rPr>
          <w:rFonts w:eastAsia="等线" w:ascii="Arial" w:cs="Arial" w:hAnsi="Arial"/>
          <w:sz w:val="22"/>
        </w:rPr>
        <w:t>1.9 如甲方投放的广告素材符合乙方或媒体平台要求，乙方可向甲方提供额外的“素材Coupon”支持，具体形式包括但不限于用于广告创意优化、素材制作、测试支持等用途的优惠额度。素材Coupon奖励的获取以媒体平台对甲方合并主体的等级判定为依据，乙方保留根据项目预算、客户投放表现、素材合规性等因素综合评估是否发放的权利。</w:t>
      </w:r>
    </w:p>
    <w:p>
      <w:pPr>
        <w:spacing w:before="120" w:after="120" w:line="288" w:lineRule="auto"/>
        <w:ind w:left="0" w:firstLine="420"/>
        <w:jc w:val="left"/>
      </w:pPr>
      <w:r>
        <w:rPr>
          <w:rFonts w:eastAsia="等线" w:ascii="Arial" w:cs="Arial" w:hAnsi="Arial"/>
          <w:sz w:val="22"/>
        </w:rPr>
        <w:t>If the advertising materials placed by Party A meet the requirements of Party B or the media platform, Party B may provide Party A with additional "material Coupon" support. The specific forms include but are not limited to preferential amounts for purposes such as advertising creative optimization, material production, and testing support. The acquisition of material Coupon rewards is based on the media platform's assessment of the level of the merged entity of Party A. Party B reserves the right to comprehensively evaluate whether to issue them based on factors such as the project budget, the performance of customer placements, and the compliance of materials.</w:t>
      </w:r>
    </w:p>
    <w:p>
      <w:pPr>
        <w:spacing w:before="120" w:after="120" w:line="288" w:lineRule="auto"/>
        <w:ind w:left="0" w:firstLine="420"/>
        <w:jc w:val="left"/>
      </w:pPr>
      <w:r>
        <w:rPr>
          <w:rFonts w:eastAsia="等线" w:ascii="Arial" w:cs="Arial" w:hAnsi="Arial"/>
          <w:sz w:val="22"/>
        </w:rPr>
        <w:t>1.10 如甲方投放的广告素材符合乙方/或媒体平台要求，且甲方所属合并主体等级达到 Managed Advertiser 标准，则可额外获得【】% Coupon奖励；若为 Unmanaged Advertiser 等级，则可获得【】% Coupon奖励。</w:t>
      </w:r>
    </w:p>
    <w:p>
      <w:pPr>
        <w:spacing w:before="120" w:after="120" w:line="288" w:lineRule="auto"/>
        <w:ind w:left="0" w:firstLine="420"/>
        <w:jc w:val="left"/>
      </w:pPr>
      <w:r>
        <w:rPr>
          <w:rFonts w:eastAsia="等线" w:ascii="Arial" w:cs="Arial" w:hAnsi="Arial"/>
          <w:sz w:val="22"/>
        </w:rPr>
        <w:t>If the advertising materials placed by Party A meet the requirements of Party B/or the media platform, and the level of the merged entity to which Party A belongs reaches the Managed Advertiser standard, an additional Coupon reward of 【】% can be obtained; If you are at the Unmanaged Advertiser level, you can receive a Coupon reward of 【】%</w:t>
      </w:r>
    </w:p>
    <w:p>
      <w:pPr>
        <w:spacing w:before="120" w:after="120" w:line="288" w:lineRule="auto"/>
        <w:ind w:left="0" w:firstLine="420"/>
        <w:jc w:val="left"/>
      </w:pPr>
      <w:r>
        <w:rPr>
          <w:rFonts w:eastAsia="等线" w:ascii="Arial" w:cs="Arial" w:hAnsi="Arial"/>
          <w:sz w:val="22"/>
        </w:rPr>
        <w:t>1.11 素材Coupon的发放周期、结算流程及核算方式及标准原则上与本合同项下的返点条款保持一致。除非双方另有书面约定，乙方应在完成与甲方返点结算周期同步的时间内，确认并发放相应的素材Coupon。</w:t>
      </w:r>
    </w:p>
    <w:p>
      <w:pPr>
        <w:spacing w:before="120" w:after="120" w:line="288" w:lineRule="auto"/>
        <w:ind w:left="0" w:firstLine="420"/>
        <w:jc w:val="left"/>
      </w:pPr>
      <w:r>
        <w:rPr>
          <w:rFonts w:eastAsia="等线" w:ascii="Arial" w:cs="Arial" w:hAnsi="Arial"/>
          <w:sz w:val="22"/>
        </w:rPr>
        <w:t>The distribution cycle, settlement process, calculation method and standard of the material coupons shall, in principle, be consistent with the rebate terms under this contract. Unless otherwise agreed in writing by both parties, Party B shall confirm and issue the corresponding material coupons within the time when it completes the synchronization of the rebate settlement cycle with Party A.</w:t>
      </w:r>
    </w:p>
    <w:p>
      <w:pPr>
        <w:spacing w:before="120" w:after="120" w:line="288" w:lineRule="auto"/>
        <w:ind w:left="0" w:firstLine="420"/>
        <w:jc w:val="left"/>
      </w:pP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7. </w:t>
      </w:r>
      <w:r>
        <w:rPr>
          <w:rFonts w:eastAsia="等线" w:ascii="Arial" w:cs="Arial" w:hAnsi="Arial"/>
          <w:b w:val="true"/>
          <w:sz w:val="28"/>
        </w:rPr>
        <w:t xml:space="preserve"> Google</w:t>
      </w:r>
      <w:bookmarkEnd w:id="12"/>
    </w:p>
    <w:p>
      <w:pPr>
        <w:spacing w:before="120" w:after="120" w:line="288" w:lineRule="auto"/>
        <w:ind w:left="0" w:firstLine="420"/>
        <w:jc w:val="left"/>
      </w:pPr>
      <w:r>
        <w:rPr>
          <w:rFonts w:eastAsia="等线" w:ascii="Arial" w:cs="Arial" w:hAnsi="Arial"/>
          <w:sz w:val="22"/>
        </w:rPr>
        <w:t>2.1 甲方在Google中进行广告投放，所涉及的消耗均无任何返点，且甲方需要按照如下标准向乙方支付账户服务费，该服务费用与当月广告消耗费用按约定账期一同结算：</w:t>
      </w:r>
    </w:p>
    <w:p>
      <w:pPr>
        <w:spacing w:before="120" w:after="120" w:line="288" w:lineRule="auto"/>
        <w:ind w:left="0" w:firstLine="420"/>
        <w:jc w:val="left"/>
      </w:pPr>
      <w:r>
        <w:rPr>
          <w:rFonts w:eastAsia="等线" w:ascii="Arial" w:cs="Arial" w:hAnsi="Arial"/>
          <w:sz w:val="22"/>
        </w:rPr>
        <w:t>Party A places advertisements on Google, and there are no rebates involved in the expenditures. Party A shall pay Party B an account service fee according to the following standards, and the service fee shall be settled together with the advertising expenditure for the current month according to the agreed billing cycle:</w:t>
      </w:r>
    </w:p>
    <w:p>
      <w:pPr>
        <w:numPr>
          <w:numId w:val="3"/>
        </w:numPr>
        <w:spacing w:before="120" w:after="120" w:line="288" w:lineRule="auto"/>
        <w:ind w:left="0"/>
        <w:jc w:val="left"/>
      </w:pPr>
      <w:r>
        <w:rPr>
          <w:rFonts w:eastAsia="等线" w:ascii="Arial" w:cs="Arial" w:hAnsi="Arial"/>
          <w:sz w:val="22"/>
        </w:rPr>
        <w:t xml:space="preserve"> 账期大于等于【30】个自然日的，甲方需要向乙方支付当月广告投放总消耗金额的【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a) If the billing cycle is greater than or equal to【30】calendar days, Party A shall pay Party B【】% of the total advertising expenditure for the current month as an account service fee.</w:t>
      </w:r>
    </w:p>
    <w:p>
      <w:pPr>
        <w:spacing w:before="120" w:after="120" w:line="288" w:lineRule="auto"/>
        <w:ind w:left="0" w:firstLine="420"/>
        <w:jc w:val="left"/>
      </w:pPr>
      <w:r>
        <w:rPr>
          <w:rFonts w:eastAsia="等线" w:ascii="Arial" w:cs="Arial" w:hAnsi="Arial"/>
          <w:sz w:val="22"/>
        </w:rPr>
        <w:t>b)  账期在 【30】 个自然日以内的，甲方需要向乙方支付当月广告投放总消耗金额的【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b) If the billing cycle is within【30】calendar days, Party A shall pay Party B 【】% of the total advertising expenditure for the current month as an account service fee.</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spacing w:before="120" w:after="120" w:line="288" w:lineRule="auto"/>
        <w:ind w:left="0" w:firstLine="420"/>
        <w:jc w:val="left"/>
      </w:pPr>
      <w:r>
        <w:rPr>
          <w:rFonts w:eastAsia="等线" w:ascii="Arial" w:cs="Arial" w:hAnsi="Arial"/>
          <w:sz w:val="22"/>
        </w:rPr>
        <w:t>Party A expressly acknowledges and agrees that the Account Service Fee is separate and distinct from the Agency Service Fee. Irrespective of whether Party A opts for Advertiser Placement or Agency Placement on the Google platform, Party B reserves the irrevocable right to charge Party A the Account Service Fee in accordance with this clause. The Account Service Fee and Agency Service Fee are mutually independent in nature, shall be charged concurrently, and shall not be offset against each other under any circumstances.</w:t>
      </w:r>
    </w:p>
    <w:p>
      <w:pPr>
        <w:spacing w:before="120" w:after="120" w:line="288" w:lineRule="auto"/>
        <w:ind w:left="0" w:firstLine="420"/>
        <w:jc w:val="left"/>
      </w:pPr>
      <w:r>
        <w:rPr>
          <w:rFonts w:eastAsia="等线" w:ascii="Arial" w:cs="Arial" w:hAnsi="Arial"/>
          <w:sz w:val="22"/>
        </w:rPr>
        <w:t>2.2甲方在Google中使用</w:t>
      </w:r>
      <w:r>
        <w:rPr>
          <w:rFonts w:eastAsia="等线" w:ascii="Arial" w:cs="Arial" w:hAnsi="Arial"/>
          <w:b w:val="true"/>
          <w:sz w:val="22"/>
        </w:rPr>
        <w:t>Non-AC</w:t>
      </w:r>
      <w:r>
        <w:rPr>
          <w:rFonts w:eastAsia="等线" w:ascii="Arial" w:cs="Arial" w:hAnsi="Arial"/>
          <w:sz w:val="22"/>
        </w:rPr>
        <w:t>产品进行广告投放且账户被媒体判断为【新客】标准的，则甲方满足标准的账户消耗可以额外获得【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spacing w:before="120" w:after="120" w:line="288" w:lineRule="auto"/>
        <w:ind w:left="0" w:firstLine="420"/>
        <w:jc w:val="left"/>
      </w:pPr>
      <w:r>
        <w:rPr>
          <w:rFonts w:eastAsia="等线" w:ascii="Arial" w:cs="Arial" w:hAnsi="Arial"/>
          <w:sz w:val="22"/>
        </w:rPr>
        <w:t>If Party A uses Non-AC products for advertising on Google and the account is judged by the media to meet the “new customer” standard, Party A can receive an additional rebate of [ ]% on the expenditures of accounts that meet the standard. Furthermore, Party B has the right to adjust the aforementioned accounts to ensure that Party A’s accounts meet the media’s evaluation standards. If Party A refuses the account adjustment, Party B has the right not to provide any rebate to Party A.</w:t>
      </w:r>
    </w:p>
    <w:p>
      <w:pPr>
        <w:spacing w:before="120" w:after="120" w:line="288" w:lineRule="auto"/>
        <w:ind w:left="0" w:firstLine="420"/>
        <w:jc w:val="left"/>
      </w:pPr>
      <w:r>
        <w:rPr>
          <w:rFonts w:eastAsia="等线" w:ascii="Arial" w:cs="Arial" w:hAnsi="Arial"/>
          <w:sz w:val="22"/>
        </w:rPr>
        <w:t>2.2.1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spacing w:before="120" w:after="120" w:line="288" w:lineRule="auto"/>
        <w:ind w:left="0" w:firstLine="420"/>
        <w:jc w:val="left"/>
      </w:pPr>
      <w:r>
        <w:rPr>
          <w:rFonts w:eastAsia="等线" w:ascii="Arial" w:cs="Arial" w:hAnsi="Arial"/>
          <w:sz w:val="22"/>
        </w:rPr>
        <w:t>Party A is aware that, according to the media’s determination rules, for the part within the $30,000 limit of Non-AC expenditures per natural quarter for the same customer Parent, the remaining part after deducting $1,000 from the expenditure enjoys the new customer rebate, and the excess part has no rebate. There is no rebate for new customer expenditures below $1,000 per natural quarter. If Google’s policy is updated, Party B will also update the calculation method for this part accordingly.</w:t>
      </w:r>
    </w:p>
    <w:p>
      <w:pPr>
        <w:spacing w:before="120" w:after="120" w:line="288" w:lineRule="auto"/>
        <w:ind w:left="0" w:firstLine="420"/>
        <w:jc w:val="left"/>
      </w:pPr>
      <w:r>
        <w:rPr>
          <w:rFonts w:eastAsia="等线" w:ascii="Arial" w:cs="Arial" w:hAnsi="Arial"/>
          <w:sz w:val="22"/>
        </w:rPr>
        <w:t>2.3 甲方已悉知DV360, The Third Party Exchange, YouTube Masthead, Other front-end bookings等广告形式不享受Google返点，如Google政策更新，乙方也会对此部分计算方式进行相应更新。</w:t>
      </w:r>
    </w:p>
    <w:p>
      <w:pPr>
        <w:spacing w:before="120" w:after="120" w:line="288" w:lineRule="auto"/>
        <w:ind w:left="0" w:firstLine="420"/>
        <w:jc w:val="left"/>
      </w:pPr>
      <w:r>
        <w:rPr>
          <w:rFonts w:eastAsia="等线" w:ascii="Arial" w:cs="Arial" w:hAnsi="Arial"/>
          <w:sz w:val="22"/>
        </w:rPr>
        <w:t>Party A is aware that advertising forms such as DV360, The Third-Party Exchange, YouTube Masthead, and Other front-end bookings do not enjoy Google rebates. If Google’s policy is updated, Party B will also update the calculation method for this part accordingly.</w:t>
      </w:r>
    </w:p>
    <w:p>
      <w:pPr>
        <w:spacing w:before="120" w:after="120" w:line="288" w:lineRule="auto"/>
        <w:ind w:left="0" w:firstLine="420"/>
        <w:jc w:val="left"/>
      </w:pPr>
      <w:r>
        <w:rPr>
          <w:rFonts w:eastAsia="等线" w:ascii="Arial" w:cs="Arial" w:hAnsi="Arial"/>
          <w:sz w:val="22"/>
        </w:rPr>
        <w:t>2.4 甲方在Google中进行广告投放，需要满足Broad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spacing w:before="120" w:after="120" w:line="288" w:lineRule="auto"/>
        <w:ind w:left="0" w:firstLine="420"/>
        <w:jc w:val="left"/>
      </w:pPr>
      <w:r>
        <w:rPr>
          <w:rFonts w:eastAsia="等线" w:ascii="Arial" w:cs="Arial" w:hAnsi="Arial"/>
          <w:sz w:val="22"/>
        </w:rPr>
        <w:t>Party A’s advertising on Google needs to meet several indicators such as Broad Match + Smart Bidding, Demand Gen, Performance Max Best Practices, Performance-Powered Conversions, Search Value-Based Bidding, and tROAS Bidding on App. If Party A fails to meet any of the above indicators, Party B has the right to request Party A to make adjustments. If Party A refuses the account adjustment, Party B cannot guarantee the normal placement of Party A’s account, and the rebates and billing cycle agreed in this contract. Party A is aware and confirms that this situation does not constitute a breach of contract by Party B.</w:t>
      </w:r>
    </w:p>
    <w:p>
      <w:pPr>
        <w:spacing w:before="120" w:after="120" w:line="288" w:lineRule="auto"/>
        <w:ind w:left="0" w:firstLine="420"/>
        <w:jc w:val="left"/>
      </w:pPr>
      <w:r>
        <w:rPr>
          <w:rFonts w:eastAsia="等线" w:ascii="Arial" w:cs="Arial" w:hAnsi="Arial"/>
          <w:sz w:val="22"/>
        </w:rPr>
        <w:t>2.5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the quarter, Party B will settle the rebate based on the total amount of advertising release actually paid by Party A. Party A clearly understands and agrees that if there is any overdue payment within the quarter, Party B has the right to cancel all rebates for that quarter. If Party A has any situation where the media platform agrees to reduce or exempt the rebate payment, even if Party A has paid the advertising release amount on time, it will not participate in the rebate.</w:t>
      </w:r>
    </w:p>
    <w:p>
      <w:pPr>
        <w:spacing w:before="120" w:after="120" w:line="288" w:lineRule="auto"/>
        <w:ind w:left="0" w:firstLine="420"/>
        <w:jc w:val="left"/>
      </w:pPr>
      <w:r>
        <w:rPr>
          <w:rFonts w:eastAsia="等线" w:ascii="Arial" w:cs="Arial" w:hAnsi="Arial"/>
          <w:sz w:val="22"/>
        </w:rPr>
        <w:t>2.6  针对俄罗斯、法国和匈牙利的所有广告类型投放所涉及的消耗金额均无任何返点。</w:t>
      </w:r>
    </w:p>
    <w:p>
      <w:pPr>
        <w:spacing w:before="120" w:after="120" w:line="288" w:lineRule="auto"/>
        <w:ind w:left="0" w:firstLine="420"/>
        <w:jc w:val="left"/>
      </w:pPr>
      <w:r>
        <w:rPr>
          <w:rFonts w:eastAsia="等线" w:ascii="Arial" w:cs="Arial" w:hAnsi="Arial"/>
          <w:sz w:val="22"/>
        </w:rPr>
        <w:t>There are no rebates for the expenditures involved in all types of advertising placements in Russia, France, and Hungary.</w:t>
      </w:r>
    </w:p>
    <w:p>
      <w:pPr>
        <w:spacing w:before="120" w:after="120" w:line="288" w:lineRule="auto"/>
        <w:ind w:left="0" w:firstLine="420"/>
        <w:jc w:val="left"/>
      </w:pPr>
      <w:r>
        <w:rPr>
          <w:rFonts w:eastAsia="等线" w:ascii="Arial" w:cs="Arial" w:hAnsi="Arial"/>
          <w:sz w:val="22"/>
        </w:rPr>
        <w:t>2.7  Google数字服务税不计入广告投放消耗金额，甲方不享受任何返点。</w:t>
      </w:r>
    </w:p>
    <w:p>
      <w:pPr>
        <w:spacing w:before="120" w:after="120" w:line="288" w:lineRule="auto"/>
        <w:ind w:left="0" w:firstLine="420"/>
        <w:jc w:val="left"/>
      </w:pPr>
      <w:r>
        <w:rPr>
          <w:rFonts w:eastAsia="等线" w:ascii="Arial" w:cs="Arial" w:hAnsi="Arial"/>
          <w:sz w:val="22"/>
        </w:rPr>
        <w:t>Google’s digital service tax is not included in the advertising expenditure amount, and Party A does not enjoy any rebate.</w:t>
      </w:r>
    </w:p>
    <w:p>
      <w:pPr>
        <w:spacing w:before="120" w:after="120" w:line="288" w:lineRule="auto"/>
        <w:ind w:left="0" w:firstLine="420"/>
        <w:jc w:val="left"/>
      </w:pPr>
      <w:r>
        <w:rPr>
          <w:rFonts w:eastAsia="等线" w:ascii="Arial" w:cs="Arial" w:hAnsi="Arial"/>
          <w:sz w:val="22"/>
        </w:rPr>
        <w:t>2.8  甲方通过乙方投放的Google Ads广告账户不得关联乙方外的任何代理商，否则将导致此类账户甲方无法享受上述返点。</w:t>
      </w:r>
    </w:p>
    <w:p>
      <w:pPr>
        <w:spacing w:before="120" w:after="120" w:line="288" w:lineRule="auto"/>
        <w:ind w:left="0" w:firstLine="420"/>
        <w:jc w:val="left"/>
      </w:pPr>
      <w:r>
        <w:rPr>
          <w:rFonts w:eastAsia="等线" w:ascii="Arial" w:cs="Arial" w:hAnsi="Arial"/>
          <w:sz w:val="22"/>
        </w:rPr>
        <w:t>Google Ads accounts placed by Party A through Party B must not be associated with any agency other than Party B, otherwise, Party A will not enjoy the above rebates for such accounts.</w:t>
      </w:r>
    </w:p>
    <w:p>
      <w:pPr>
        <w:spacing w:before="120" w:after="120" w:line="288" w:lineRule="auto"/>
        <w:ind w:left="0" w:firstLine="420"/>
        <w:jc w:val="left"/>
      </w:pPr>
      <w:r>
        <w:rPr>
          <w:rFonts w:eastAsia="等线" w:ascii="Arial" w:cs="Arial" w:hAnsi="Arial"/>
          <w:sz w:val="22"/>
        </w:rPr>
        <w:t>2.9  如甲方与Google媒体进行了API对接，则无法享受上述返点优惠。</w:t>
      </w:r>
    </w:p>
    <w:p>
      <w:pPr>
        <w:spacing w:before="120" w:after="120" w:line="288" w:lineRule="auto"/>
        <w:ind w:left="0" w:firstLine="420"/>
        <w:jc w:val="left"/>
      </w:pPr>
      <w:r>
        <w:rPr>
          <w:rFonts w:eastAsia="等线" w:ascii="Arial" w:cs="Arial" w:hAnsi="Arial"/>
          <w:sz w:val="22"/>
        </w:rPr>
        <w:t>If Party A has an API connection with Google media, it will not enjoy the above rebate discounts.</w:t>
      </w:r>
    </w:p>
    <w:p>
      <w:pPr>
        <w:spacing w:before="120" w:after="120" w:line="288" w:lineRule="auto"/>
        <w:ind w:left="0" w:firstLine="420"/>
        <w:jc w:val="left"/>
      </w:pPr>
      <w:r>
        <w:rPr>
          <w:rFonts w:eastAsia="等线" w:ascii="Arial" w:cs="Arial" w:hAnsi="Arial"/>
          <w:sz w:val="22"/>
        </w:rPr>
        <w:t>2.10甲方通过乙方投放的Google Ads广告如被媒体判定为违规投放的或者在该季度CID违规率超过【10%】的，则所有投放消耗均无返点。乙方有权保留追究因甲方违规而产生的媒体罚金而遭受的损失的权利，最终将以媒体判定为准。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spacing w:before="120" w:after="120" w:line="288" w:lineRule="auto"/>
        <w:ind w:left="0" w:firstLine="420"/>
        <w:jc w:val="left"/>
      </w:pPr>
      <w:r>
        <w:rPr>
          <w:rFonts w:eastAsia="等线" w:ascii="Arial" w:cs="Arial" w:hAnsi="Arial"/>
          <w:sz w:val="22"/>
        </w:rPr>
        <w:t>If the Google Ads placed by Party A through Party B are judged by the media to be in violation or if the CID violation rate exceeds [10%] in that quarter, there will be no rebate for all advertising expenditures. Party B reserves the right to pursue the losses caused by media fines due to Party A’s violations, and the final determination will be based on the media’s judgment. CID violation rate: The number of accounts judged by Google to be in violation and closed in a certain quarter (excluding accounts unblocked after appeal) / the total number of new accounts opened by Party A with Party B in that quarter.</w:t>
      </w:r>
    </w:p>
    <w:p>
      <w:pPr>
        <w:spacing w:before="120" w:after="120" w:line="288" w:lineRule="auto"/>
        <w:ind w:left="0" w:firstLine="420"/>
        <w:jc w:val="left"/>
      </w:pPr>
      <w:r>
        <w:rPr>
          <w:rFonts w:eastAsia="等线" w:ascii="Arial" w:cs="Arial" w:hAnsi="Arial"/>
          <w:sz w:val="22"/>
        </w:rPr>
        <w:t>2.11甲方Google Ads账户的Billing归属为乙方，且Billing Country需为中国或/和中国香港，否则无法享受上述返点。</w:t>
      </w:r>
    </w:p>
    <w:p>
      <w:pPr>
        <w:spacing w:before="120" w:after="120" w:line="288" w:lineRule="auto"/>
        <w:ind w:left="0" w:firstLine="420"/>
        <w:jc w:val="left"/>
      </w:pPr>
      <w:r>
        <w:rPr>
          <w:rFonts w:eastAsia="等线" w:ascii="Arial" w:cs="Arial" w:hAnsi="Arial"/>
          <w:sz w:val="22"/>
        </w:rPr>
        <w:t>The billing ownership of Party A’s Google Ads account belongs to Party B, and the billing country must be China or/and Hong Kong, otherwise, the above rebates cannot be enjoyed.</w:t>
      </w:r>
    </w:p>
    <w:p>
      <w:pPr>
        <w:spacing w:before="120" w:after="120" w:line="288" w:lineRule="auto"/>
        <w:ind w:left="0" w:firstLine="420"/>
        <w:jc w:val="left"/>
      </w:pPr>
      <w:r>
        <w:rPr>
          <w:rFonts w:eastAsia="等线" w:ascii="Arial" w:cs="Arial" w:hAnsi="Arial"/>
          <w:sz w:val="22"/>
        </w:rPr>
        <w:t>2.12甲方已悉知针对Google不提供返点部分的消耗金额或因Google单方面决定不给予返点的，乙方也有权不向甲方提供任何返点。</w:t>
      </w:r>
    </w:p>
    <w:p>
      <w:pPr>
        <w:spacing w:before="120" w:after="120" w:line="288" w:lineRule="auto"/>
        <w:ind w:left="0" w:firstLine="420"/>
        <w:jc w:val="left"/>
      </w:pPr>
      <w:r>
        <w:rPr>
          <w:rFonts w:eastAsia="等线" w:ascii="Arial" w:cs="Arial" w:hAnsi="Arial"/>
          <w:sz w:val="22"/>
        </w:rPr>
        <w:t>Party A is aware that for the expenditure amount that Google does not provide rebates or due to Google’s unilateral decision not to give rebates, Party B also has the right not to provide any rebates to Party A.</w:t>
      </w:r>
    </w:p>
    <w:p>
      <w:pPr>
        <w:spacing w:before="120" w:after="120" w:line="288" w:lineRule="auto"/>
        <w:ind w:left="0" w:firstLine="420"/>
        <w:jc w:val="left"/>
      </w:pPr>
      <w:r>
        <w:rPr>
          <w:rFonts w:eastAsia="等线" w:ascii="Arial" w:cs="Arial" w:hAnsi="Arial"/>
          <w:sz w:val="22"/>
        </w:rPr>
        <w:t>2.13 Google媒体平台广告投放所涉及的数字服务税（Digital Service Tax），应由甲方承担。该数字服务税目前为英国：2%；奥地利：5%；土耳其：5%；数字服务税的国家或地区及税费标准如有增加或变更的，均以谷歌的要求为准。</w:t>
      </w:r>
    </w:p>
    <w:p>
      <w:pPr>
        <w:spacing w:before="120" w:after="120" w:line="288" w:lineRule="auto"/>
        <w:ind w:left="0" w:firstLine="420"/>
        <w:jc w:val="left"/>
      </w:pPr>
      <w:r>
        <w:rPr>
          <w:rFonts w:eastAsia="等线" w:ascii="Arial" w:cs="Arial" w:hAnsi="Arial"/>
          <w:sz w:val="22"/>
        </w:rPr>
        <w:t>The Digital Service Tax involved in the advertising placement on Google Media Platform shall be borne by Party A. The current digital service tax in the UK is 2%. Austria: 5% Turkey: 5% If there are any increases or changes to the countries or regions and tax standards for digital services tax, the requirements of Google shall prevail.</w:t>
      </w:r>
    </w:p>
    <w:p>
      <w:pPr>
        <w:spacing w:before="120" w:after="120" w:line="288" w:lineRule="auto"/>
        <w:ind w:left="0" w:firstLine="420"/>
        <w:jc w:val="left"/>
      </w:pPr>
      <w:r>
        <w:rPr>
          <w:rFonts w:eastAsia="等线" w:ascii="Arial" w:cs="Arial" w:hAnsi="Arial"/>
          <w:sz w:val="22"/>
        </w:rPr>
        <w:t>2.14 针对上述所有政策，如Google媒体有相关更新的，则以Google媒体更新后的指标为准。</w:t>
      </w:r>
    </w:p>
    <w:p>
      <w:pPr>
        <w:spacing w:before="120" w:after="120" w:line="288" w:lineRule="auto"/>
        <w:ind w:left="0" w:firstLine="420"/>
        <w:jc w:val="left"/>
      </w:pPr>
      <w:r>
        <w:rPr>
          <w:rFonts w:eastAsia="等线" w:ascii="Arial" w:cs="Arial" w:hAnsi="Arial"/>
          <w:sz w:val="22"/>
        </w:rPr>
        <w:t>For all the above policies, if there are relevant updates from Google media, the updated indicators from Google media shall prevail.</w:t>
      </w:r>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8. </w:t>
      </w:r>
      <w:r>
        <w:rPr>
          <w:rFonts w:eastAsia="等线" w:ascii="Arial" w:cs="Arial" w:hAnsi="Arial"/>
          <w:b w:val="true"/>
          <w:sz w:val="28"/>
        </w:rPr>
        <w:t xml:space="preserve">TikTok </w:t>
      </w:r>
      <w:bookmarkEnd w:id="13"/>
    </w:p>
    <w:p>
      <w:pPr>
        <w:numPr>
          <w:numId w:val="4"/>
        </w:numPr>
        <w:spacing w:before="120" w:after="120" w:line="288" w:lineRule="auto"/>
        <w:ind w:left="0"/>
        <w:jc w:val="left"/>
      </w:pPr>
      <w:r>
        <w:rPr>
          <w:rFonts w:eastAsia="等线" w:ascii="Arial" w:cs="Arial" w:hAnsi="Arial"/>
          <w:b w:val="true"/>
          <w:sz w:val="22"/>
        </w:rPr>
        <w:t>基础返点</w:t>
      </w:r>
    </w:p>
    <w:p>
      <w:pPr>
        <w:spacing w:before="120" w:after="120" w:line="288" w:lineRule="auto"/>
        <w:ind w:left="0" w:firstLine="420"/>
        <w:jc w:val="left"/>
      </w:pPr>
      <w:r>
        <w:rPr>
          <w:rFonts w:eastAsia="等线" w:ascii="Arial" w:cs="Arial" w:hAnsi="Arial"/>
          <w:b w:val="true"/>
          <w:sz w:val="22"/>
        </w:rPr>
        <w:t>General Rebate</w:t>
      </w:r>
    </w:p>
    <w:p>
      <w:pPr>
        <w:numPr>
          <w:numId w:val="5"/>
        </w:numPr>
        <w:spacing w:before="120" w:after="120" w:line="288" w:lineRule="auto"/>
        <w:ind w:left="0"/>
        <w:jc w:val="left"/>
      </w:pPr>
      <w:r>
        <w:rPr>
          <w:rFonts w:eastAsia="等线" w:ascii="Arial" w:cs="Arial" w:hAnsi="Arial"/>
          <w:sz w:val="22"/>
        </w:rPr>
        <w:t>甲方投放TikTok for Business广告的，可以获得以下返点：</w:t>
      </w:r>
    </w:p>
    <w:p>
      <w:pPr>
        <w:spacing w:before="120" w:after="120" w:line="288" w:lineRule="auto"/>
        <w:ind w:left="0" w:firstLine="420"/>
        <w:jc w:val="left"/>
      </w:pPr>
      <w:r>
        <w:rPr>
          <w:rFonts w:eastAsia="等线" w:ascii="Arial" w:cs="Arial" w:hAnsi="Arial"/>
          <w:sz w:val="22"/>
        </w:rPr>
        <w:t>If Party A places advertisements on TikTok for Business, the following rebates can be obtained</w:t>
      </w:r>
    </w:p>
    <w:p>
      <w:pPr>
        <w:numPr>
          <w:numId w:val="6"/>
        </w:numPr>
        <w:spacing w:before="120" w:after="120" w:line="288" w:lineRule="auto"/>
        <w:ind w:left="0"/>
        <w:jc w:val="left"/>
      </w:pPr>
      <w:r>
        <w:rPr>
          <w:rFonts w:eastAsia="等线" w:ascii="Arial" w:cs="Arial" w:hAnsi="Arial"/>
          <w:sz w:val="22"/>
        </w:rPr>
        <w:t>基础返点：【 %】</w:t>
      </w:r>
    </w:p>
    <w:p>
      <w:pPr>
        <w:spacing w:before="120" w:after="120" w:line="288" w:lineRule="auto"/>
        <w:ind w:left="0" w:firstLine="420"/>
        <w:jc w:val="left"/>
      </w:pPr>
      <w:r>
        <w:rPr>
          <w:rFonts w:eastAsia="等线" w:ascii="Arial" w:cs="Arial" w:hAnsi="Arial"/>
          <w:sz w:val="22"/>
        </w:rPr>
        <w:t>General rebate：【%】</w:t>
      </w:r>
    </w:p>
    <w:p>
      <w:pPr>
        <w:numPr>
          <w:numId w:val="7"/>
        </w:numPr>
        <w:spacing w:before="120" w:after="120" w:line="288" w:lineRule="auto"/>
        <w:ind w:left="0"/>
        <w:jc w:val="left"/>
      </w:pPr>
      <w:r>
        <w:rPr>
          <w:rFonts w:eastAsia="等线" w:ascii="Arial" w:cs="Arial" w:hAnsi="Arial"/>
          <w:sz w:val="22"/>
        </w:rPr>
        <w:t>季度X返点：【  %】，最终以乙方核算结果为准。</w:t>
      </w:r>
    </w:p>
    <w:p>
      <w:pPr>
        <w:spacing w:before="120" w:after="120" w:line="288" w:lineRule="auto"/>
        <w:ind w:left="0" w:firstLine="420"/>
        <w:jc w:val="left"/>
      </w:pPr>
      <w:r>
        <w:rPr>
          <w:rFonts w:eastAsia="等线" w:ascii="Arial" w:cs="Arial" w:hAnsi="Arial"/>
          <w:sz w:val="22"/>
        </w:rPr>
        <w:t>Quarterly X rebate：【%】the final result shall be subject to the calculation of Party B</w:t>
      </w:r>
    </w:p>
    <w:p>
      <w:pPr>
        <w:numPr>
          <w:numId w:val="8"/>
        </w:numPr>
        <w:spacing w:before="120" w:after="120" w:line="288" w:lineRule="auto"/>
        <w:ind w:left="0"/>
        <w:jc w:val="left"/>
      </w:pPr>
      <w:r>
        <w:rPr>
          <w:rFonts w:eastAsia="等线" w:ascii="Arial" w:cs="Arial" w:hAnsi="Arial"/>
          <w:sz w:val="22"/>
        </w:rPr>
        <w:t>美国地区(US)、欧盟地区(EU)及拉丁美洲地区(LATAM)的本本店铺无任何返点。</w:t>
      </w:r>
    </w:p>
    <w:p>
      <w:pPr>
        <w:spacing w:before="120" w:after="120" w:line="288" w:lineRule="auto"/>
        <w:ind w:left="0" w:firstLine="420"/>
        <w:jc w:val="left"/>
      </w:pPr>
      <w:r>
        <w:rPr>
          <w:rFonts w:eastAsia="等线" w:ascii="Arial" w:cs="Arial" w:hAnsi="Arial"/>
          <w:sz w:val="22"/>
        </w:rPr>
        <w:t>“Local store” within the United States (US), European Union (EU), and Latin America (LATAM) shall not be eligible for any rebates.</w:t>
      </w:r>
    </w:p>
    <w:p>
      <w:pPr>
        <w:numPr>
          <w:numId w:val="9"/>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spacing w:before="120" w:after="120" w:line="288" w:lineRule="auto"/>
        <w:ind w:left="0" w:firstLine="420"/>
        <w:jc w:val="left"/>
      </w:pPr>
      <w:r>
        <w:rPr>
          <w:rFonts w:eastAsia="等线" w:ascii="Arial" w:cs="Arial" w:hAnsi="Arial"/>
          <w:sz w:val="22"/>
        </w:rPr>
        <w:t>"Local Store" refers to an e-commerce store established and actually operated by the seller in the target sales country/region based on local qualifications, and usually has the following characteristics:</w:t>
      </w:r>
    </w:p>
    <w:p>
      <w:pPr>
        <w:numPr>
          <w:numId w:val="10"/>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spacing w:before="120" w:after="120" w:line="288" w:lineRule="auto"/>
        <w:ind w:left="0" w:firstLine="420"/>
        <w:jc w:val="left"/>
      </w:pPr>
      <w:r>
        <w:rPr>
          <w:rFonts w:eastAsia="等线" w:ascii="Arial" w:cs="Arial" w:hAnsi="Arial"/>
          <w:sz w:val="22"/>
        </w:rPr>
        <w:t>Local registered entity: The registered entity must be a natural person with local identity in the country/region or a legally registered local legal person, and must submit valid local identity proof (such as passport, driver's license), tax number (such as SSN/ITIN), business license of the enterprise, and associated local mobile phone number, email information, etc</w:t>
      </w:r>
    </w:p>
    <w:p>
      <w:pPr>
        <w:numPr>
          <w:numId w:val="11"/>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spacing w:before="120" w:after="120" w:line="288" w:lineRule="auto"/>
        <w:ind w:left="0" w:firstLine="420"/>
        <w:jc w:val="left"/>
      </w:pPr>
      <w:r>
        <w:rPr>
          <w:rFonts w:eastAsia="等线" w:ascii="Arial" w:cs="Arial" w:hAnsi="Arial"/>
          <w:sz w:val="22"/>
        </w:rPr>
        <w:t>Local fulfillment and logistics: goods must be stored in local warehouses or dispatched through the local logistics system to ensure local fulfillment of orders and meet the platform's requirements for fulfillment efficiency</w:t>
      </w:r>
    </w:p>
    <w:p>
      <w:pPr>
        <w:numPr>
          <w:numId w:val="12"/>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spacing w:before="120" w:after="120" w:line="288" w:lineRule="auto"/>
        <w:ind w:left="0" w:firstLine="420"/>
        <w:jc w:val="left"/>
      </w:pPr>
      <w:r>
        <w:rPr>
          <w:rFonts w:eastAsia="等线" w:ascii="Arial" w:cs="Arial" w:hAnsi="Arial"/>
          <w:sz w:val="22"/>
        </w:rPr>
        <w:t>Localized business targets: mainly sells to TikTok platform users in the same country/region and does not involve cross-border export business;</w:t>
      </w:r>
    </w:p>
    <w:p>
      <w:pPr>
        <w:numPr>
          <w:numId w:val="13"/>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spacing w:before="120" w:after="120" w:line="288" w:lineRule="auto"/>
        <w:ind w:left="0" w:firstLine="420"/>
        <w:jc w:val="left"/>
      </w:pPr>
      <w:r>
        <w:rPr>
          <w:rFonts w:eastAsia="等线" w:ascii="Arial" w:cs="Arial" w:hAnsi="Arial"/>
          <w:sz w:val="22"/>
        </w:rPr>
        <w:t>Different from cross-border stores(POP): different from "cross-border stores" registered by entities from the Chinese mainland or Hong Kong and operating in a cross-border manner, "benben stores" are subject to local standards in terms of qualification recognition, fulfillment methods, subsidy rules and platform attributes</w:t>
      </w:r>
    </w:p>
    <w:p>
      <w:pPr>
        <w:numPr>
          <w:numId w:val="14"/>
        </w:numPr>
        <w:spacing w:before="120" w:after="120" w:line="288" w:lineRule="auto"/>
        <w:ind w:left="0"/>
        <w:jc w:val="left"/>
      </w:pPr>
      <w:r>
        <w:rPr>
          <w:rFonts w:eastAsia="等线" w:ascii="Arial" w:cs="Arial" w:hAnsi="Arial"/>
          <w:b w:val="true"/>
          <w:sz w:val="22"/>
        </w:rPr>
        <w:t>专项返点</w:t>
      </w:r>
    </w:p>
    <w:p>
      <w:pPr>
        <w:spacing w:before="120" w:after="120" w:line="288" w:lineRule="auto"/>
        <w:ind w:left="0" w:firstLine="420"/>
        <w:jc w:val="left"/>
      </w:pPr>
      <w:r>
        <w:rPr>
          <w:rFonts w:eastAsia="等线" w:ascii="Arial" w:cs="Arial" w:hAnsi="Arial"/>
          <w:b w:val="true"/>
          <w:sz w:val="22"/>
        </w:rPr>
        <w:t>Specific Rebate</w:t>
      </w:r>
    </w:p>
    <w:p>
      <w:pPr>
        <w:numPr>
          <w:numId w:val="15"/>
        </w:numPr>
        <w:spacing w:before="120" w:after="120" w:line="288" w:lineRule="auto"/>
        <w:ind w:left="0"/>
        <w:jc w:val="left"/>
      </w:pPr>
      <w:r>
        <w:rPr>
          <w:rFonts w:eastAsia="等线" w:ascii="Arial" w:cs="Arial" w:hAnsi="Arial"/>
          <w:sz w:val="22"/>
        </w:rPr>
        <w:t>甲方的Shop被媒体判断符合【通用新开】标准的，则甲方满足标准的每个Shop有机会可以额外获得如下返点奖励，金额最终以媒体判定为准：</w:t>
      </w:r>
    </w:p>
    <w:p>
      <w:pPr>
        <w:spacing w:before="120" w:after="120" w:line="288" w:lineRule="auto"/>
        <w:ind w:left="0" w:firstLine="420"/>
        <w:jc w:val="left"/>
      </w:pPr>
      <w:r>
        <w:rPr>
          <w:rFonts w:eastAsia="等线" w:ascii="Arial" w:cs="Arial" w:hAnsi="Arial"/>
          <w:sz w:val="22"/>
        </w:rPr>
        <w:t>If Party A's shop assessed by the media as [General Rebate for New Shops (New Clients)]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p>
            <w:pPr>
              <w:spacing w:before="120" w:after="120" w:line="288" w:lineRule="auto"/>
              <w:ind w:left="0"/>
              <w:jc w:val="center"/>
            </w:pPr>
            <w:r>
              <w:rPr>
                <w:rFonts w:eastAsia="等线" w:ascii="Arial" w:cs="Arial" w:hAnsi="Arial"/>
                <w:b w:val="true"/>
                <w:sz w:val="22"/>
              </w:rPr>
              <w:t>Incentives for New TTS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p>
            <w:pPr>
              <w:spacing w:before="120" w:after="120" w:line="288" w:lineRule="auto"/>
              <w:ind w:left="0"/>
              <w:jc w:val="center"/>
            </w:pPr>
            <w:r>
              <w:rPr>
                <w:rFonts w:eastAsia="等线" w:ascii="Arial" w:cs="Arial" w:hAnsi="Arial"/>
                <w:sz w:val="22"/>
              </w:rPr>
              <w:t>Quarterly EC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Shop在TikTok的首次广告消耗发生在本季度；</w:t>
            </w:r>
          </w:p>
          <w:p>
            <w:pPr>
              <w:spacing w:before="120" w:after="120" w:line="288" w:lineRule="auto"/>
              <w:ind w:left="0"/>
              <w:jc w:val="left"/>
            </w:pPr>
            <w:r>
              <w:rPr>
                <w:rFonts w:eastAsia="等线" w:ascii="Arial" w:cs="Arial" w:hAnsi="Arial"/>
                <w:sz w:val="22"/>
              </w:rPr>
              <w:t>Shop's first advertising expenditure on TikTok occurred this quarter</w:t>
            </w:r>
          </w:p>
          <w:p>
            <w:pPr>
              <w:numPr>
                <w:numId w:val="17"/>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spacing w:before="120" w:after="120" w:line="288" w:lineRule="auto"/>
              <w:ind w:left="0"/>
              <w:jc w:val="left"/>
            </w:pPr>
            <w:r>
              <w:rPr>
                <w:rFonts w:eastAsia="等线" w:ascii="Arial" w:cs="Arial" w:hAnsi="Arial"/>
                <w:sz w:val="22"/>
              </w:rPr>
              <w:t>For the advertising placement in the US/SEA region, the first advertising consumption of the advertising client group occurred in this quarter, and the closed-loop e-commerce advertising performance of Shop in this quarter was no less than $1000.</w:t>
            </w:r>
          </w:p>
          <w:p>
            <w:pPr>
              <w:numPr>
                <w:numId w:val="18"/>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spacing w:before="120" w:after="120" w:line="288" w:lineRule="auto"/>
              <w:ind w:left="0"/>
              <w:jc w:val="left"/>
            </w:pPr>
            <w:r>
              <w:rPr>
                <w:rFonts w:eastAsia="等线" w:ascii="Arial" w:cs="Arial" w:hAnsi="Arial"/>
                <w:sz w:val="22"/>
              </w:rPr>
              <w:t>For advertising placements in countries other than US/SEA, the first advertising expenditure of the advertising client group in that country occurred in this quarter, and Shop's closed-loop e-commerce advertising performance in that country in this quarter was no less than $1,000.</w:t>
            </w:r>
          </w:p>
          <w:p>
            <w:pPr>
              <w:numPr>
                <w:numId w:val="19"/>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spacing w:before="120" w:after="120" w:line="288" w:lineRule="auto"/>
              <w:ind w:left="0"/>
              <w:jc w:val="left"/>
            </w:pPr>
            <w:r>
              <w:rPr>
                <w:rFonts w:eastAsia="等线" w:ascii="Arial" w:cs="Arial" w:hAnsi="Arial"/>
                <w:sz w:val="22"/>
              </w:rPr>
              <w:t>The Incentives for New TTS shall no longer apply universally to all Shop types. The specific eligibility criteria and scope of application shall be exclusively governed by the Platform’s Media Policy.</w:t>
            </w:r>
          </w:p>
          <w:p>
            <w:pPr>
              <w:numPr>
                <w:numId w:val="20"/>
              </w:numPr>
              <w:spacing w:before="120" w:after="120" w:line="288" w:lineRule="auto"/>
              <w:ind w:left="0"/>
              <w:jc w:val="left"/>
            </w:pPr>
            <w:r>
              <w:rPr>
                <w:rFonts w:eastAsia="等线" w:ascii="Arial" w:cs="Arial" w:hAnsi="Arial"/>
                <w:sz w:val="22"/>
              </w:rPr>
              <w:t>投放地的划分基于TTS Operation Country来判定；</w:t>
            </w:r>
          </w:p>
          <w:p>
            <w:pPr>
              <w:spacing w:before="120" w:after="120" w:line="288" w:lineRule="auto"/>
              <w:ind w:left="0"/>
              <w:jc w:val="left"/>
            </w:pPr>
            <w:r>
              <w:rPr>
                <w:rFonts w:eastAsia="等线" w:ascii="Arial" w:cs="Arial" w:hAnsi="Arial"/>
                <w:sz w:val="22"/>
              </w:rPr>
              <w:t>The division of advertising placements location shall be determined  by the TTS Operation Country；</w:t>
            </w:r>
          </w:p>
          <w:p>
            <w:pPr>
              <w:numPr>
                <w:numId w:val="21"/>
              </w:numPr>
              <w:spacing w:before="120" w:after="120" w:line="288" w:lineRule="auto"/>
              <w:ind w:left="0"/>
              <w:jc w:val="left"/>
            </w:pPr>
            <w:r>
              <w:rPr>
                <w:rFonts w:eastAsia="等线" w:ascii="Arial" w:cs="Arial" w:hAnsi="Arial"/>
                <w:sz w:val="22"/>
              </w:rPr>
              <w:t xml:space="preserve">投广客户集团的认定以媒体判定为准； </w:t>
            </w:r>
          </w:p>
          <w:p>
            <w:pPr>
              <w:spacing w:before="120" w:after="120" w:line="288" w:lineRule="auto"/>
              <w:ind w:left="0"/>
              <w:jc w:val="left"/>
            </w:pPr>
            <w:r>
              <w:rPr>
                <w:rFonts w:eastAsia="等线" w:ascii="Arial" w:cs="Arial" w:hAnsi="Arial"/>
                <w:sz w:val="22"/>
              </w:rPr>
              <w:t>The determination of an advertising client group shall be subject to the media party's judgment.</w:t>
            </w:r>
          </w:p>
          <w:p>
            <w:pPr>
              <w:spacing w:before="120" w:after="120" w:line="288" w:lineRule="auto"/>
              <w:ind w:left="0"/>
              <w:jc w:val="left"/>
            </w:pPr>
            <w:r>
              <w:rPr>
                <w:rFonts w:eastAsia="等线" w:ascii="Arial" w:cs="Arial" w:hAnsi="Arial"/>
                <w:sz w:val="22"/>
              </w:rPr>
              <w:t>(7) 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22"/>
        </w:numPr>
        <w:spacing w:before="120" w:after="120" w:line="288" w:lineRule="auto"/>
        <w:ind w:left="0"/>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broadcast and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p>
            <w:pPr>
              <w:spacing w:before="120" w:after="120" w:line="288" w:lineRule="auto"/>
              <w:ind w:left="0"/>
              <w:jc w:val="center"/>
            </w:pPr>
            <w:r>
              <w:rPr>
                <w:rFonts w:eastAsia="等线" w:ascii="Arial" w:cs="Arial" w:hAnsi="Arial"/>
                <w:b w:val="true"/>
                <w:sz w:val="22"/>
              </w:rPr>
              <w:t>Incentives for First broadcast and first placement 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 xml:space="preserve">Quarterly LSA Advertising </w:t>
            </w:r>
          </w:p>
          <w:p>
            <w:pPr>
              <w:spacing w:before="120" w:after="120" w:line="288" w:lineRule="auto"/>
              <w:ind w:left="0"/>
              <w:jc w:val="center"/>
            </w:pPr>
            <w:r>
              <w:rPr>
                <w:rFonts w:eastAsia="等线" w:ascii="Arial" w:cs="Arial" w:hAnsi="Arial"/>
                <w:sz w:val="22"/>
              </w:rPr>
              <w:t>Expenditure</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spacing w:before="120" w:after="120" w:line="288" w:lineRule="auto"/>
              <w:ind w:left="0"/>
              <w:jc w:val="left"/>
            </w:pPr>
          </w:p>
          <w:p>
            <w:pPr>
              <w:spacing w:before="120" w:after="120" w:line="288" w:lineRule="auto"/>
              <w:ind w:left="0"/>
              <w:jc w:val="left"/>
            </w:pPr>
            <w:r>
              <w:rPr>
                <w:rFonts w:eastAsia="等线" w:ascii="Arial" w:cs="Arial" w:hAnsi="Arial"/>
                <w:sz w:val="22"/>
              </w:rPr>
              <w:t>"First Broadcast and first placement" refers to Shop's first live broadcast on TikTok For Business and the first placement of LSA advertisements occurring in this quarter, and Shop's LSA performance in this quarter is not less than $1,000.LSA product types include Level 5 products = 'GMV Max Live' and 'Shop Ads Custom LSA'</w:t>
            </w:r>
          </w:p>
          <w:p>
            <w:pPr>
              <w:numPr>
                <w:numId w:val="24"/>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r>
              <w:rPr>
                <w:rFonts w:eastAsia="等线" w:ascii="Arial" w:cs="Arial" w:hAnsi="Arial"/>
                <w:sz w:val="22"/>
              </w:rPr>
              <w:t>（3）若同一个Shop同时满足了“首播首投”和“首次投广”奖励，则该Shop最终获得的奖励金额为““首播首投”和“首次投广”奖励中的最高奖励金额。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If the same Shop simultaneously meets the "First Broadcast and first investment" and " First placement " rewards, the final reward amount that the Shop receives will be the highest reward amount among the "First broadcast and first Investment" and " First placement " rewards.</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p>
            <w:pPr>
              <w:spacing w:before="120" w:after="120" w:line="288" w:lineRule="auto"/>
              <w:ind w:left="0"/>
              <w:jc w:val="center"/>
            </w:pPr>
            <w:r>
              <w:rPr>
                <w:rFonts w:eastAsia="等线" w:ascii="Arial" w:cs="Arial" w:hAnsi="Arial"/>
                <w:b w:val="true"/>
                <w:sz w:val="22"/>
              </w:rPr>
              <w:t>Incentives for first placement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Quarterly LSA advertising expenditures</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Shop在TikTok for Business的首次LSA消耗投放均发生在本季度；且Shop本季度的LSA业绩不低于$1,000。LSA的产品类型包含Level 5 product = 'GMV Max Live'、'Shop Ads Custom LSA'，业绩以 【Shop Self Live Revenue】为准。</w:t>
            </w:r>
          </w:p>
          <w:p>
            <w:pPr>
              <w:spacing w:before="120" w:after="120" w:line="288" w:lineRule="auto"/>
              <w:ind w:left="0"/>
              <w:jc w:val="left"/>
            </w:pPr>
            <w:r>
              <w:rPr>
                <w:rFonts w:eastAsia="等线" w:ascii="Arial" w:cs="Arial" w:hAnsi="Arial"/>
                <w:sz w:val="22"/>
              </w:rPr>
              <w:t>The first LSA consumption placements of Shop on TikTok for Business all occurred in this quarter. And Shop's LSA performance for this quarter is no less than $1,000.LSA product types include Level 5 products = 'GMV Max Live' and 'Shop Ads Custom LSA'; performance will be based on 【Shop Self Live Revenue】.</w:t>
            </w:r>
          </w:p>
          <w:p>
            <w:pPr>
              <w:spacing w:before="120" w:after="120" w:line="288" w:lineRule="auto"/>
              <w:ind w:left="0"/>
              <w:jc w:val="left"/>
            </w:pPr>
            <w:r>
              <w:rPr>
                <w:rFonts w:eastAsia="等线" w:ascii="Arial" w:cs="Arial" w:hAnsi="Arial"/>
                <w:sz w:val="22"/>
              </w:rPr>
              <w:t>（2） 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r>
              <w:rPr>
                <w:rFonts w:eastAsia="等线" w:ascii="Arial" w:cs="Arial" w:hAnsi="Arial"/>
                <w:sz w:val="22"/>
              </w:rPr>
              <w:t>(3) 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 xml:space="preserve">If the same Shop simultaneously meets the "First broadcast and first placement" and “First placement" rewards, the final reward amount that the Shop receives will be the highest reward amount among the "First broadcast and first placement" and “First placement" rewards </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Mini Series]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p>
            <w:pPr>
              <w:spacing w:before="120" w:after="120" w:line="288" w:lineRule="auto"/>
              <w:ind w:left="0"/>
              <w:jc w:val="center"/>
            </w:pPr>
            <w:r>
              <w:rPr>
                <w:rFonts w:eastAsia="等线" w:ascii="Arial" w:cs="Arial" w:hAnsi="Arial"/>
                <w:b w:val="true"/>
                <w:sz w:val="22"/>
              </w:rPr>
              <w:t>Incentives for New Mini Series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p>
            <w:pPr>
              <w:spacing w:before="120" w:after="120" w:line="288" w:lineRule="auto"/>
              <w:ind w:left="0"/>
              <w:jc w:val="center"/>
            </w:pPr>
            <w:r>
              <w:rPr>
                <w:rFonts w:eastAsia="等线" w:ascii="Arial" w:cs="Arial" w:hAnsi="Arial"/>
                <w:sz w:val="22"/>
              </w:rPr>
              <w:t>Quarterly series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剧目在TikTok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drama on TikTok for Business occurred in this quarter;</w:t>
            </w:r>
          </w:p>
          <w:p>
            <w:pPr>
              <w:numPr>
                <w:numId w:val="27"/>
              </w:numPr>
              <w:spacing w:before="120" w:after="120" w:line="288" w:lineRule="auto"/>
              <w:ind w:left="0"/>
              <w:jc w:val="left"/>
            </w:pPr>
            <w:r>
              <w:rPr>
                <w:rFonts w:eastAsia="等线" w:ascii="Arial" w:cs="Arial" w:hAnsi="Arial"/>
                <w:sz w:val="22"/>
              </w:rPr>
              <w:t>剧目在本季度的广告消耗不低于$2,000；</w:t>
            </w:r>
          </w:p>
          <w:p>
            <w:pPr>
              <w:spacing w:before="120" w:after="120" w:line="288" w:lineRule="auto"/>
              <w:ind w:left="0"/>
              <w:jc w:val="left"/>
            </w:pPr>
            <w:r>
              <w:rPr>
                <w:rFonts w:eastAsia="等线" w:ascii="Arial" w:cs="Arial" w:hAnsi="Arial"/>
                <w:sz w:val="22"/>
              </w:rPr>
              <w:t>The advertising expenditure of the play in this quarter is no less than $2,000</w:t>
            </w:r>
          </w:p>
          <w:p>
            <w:pPr>
              <w:numPr>
                <w:numId w:val="28"/>
              </w:numPr>
              <w:spacing w:before="120" w:after="120" w:line="288" w:lineRule="auto"/>
              <w:ind w:left="0"/>
              <w:jc w:val="left"/>
            </w:pPr>
            <w:r>
              <w:rPr>
                <w:rFonts w:eastAsia="等线" w:ascii="Arial" w:cs="Arial" w:hAnsi="Arial"/>
                <w:sz w:val="22"/>
              </w:rPr>
              <w:t>目的达标情况以【Short Drama Name】为维度，若核算期间存在剧目合并等原因导致剧目合计消耗发生变动，以媒体核算期间的系统导出数据为准。</w:t>
            </w:r>
          </w:p>
          <w:p>
            <w:pPr>
              <w:spacing w:before="120" w:after="120" w:line="288" w:lineRule="auto"/>
              <w:ind w:left="0"/>
              <w:jc w:val="left"/>
            </w:pPr>
            <w:r>
              <w:rPr>
                <w:rFonts w:eastAsia="等线" w:ascii="Arial" w:cs="Arial" w:hAnsi="Arial"/>
                <w:sz w:val="22"/>
              </w:rPr>
              <w:t>Performance against the objective shall be evaluated based on the 【Short Drama Name】 dimension. In the event of changes to the total consumption due to reasons such as drama mergers during the accounting period, the data exported from the media's system for that period shall prevail.</w:t>
            </w:r>
          </w:p>
          <w:p>
            <w:pPr>
              <w:numPr>
                <w:numId w:val="29"/>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p>
            <w:pPr>
              <w:spacing w:before="120" w:after="120" w:line="288" w:lineRule="auto"/>
              <w:ind w:left="0"/>
              <w:jc w:val="left"/>
            </w:pPr>
            <w:r>
              <w:rPr>
                <w:rFonts w:eastAsia="等线" w:ascii="Arial" w:cs="Arial" w:hAnsi="Arial"/>
                <w:sz w:val="22"/>
              </w:rPr>
              <w:t>Additional rebates For those that meet the criteria for new plays in Q3 of 25, have an increased rebate gradient in Q4 of 25, and have a expenditure of no less than $2,000, the advertising expenditure period will be rolled for 90 days starting from the first expenditure of the play. The total rebate amount stipulated in this table minus the rebate amount issued by this short play in the new short play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30"/>
        </w:numPr>
        <w:spacing w:before="120" w:after="120" w:line="288" w:lineRule="auto"/>
        <w:ind w:left="0"/>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Game]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p>
            <w:pPr>
              <w:spacing w:before="120" w:after="120" w:line="288" w:lineRule="auto"/>
              <w:ind w:left="0"/>
              <w:jc w:val="center"/>
            </w:pPr>
            <w:r>
              <w:rPr>
                <w:rFonts w:eastAsia="等线" w:ascii="Arial" w:cs="Arial" w:hAnsi="Arial"/>
                <w:b w:val="true"/>
                <w:sz w:val="22"/>
              </w:rPr>
              <w:t>Incentives for New Game in Q42025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p>
            <w:pPr>
              <w:spacing w:before="120" w:after="120" w:line="288" w:lineRule="auto"/>
              <w:ind w:left="0"/>
              <w:jc w:val="center"/>
            </w:pPr>
            <w:r>
              <w:rPr>
                <w:rFonts w:eastAsia="等线" w:ascii="Arial" w:cs="Arial" w:hAnsi="Arial"/>
                <w:sz w:val="22"/>
              </w:rPr>
              <w:t>Quarterly game advertising expenditures</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App/甲方集团在TikTok for Business的首次广告消耗发生在本季度；</w:t>
            </w:r>
          </w:p>
          <w:p>
            <w:pPr>
              <w:spacing w:before="120" w:after="120" w:line="288" w:lineRule="auto"/>
              <w:ind w:left="0"/>
              <w:jc w:val="left"/>
            </w:pPr>
            <w:r>
              <w:rPr>
                <w:rFonts w:eastAsia="等线" w:ascii="Arial" w:cs="Arial" w:hAnsi="Arial"/>
                <w:sz w:val="22"/>
              </w:rPr>
              <w:t>The first advertising consumption of the App/ Party A Group on TikTok for Business occurred in this quarter;</w:t>
            </w:r>
          </w:p>
          <w:p>
            <w:pPr>
              <w:numPr>
                <w:numId w:val="32"/>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spacing w:before="120" w:after="120" w:line="288" w:lineRule="auto"/>
              <w:ind w:left="0"/>
              <w:jc w:val="left"/>
            </w:pPr>
            <w:r>
              <w:rPr>
                <w:rFonts w:eastAsia="等线" w:ascii="Arial" w:cs="Arial" w:hAnsi="Arial"/>
                <w:sz w:val="22"/>
              </w:rPr>
              <w:t>This provision shall apply if the advertising client group's first advertising expenditure on TikTok for Business occurs within the current quarter, or if expenditure resumes within the current quarter following a continuous 180-day period of no expenditure.</w:t>
            </w:r>
          </w:p>
          <w:p>
            <w:pPr>
              <w:spacing w:before="120" w:after="120" w:line="288" w:lineRule="auto"/>
              <w:ind w:left="0"/>
              <w:jc w:val="left"/>
            </w:pPr>
            <w:r>
              <w:rPr>
                <w:rFonts w:eastAsia="等线" w:ascii="Arial" w:cs="Arial" w:hAnsi="Arial"/>
                <w:sz w:val="22"/>
              </w:rPr>
              <w:t>(3) App在本季度的广告消耗不低于$1,000；</w:t>
            </w:r>
          </w:p>
          <w:p>
            <w:pPr>
              <w:spacing w:before="120" w:after="120" w:line="288" w:lineRule="auto"/>
              <w:ind w:left="0"/>
              <w:jc w:val="left"/>
            </w:pPr>
            <w:r>
              <w:rPr>
                <w:rFonts w:eastAsia="等线" w:ascii="Arial" w:cs="Arial" w:hAnsi="Arial"/>
                <w:sz w:val="22"/>
              </w:rPr>
              <w:t>The advertising expenditure of the App in this quarter is no less than $1,000.</w:t>
            </w:r>
          </w:p>
          <w:p>
            <w:pPr>
              <w:numPr>
                <w:numId w:val="33"/>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criteria for new games in Q3 of 25, have an increased rebate gradient in Q4 of 25, and have a expenditure of no less than $1,000, the advertising expenditure period will be rolled for 90 days starting from the first expenditure of the game. The total rebate amount stipulated in this table minus the rebate amount issued by this APP in the new game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34"/>
        </w:numPr>
        <w:spacing w:before="120" w:after="120" w:line="288" w:lineRule="auto"/>
        <w:ind w:left="0"/>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App of Party A is judged by the media to meet the standards of the [Non-Mini Series Apps], then each APP that meets the standards of Party A has the opportunity to receive the following additional rebate rewards.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p>
            <w:pPr>
              <w:spacing w:before="120" w:after="120" w:line="288" w:lineRule="auto"/>
              <w:ind w:left="0"/>
              <w:jc w:val="center"/>
            </w:pPr>
            <w:r>
              <w:rPr>
                <w:rFonts w:eastAsia="等线" w:ascii="Arial" w:cs="Arial" w:hAnsi="Arial"/>
                <w:b w:val="true"/>
                <w:sz w:val="22"/>
              </w:rPr>
              <w:t xml:space="preserve">Incentives for Non-Mini Series APPS </w:t>
            </w:r>
          </w:p>
          <w:p>
            <w:pPr>
              <w:spacing w:before="120" w:after="120" w:line="288" w:lineRule="auto"/>
              <w:ind w:left="0"/>
              <w:jc w:val="center"/>
            </w:pPr>
            <w:r>
              <w:rPr>
                <w:rFonts w:eastAsia="等线" w:ascii="Arial" w:cs="Arial" w:hAnsi="Arial"/>
                <w:b w:val="true"/>
                <w:sz w:val="22"/>
              </w:rPr>
              <w:t>in Q42025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APP本季度的广告业绩区间</w:t>
            </w:r>
          </w:p>
          <w:p>
            <w:pPr>
              <w:spacing w:before="120" w:after="120" w:line="288" w:lineRule="auto"/>
              <w:ind w:left="0"/>
              <w:jc w:val="center"/>
            </w:pPr>
            <w:r>
              <w:rPr>
                <w:rFonts w:eastAsia="等线" w:ascii="Arial" w:cs="Arial" w:hAnsi="Arial"/>
                <w:sz w:val="22"/>
              </w:rPr>
              <w:t>The advertising expenditure range of the APP for this quarter</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App在TikTok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App on TikTok for Business occurred in this quarter.</w:t>
            </w:r>
          </w:p>
          <w:p>
            <w:pPr>
              <w:numPr>
                <w:numId w:val="36"/>
              </w:numPr>
              <w:spacing w:before="120" w:after="120" w:line="288" w:lineRule="auto"/>
              <w:ind w:left="0"/>
              <w:jc w:val="left"/>
            </w:pPr>
            <w:r>
              <w:rPr>
                <w:rFonts w:eastAsia="等线" w:ascii="Arial" w:cs="Arial" w:hAnsi="Arial"/>
                <w:sz w:val="22"/>
              </w:rPr>
              <w:t>应用非短剧App的类型划分以媒体判定为准;</w:t>
            </w:r>
          </w:p>
          <w:p>
            <w:pPr>
              <w:spacing w:before="120" w:after="120" w:line="288" w:lineRule="auto"/>
              <w:ind w:left="0"/>
              <w:jc w:val="left"/>
            </w:pPr>
            <w:r>
              <w:rPr>
                <w:rFonts w:eastAsia="等线" w:ascii="Arial" w:cs="Arial" w:hAnsi="Arial"/>
                <w:sz w:val="22"/>
              </w:rPr>
              <w:t>The classification of non-short drama apps is based on media determination.</w:t>
            </w:r>
          </w:p>
          <w:p>
            <w:pPr>
              <w:numPr>
                <w:numId w:val="37"/>
              </w:numPr>
              <w:spacing w:before="120" w:after="120" w:line="288" w:lineRule="auto"/>
              <w:ind w:left="0"/>
              <w:jc w:val="left"/>
            </w:pPr>
            <w:r>
              <w:rPr>
                <w:rFonts w:eastAsia="等线" w:ascii="Arial" w:cs="Arial" w:hAnsi="Arial"/>
                <w:sz w:val="22"/>
              </w:rPr>
              <w:t>App在本季度的广告消耗不低于$2,000；</w:t>
            </w:r>
          </w:p>
          <w:p>
            <w:pPr>
              <w:spacing w:before="120" w:after="120" w:line="288" w:lineRule="auto"/>
              <w:ind w:left="0"/>
              <w:jc w:val="left"/>
            </w:pPr>
            <w:r>
              <w:rPr>
                <w:rFonts w:eastAsia="等线" w:ascii="Arial" w:cs="Arial" w:hAnsi="Arial"/>
                <w:sz w:val="22"/>
              </w:rPr>
              <w:t>The advertising expenditure of the App in this quarter is no less than $2,000.</w:t>
            </w:r>
          </w:p>
          <w:p>
            <w:pPr>
              <w:numPr>
                <w:numId w:val="38"/>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expensed no less than $2,000, based on the advertising expenditure period of 90 days starting from the App's first expenditure and rolling, the total rebate amount stipulated in this table will be subtracted from the rebate amount issued by the App in the non-short drama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p>
            <w:pPr>
              <w:spacing w:before="120" w:after="120" w:line="288" w:lineRule="auto"/>
              <w:ind w:left="0"/>
              <w:jc w:val="center"/>
            </w:pPr>
            <w:r>
              <w:rPr>
                <w:rFonts w:eastAsia="等线" w:ascii="Arial" w:cs="Arial" w:hAnsi="Arial"/>
                <w:sz w:val="22"/>
              </w:rPr>
              <w:t>Over $30,000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39"/>
        </w:numPr>
        <w:spacing w:before="120" w:after="120" w:line="288" w:lineRule="auto"/>
        <w:ind w:left="0"/>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【Branding】,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590"/>
        <w:gridCol w:w="5085"/>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5085"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返点比例（新客）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left"/>
            </w:pPr>
            <w:r>
              <w:rPr>
                <w:rFonts w:eastAsia="等线" w:ascii="Arial" w:cs="Arial" w:hAnsi="Arial"/>
                <w:sz w:val="22"/>
              </w:rPr>
              <w:t>(New customer)</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返点比例（老客）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center"/>
            </w:pPr>
            <w:r>
              <w:rPr>
                <w:rFonts w:eastAsia="等线" w:ascii="Arial" w:cs="Arial" w:hAnsi="Arial"/>
                <w:sz w:val="22"/>
              </w:rPr>
              <w:t>(Loyal customer)</w:t>
            </w:r>
          </w:p>
        </w:tc>
        <w:tc>
          <w:tcPr>
            <w:tcW w:w="50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（1）投广客户集团在TikTok for Business的首次品牌广告消耗发生在本季度的为新客，新/老客的判定最终以媒体确认为准；</w:t>
            </w:r>
          </w:p>
          <w:p>
            <w:pPr>
              <w:spacing w:before="120" w:after="120" w:line="288" w:lineRule="auto"/>
              <w:ind w:left="0"/>
              <w:jc w:val="left"/>
            </w:pPr>
            <w:r>
              <w:rPr>
                <w:rFonts w:eastAsia="等线" w:ascii="Arial" w:cs="Arial" w:hAnsi="Arial"/>
                <w:sz w:val="22"/>
              </w:rPr>
              <w:t>An advertising client group shall be classified as a new customer if its first brand advertising expenditure on TikTok for Business occurs within the current quarter. The final determination of new or loyal customer status shall be subject to confirmation by the media platform.</w:t>
            </w:r>
          </w:p>
          <w:p>
            <w:pPr>
              <w:spacing w:before="120" w:after="120" w:line="288" w:lineRule="auto"/>
              <w:ind w:left="0"/>
              <w:jc w:val="left"/>
            </w:pPr>
            <w:r>
              <w:rPr>
                <w:rFonts w:eastAsia="等线" w:ascii="Arial" w:cs="Arial" w:hAnsi="Arial"/>
                <w:sz w:val="22"/>
              </w:rPr>
              <w:t>(2)返点金额=品牌新客返点+品牌老客返点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p>
            <w:pPr>
              <w:spacing w:before="120" w:after="120" w:line="288" w:lineRule="auto"/>
              <w:ind w:left="0"/>
              <w:jc w:val="left"/>
            </w:pPr>
            <w:r>
              <w:rPr>
                <w:rFonts w:eastAsia="等线" w:ascii="Arial" w:cs="Arial" w:hAnsi="Arial"/>
                <w:sz w:val="22"/>
              </w:rPr>
              <w:t>Total Rebate Amount = New Brand customer Rebate + Loyal Brand customer Rebate</w:t>
            </w:r>
          </w:p>
          <w:p>
            <w:pPr>
              <w:spacing w:before="120" w:after="120" w:line="288" w:lineRule="auto"/>
              <w:ind w:left="0"/>
              <w:jc w:val="left"/>
            </w:pPr>
            <w:r>
              <w:rPr>
                <w:rFonts w:eastAsia="等线" w:ascii="Arial" w:cs="Arial" w:hAnsi="Arial"/>
                <w:sz w:val="22"/>
              </w:rPr>
              <w:t>New Brand customer Rebate = New Brand customer Performance × New customer Rebate Rate</w:t>
            </w:r>
          </w:p>
          <w:p>
            <w:pPr>
              <w:spacing w:before="120" w:after="120" w:line="288" w:lineRule="auto"/>
              <w:ind w:left="0"/>
              <w:jc w:val="left"/>
            </w:pPr>
            <w:r>
              <w:rPr>
                <w:rFonts w:eastAsia="等线" w:ascii="Arial" w:cs="Arial" w:hAnsi="Arial"/>
                <w:sz w:val="22"/>
              </w:rPr>
              <w:t>Loyal Brand customer Rebate= Loyal Brand customer Performance × Loyal customer Rebate Rate</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508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40"/>
        </w:numPr>
        <w:spacing w:before="120" w:after="120" w:line="288" w:lineRule="auto"/>
        <w:ind w:left="0"/>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TTS Advertiser Placement 】,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950"/>
        <w:gridCol w:w="2625"/>
        <w:gridCol w:w="177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TTS自播投广成长激励</w:t>
            </w:r>
          </w:p>
          <w:p>
            <w:pPr>
              <w:spacing w:before="120" w:after="120" w:line="288" w:lineRule="auto"/>
              <w:ind w:left="0"/>
              <w:jc w:val="center"/>
            </w:pPr>
            <w:r>
              <w:rPr>
                <w:rFonts w:eastAsia="等线" w:ascii="Arial" w:cs="Arial" w:hAnsi="Arial"/>
                <w:b w:val="true"/>
                <w:sz w:val="22"/>
              </w:rPr>
              <w:t>Q4 2025</w:t>
            </w:r>
          </w:p>
          <w:p>
            <w:pPr>
              <w:spacing w:before="120" w:after="120" w:line="288" w:lineRule="auto"/>
              <w:ind w:left="0"/>
              <w:jc w:val="center"/>
            </w:pPr>
            <w:r>
              <w:rPr>
                <w:rFonts w:eastAsia="等线" w:ascii="Arial" w:cs="Arial" w:hAnsi="Arial"/>
                <w:b w:val="true"/>
                <w:sz w:val="22"/>
              </w:rPr>
              <w:t>Special Incentive for TTS Advertiser Placement Growth</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季度日均GMV</w:t>
            </w:r>
          </w:p>
          <w:p>
            <w:pPr>
              <w:spacing w:before="120" w:after="120" w:line="288" w:lineRule="auto"/>
              <w:ind w:left="0"/>
              <w:jc w:val="left"/>
            </w:pPr>
            <w:r>
              <w:rPr>
                <w:rFonts w:eastAsia="等线" w:ascii="Arial" w:cs="Arial" w:hAnsi="Arial"/>
                <w:sz w:val="22"/>
              </w:rPr>
              <w:t xml:space="preserve"> Quarterly Average Daily  GMV</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Shop消耗QoQ</w:t>
            </w:r>
          </w:p>
          <w:p>
            <w:pPr>
              <w:spacing w:before="120" w:after="120" w:line="288" w:lineRule="auto"/>
              <w:ind w:left="0"/>
              <w:jc w:val="left"/>
            </w:pPr>
            <w:r>
              <w:rPr>
                <w:rFonts w:eastAsia="等线" w:ascii="Arial" w:cs="Arial" w:hAnsi="Arial"/>
                <w:sz w:val="22"/>
              </w:rPr>
              <w:t>Shop Expenditure QoQ</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Shop自播投广消耗QoQ</w:t>
            </w:r>
          </w:p>
          <w:p>
            <w:pPr>
              <w:spacing w:before="120" w:after="120" w:line="288" w:lineRule="auto"/>
              <w:ind w:left="0"/>
              <w:jc w:val="left"/>
            </w:pPr>
            <w:r>
              <w:rPr>
                <w:rFonts w:eastAsia="等线" w:ascii="Arial" w:cs="Arial" w:hAnsi="Arial"/>
                <w:sz w:val="22"/>
              </w:rPr>
              <w:t>Shop Advertiser Placement Expenditure QoQ</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w:t>
            </w:r>
          </w:p>
          <w:p>
            <w:pPr>
              <w:spacing w:before="120" w:after="120" w:line="288" w:lineRule="auto"/>
              <w:ind w:left="0"/>
              <w:jc w:val="left"/>
            </w:pPr>
            <w:r>
              <w:rPr>
                <w:rFonts w:eastAsia="等线" w:ascii="Arial" w:cs="Arial" w:hAnsi="Arial"/>
                <w:sz w:val="22"/>
              </w:rPr>
              <w:t>Rebate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41"/>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spacing w:before="120" w:after="120" w:line="288" w:lineRule="auto"/>
              <w:ind w:left="0"/>
              <w:jc w:val="left"/>
            </w:pPr>
            <w:r>
              <w:rPr>
                <w:rFonts w:eastAsia="等线" w:ascii="Arial" w:cs="Arial" w:hAnsi="Arial"/>
                <w:sz w:val="22"/>
              </w:rPr>
              <w:t>For Shops in the Southeast Asia (SEA) region that had self-streaming ad spend in Q3 2025 (i.e., existing Shops), and which simultaneously meet all the above requirements, a rebate rate shall be applied based on the incremental amount of their advertiser placement spend in Q4 2025 compared to Q3 2025.</w:t>
            </w:r>
          </w:p>
          <w:p>
            <w:pPr>
              <w:numPr>
                <w:numId w:val="42"/>
              </w:numPr>
              <w:spacing w:before="120" w:after="120" w:line="288" w:lineRule="auto"/>
              <w:ind w:left="0"/>
              <w:jc w:val="left"/>
            </w:pPr>
            <w:r>
              <w:rPr>
                <w:rFonts w:eastAsia="等线" w:ascii="Arial" w:cs="Arial" w:hAnsi="Arial"/>
                <w:sz w:val="22"/>
              </w:rPr>
              <w:t>Shop日均GMV = Shop在Q4期间的总成交额(Total GMV) ÷ Q4整体天数；</w:t>
            </w:r>
          </w:p>
          <w:p>
            <w:pPr>
              <w:spacing w:before="120" w:after="120" w:line="288" w:lineRule="auto"/>
              <w:ind w:left="0"/>
              <w:jc w:val="left"/>
            </w:pPr>
            <w:r>
              <w:rPr>
                <w:rFonts w:eastAsia="等线" w:ascii="Arial" w:cs="Arial" w:hAnsi="Arial"/>
                <w:sz w:val="22"/>
              </w:rPr>
              <w:t>Shop Average Daily GMV = Total GMV in Q4 ÷ Number of Days in Q4</w:t>
            </w:r>
          </w:p>
          <w:p>
            <w:pPr>
              <w:numPr>
                <w:numId w:val="43"/>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spacing w:before="120" w:after="120" w:line="288" w:lineRule="auto"/>
              <w:ind w:left="0"/>
              <w:jc w:val="left"/>
            </w:pPr>
            <w:r>
              <w:rPr>
                <w:rFonts w:eastAsia="等线" w:ascii="Arial" w:cs="Arial" w:hAnsi="Arial"/>
                <w:sz w:val="22"/>
              </w:rPr>
              <w:t>Rebate Amount = 10% × (Q4 2025 Advertiser Placement Spend - Q3 2025 Advertiser Placement Spend). The rebate amount per Shop is subject to a maximum of USD 6,000.</w:t>
            </w:r>
          </w:p>
          <w:p>
            <w:pPr>
              <w:numPr>
                <w:numId w:val="44"/>
              </w:numPr>
              <w:spacing w:before="120" w:after="120" w:line="288" w:lineRule="auto"/>
              <w:ind w:left="0"/>
              <w:jc w:val="left"/>
            </w:pPr>
            <w:r>
              <w:rPr>
                <w:rFonts w:eastAsia="等线" w:ascii="Arial" w:cs="Arial" w:hAnsi="Arial"/>
                <w:sz w:val="22"/>
              </w:rPr>
              <w:t>Shop自播投广业绩以【Shop Self Live Revenue】为准；</w:t>
            </w:r>
          </w:p>
          <w:p>
            <w:pPr>
              <w:spacing w:before="120" w:after="120" w:line="288" w:lineRule="auto"/>
              <w:ind w:left="0"/>
              <w:jc w:val="left"/>
            </w:pPr>
            <w:r>
              <w:rPr>
                <w:rFonts w:eastAsia="等线" w:ascii="Arial" w:cs="Arial" w:hAnsi="Arial"/>
                <w:sz w:val="22"/>
              </w:rPr>
              <w:t>The performance for a Shop's advertiser placement shall be based on the metric 【Shop Self Live Revenue】.</w:t>
            </w:r>
          </w:p>
          <w:p>
            <w:pPr>
              <w:numPr>
                <w:numId w:val="45"/>
              </w:numPr>
              <w:spacing w:before="120" w:after="120" w:line="288" w:lineRule="auto"/>
              <w:ind w:left="0"/>
              <w:jc w:val="left"/>
            </w:pPr>
            <w:r>
              <w:rPr>
                <w:rFonts w:eastAsia="等线" w:ascii="Arial" w:cs="Arial" w:hAnsi="Arial"/>
                <w:sz w:val="22"/>
              </w:rPr>
              <w:t>投放地的划分基于 TTS Operation Country来判定。</w:t>
            </w:r>
          </w:p>
          <w:p>
            <w:pPr>
              <w:spacing w:before="120" w:after="120" w:line="288" w:lineRule="auto"/>
              <w:ind w:left="0"/>
              <w:jc w:val="left"/>
            </w:pPr>
            <w:r>
              <w:rPr>
                <w:rFonts w:eastAsia="等线" w:ascii="Arial" w:cs="Arial" w:hAnsi="Arial"/>
                <w:sz w:val="22"/>
              </w:rPr>
              <w:t>The allocation of advertising placements location is determined by the TTS Operation Country.</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46"/>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expendituren of Party A is judged by the media to meet the standards of the [Growth of Medium and Small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p>
            <w:pPr>
              <w:spacing w:before="120" w:after="120" w:line="288" w:lineRule="auto"/>
              <w:ind w:left="0"/>
              <w:jc w:val="center"/>
            </w:pPr>
            <w:r>
              <w:rPr>
                <w:rFonts w:eastAsia="等线" w:ascii="Arial" w:cs="Arial" w:hAnsi="Arial"/>
                <w:b w:val="true"/>
                <w:sz w:val="22"/>
              </w:rPr>
              <w:t>Q4 2025</w:t>
            </w:r>
          </w:p>
          <w:p>
            <w:pPr>
              <w:spacing w:before="120" w:after="120" w:line="288" w:lineRule="auto"/>
              <w:ind w:left="0"/>
              <w:jc w:val="center"/>
            </w:pPr>
            <w:r>
              <w:rPr>
                <w:rFonts w:eastAsia="等线" w:ascii="Arial" w:cs="Arial" w:hAnsi="Arial"/>
                <w:b w:val="true"/>
                <w:sz w:val="22"/>
              </w:rPr>
              <w:t>Special Incentive for SMB Growth</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p>
            <w:pPr>
              <w:spacing w:before="120" w:after="120" w:line="288" w:lineRule="auto"/>
              <w:ind w:left="0"/>
              <w:jc w:val="center"/>
            </w:pPr>
            <w:r>
              <w:rPr>
                <w:rFonts w:eastAsia="等线" w:ascii="Arial" w:cs="Arial" w:hAnsi="Arial"/>
                <w:sz w:val="22"/>
              </w:rPr>
              <w:t>Gradient</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p>
            <w:pPr>
              <w:spacing w:before="120" w:after="120" w:line="288" w:lineRule="auto"/>
              <w:ind w:left="0"/>
              <w:jc w:val="center"/>
            </w:pPr>
            <w:r>
              <w:rPr>
                <w:rFonts w:eastAsia="等线" w:ascii="Arial" w:cs="Arial" w:hAnsi="Arial"/>
                <w:sz w:val="22"/>
              </w:rPr>
              <w:t>Daily Average Spending (V)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spacing w:before="120" w:after="120" w:line="288" w:lineRule="auto"/>
              <w:ind w:left="0"/>
              <w:jc w:val="left"/>
            </w:pPr>
            <w:r>
              <w:rPr>
                <w:rFonts w:eastAsia="等线" w:ascii="Arial" w:cs="Arial" w:hAnsi="Arial"/>
                <w:sz w:val="22"/>
              </w:rPr>
              <w:t>Indirect Clients: Advertisers classified as indirect clients in Q3 2025 (i.e., not connected to any direct client account during Q3 2025), with an average daily ad spend of less than USD $200 in Q3; or advertisers who converted from direct to indirect clients during Q32025, and whose Q3 average daily spend remained below USD $200.Direct Clients: Advertisers not falling under the definition of indirect clients as specified above</w:t>
            </w:r>
          </w:p>
          <w:p>
            <w:pPr>
              <w:numPr>
                <w:numId w:val="48"/>
              </w:numPr>
              <w:spacing w:before="120" w:after="120" w:line="288" w:lineRule="auto"/>
              <w:ind w:left="0"/>
              <w:jc w:val="left"/>
            </w:pPr>
            <w:r>
              <w:rPr>
                <w:rFonts w:eastAsia="等线" w:ascii="Arial" w:cs="Arial" w:hAnsi="Arial"/>
                <w:sz w:val="22"/>
              </w:rPr>
              <w:t>日均广告消耗：2025年Q3季度为虚客、且本季度虚客日均消耗 QoQ&gt;0%的广告主（Daily消耗QoQ有增长），在本季度产生的虚客日均现金广告消耗；</w:t>
            </w:r>
          </w:p>
          <w:p>
            <w:pPr>
              <w:spacing w:before="120" w:after="120" w:line="288" w:lineRule="auto"/>
              <w:ind w:left="0"/>
              <w:jc w:val="left"/>
            </w:pPr>
            <w:r>
              <w:rPr>
                <w:rFonts w:eastAsia="等线" w:ascii="Arial" w:cs="Arial" w:hAnsi="Arial"/>
                <w:sz w:val="22"/>
              </w:rPr>
              <w:t xml:space="preserve">Average Daily Ad Spend: For advertisers classified as indirect clients in Q3 2025 whose average daily spend increased quarter-over-quarter (QoQ &gt; 0%), this refers to their average daily cash ad spend during Q1 under indirect client status. </w:t>
            </w:r>
          </w:p>
          <w:p>
            <w:pPr>
              <w:numPr>
                <w:numId w:val="49"/>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spacing w:before="120" w:after="120" w:line="288" w:lineRule="auto"/>
              <w:ind w:left="0"/>
              <w:jc w:val="left"/>
            </w:pPr>
            <w:r>
              <w:rPr>
                <w:rFonts w:eastAsia="等线" w:ascii="Arial" w:cs="Arial" w:hAnsi="Arial"/>
                <w:sz w:val="22"/>
              </w:rPr>
              <w:t>If Party A is designated a direct client during Q4 2025, the average daily ad spend shall be calculated based only on the period under indirect client status. Specifically, the Q4 average daily spend = Q4 total spend accumulated prior to becoming a direct client divided by the number of days from October 1, 2025 to the day before the direct client status begins.</w:t>
            </w:r>
          </w:p>
          <w:p>
            <w:pPr>
              <w:numPr>
                <w:numId w:val="50"/>
              </w:numPr>
              <w:spacing w:before="120" w:after="120" w:line="288" w:lineRule="auto"/>
              <w:ind w:left="0"/>
              <w:jc w:val="left"/>
            </w:pPr>
            <w:r>
              <w:rPr>
                <w:rFonts w:eastAsia="等线" w:ascii="Arial" w:cs="Arial" w:hAnsi="Arial"/>
                <w:sz w:val="22"/>
              </w:rPr>
              <w:t>以上数据及直客/虚客类型的判定最终以媒体确认为准。</w:t>
            </w:r>
          </w:p>
          <w:p>
            <w:pPr>
              <w:spacing w:before="120" w:after="120" w:line="288" w:lineRule="auto"/>
              <w:ind w:left="0"/>
              <w:jc w:val="left"/>
            </w:pPr>
            <w:r>
              <w:rPr>
                <w:rFonts w:eastAsia="等线" w:ascii="Arial" w:cs="Arial" w:hAnsi="Arial"/>
                <w:sz w:val="22"/>
              </w:rPr>
              <w:t>All data and classifications of direct and indirect clients shall be subject to final verification by the media platform.</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51"/>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Web-EC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p>
            <w:pPr>
              <w:spacing w:before="120" w:after="120" w:line="288" w:lineRule="auto"/>
              <w:ind w:left="0"/>
              <w:jc w:val="center"/>
            </w:pPr>
            <w:r>
              <w:rPr>
                <w:rFonts w:eastAsia="等线" w:ascii="Arial" w:cs="Arial" w:hAnsi="Arial"/>
                <w:b w:val="true"/>
                <w:sz w:val="22"/>
              </w:rPr>
              <w:t>Incentives for Growth of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p>
            <w:pPr>
              <w:spacing w:before="120" w:after="120" w:line="288" w:lineRule="auto"/>
              <w:ind w:left="0"/>
              <w:jc w:val="center"/>
            </w:pPr>
            <w:r>
              <w:rPr>
                <w:rFonts w:eastAsia="等线" w:ascii="Arial" w:cs="Arial" w:hAnsi="Arial"/>
                <w:sz w:val="22"/>
              </w:rPr>
              <w:t>Web-EC QoQ consumption increase (R)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本政策适用于Q2 Web-EC消耗&gt;$0、且QoQ增幅≥10%的客户；</w:t>
            </w:r>
          </w:p>
          <w:p>
            <w:pPr>
              <w:spacing w:before="120" w:after="120" w:line="288" w:lineRule="auto"/>
              <w:ind w:left="0"/>
              <w:jc w:val="left"/>
            </w:pPr>
            <w:r>
              <w:rPr>
                <w:rFonts w:eastAsia="等线" w:ascii="Arial" w:cs="Arial" w:hAnsi="Arial"/>
                <w:sz w:val="22"/>
              </w:rPr>
              <w:t>This policy is applicable to customers whose Q2 Web-EC consumption is greater than $0 and whose QoQ growth rate is ≥10%.</w:t>
            </w:r>
          </w:p>
          <w:p>
            <w:pPr>
              <w:numPr>
                <w:numId w:val="53"/>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spacing w:before="120" w:after="120" w:line="288" w:lineRule="auto"/>
              <w:ind w:left="0"/>
              <w:jc w:val="left"/>
            </w:pPr>
            <w:r>
              <w:rPr>
                <w:rFonts w:eastAsia="等线" w:ascii="Arial" w:cs="Arial" w:hAnsi="Arial"/>
                <w:sz w:val="22"/>
              </w:rPr>
              <w:t>The QoQ growth rate is calculated based on the customer group dimension, and the rebate ratio acts on the QoQ performance increment part of the customer group.</w:t>
            </w:r>
          </w:p>
          <w:p>
            <w:pPr>
              <w:numPr>
                <w:numId w:val="54"/>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55"/>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different advertisers are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[New Web-EC Customers]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p>
            <w:pPr>
              <w:spacing w:before="120" w:after="120" w:line="288" w:lineRule="auto"/>
              <w:ind w:left="0"/>
              <w:jc w:val="center"/>
            </w:pPr>
            <w:r>
              <w:rPr>
                <w:rFonts w:eastAsia="等线" w:ascii="Arial" w:cs="Arial" w:hAnsi="Arial"/>
                <w:b w:val="true"/>
                <w:sz w:val="22"/>
              </w:rPr>
              <w:t>Incentives for New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p>
            <w:pPr>
              <w:spacing w:before="120" w:after="120" w:line="288" w:lineRule="auto"/>
              <w:ind w:left="0"/>
              <w:jc w:val="center"/>
            </w:pPr>
            <w:r>
              <w:rPr>
                <w:rFonts w:eastAsia="等线" w:ascii="Arial" w:cs="Arial" w:hAnsi="Arial"/>
                <w:sz w:val="22"/>
              </w:rPr>
              <w:t>Web-EC QoQ consumption (V)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spacing w:before="120" w:after="120" w:line="288" w:lineRule="auto"/>
              <w:ind w:left="0"/>
              <w:jc w:val="left"/>
            </w:pPr>
            <w:r>
              <w:rPr>
                <w:rFonts w:eastAsia="等线" w:ascii="Arial" w:cs="Arial" w:hAnsi="Arial"/>
                <w:sz w:val="22"/>
              </w:rPr>
              <w:t>This policy applies to customers whose first consumption occurs in this quarter and whose Web-EC consumption is no less than $1,000 in this quarter;</w:t>
            </w:r>
          </w:p>
          <w:p>
            <w:pPr>
              <w:numPr>
                <w:numId w:val="57"/>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58"/>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spacing w:before="120" w:after="120" w:line="288" w:lineRule="auto"/>
              <w:ind w:left="0"/>
              <w:jc w:val="left"/>
            </w:pPr>
            <w:r>
              <w:rPr>
                <w:rFonts w:eastAsia="等线" w:ascii="Arial" w:cs="Arial" w:hAnsi="Arial"/>
                <w:sz w:val="22"/>
              </w:rPr>
              <w:t>The rebate ratio is applied to the total cash consumption of the new customer group in the quarter.Furthermore, the total New Web-EC incentive amount that each client group is entitled to receive from the media platform within this quarter shall not exceed USD 3,000.</w:t>
            </w:r>
          </w:p>
          <w:p>
            <w:pPr>
              <w:numPr>
                <w:numId w:val="59"/>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there are different advertisers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60"/>
        </w:numPr>
        <w:spacing w:before="120" w:after="120" w:line="288" w:lineRule="auto"/>
        <w:ind w:left="0"/>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【High-Quality Materials】,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15"/>
        <w:gridCol w:w="4065"/>
      </w:tblGrid>
      <w:tr>
        <w:tc>
          <w:tcPr>
            <w:tcW w:w="8280"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优质素材激励</w:t>
            </w:r>
          </w:p>
          <w:p>
            <w:pPr>
              <w:spacing w:before="120" w:after="120" w:line="288" w:lineRule="auto"/>
              <w:ind w:left="0"/>
              <w:jc w:val="left"/>
            </w:pPr>
            <w:r>
              <w:rPr>
                <w:rFonts w:eastAsia="等线" w:ascii="Arial" w:cs="Arial" w:hAnsi="Arial"/>
                <w:b w:val="true"/>
                <w:sz w:val="22"/>
              </w:rPr>
              <w:t>Incentives for High-Quality Materials in Q4 2025</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（1）本专项激励政策只针对符合代投标准且在广告账户中TikTok版位的消耗。</w:t>
            </w:r>
          </w:p>
          <w:p>
            <w:pPr>
              <w:spacing w:before="120" w:after="120" w:line="288" w:lineRule="auto"/>
              <w:ind w:left="0"/>
              <w:jc w:val="left"/>
            </w:pPr>
            <w:r>
              <w:rPr>
                <w:rFonts w:eastAsia="等线" w:ascii="Arial" w:cs="Arial" w:hAnsi="Arial"/>
                <w:sz w:val="22"/>
              </w:rPr>
              <w:t>This special incentive policy is only applicable to those who meet the standards for agency investment and consume TikTok Spaces in their advertising accounts.</w:t>
            </w:r>
          </w:p>
          <w:p>
            <w:pPr>
              <w:spacing w:before="120" w:after="120" w:line="288" w:lineRule="auto"/>
              <w:ind w:left="0"/>
              <w:jc w:val="left"/>
            </w:pPr>
            <w:r>
              <w:rPr>
                <w:rFonts w:eastAsia="等线" w:ascii="Arial" w:cs="Arial" w:hAnsi="Arial"/>
                <w:sz w:val="22"/>
              </w:rPr>
              <w:t>（2）优质素材定义：</w:t>
            </w:r>
          </w:p>
          <w:p>
            <w:pPr>
              <w:spacing w:before="120" w:after="120" w:line="288" w:lineRule="auto"/>
              <w:ind w:left="0"/>
              <w:jc w:val="left"/>
            </w:pPr>
            <w:r>
              <w:rPr>
                <w:rFonts w:eastAsia="等线" w:ascii="Arial" w:cs="Arial" w:hAnsi="Arial"/>
                <w:sz w:val="22"/>
              </w:rPr>
              <w:t>Definition of high-quality materials</w:t>
            </w:r>
          </w:p>
          <w:p>
            <w:pPr>
              <w:numPr>
                <w:numId w:val="61"/>
              </w:numPr>
              <w:spacing w:before="120" w:after="120" w:line="288" w:lineRule="auto"/>
              <w:ind w:left="453"/>
              <w:jc w:val="left"/>
            </w:pPr>
            <w:r>
              <w:rPr>
                <w:rFonts w:eastAsia="等线" w:ascii="Arial" w:cs="Arial" w:hAnsi="Arial"/>
                <w:sz w:val="22"/>
              </w:rPr>
              <w:t>行业：闭环电商：</w:t>
            </w:r>
          </w:p>
          <w:p>
            <w:pPr>
              <w:spacing w:before="120" w:after="120" w:line="288" w:lineRule="auto"/>
              <w:ind w:left="0"/>
              <w:jc w:val="left"/>
            </w:pPr>
            <w:r>
              <w:rPr>
                <w:rFonts w:eastAsia="等线" w:ascii="Arial" w:cs="Arial" w:hAnsi="Arial"/>
                <w:sz w:val="22"/>
              </w:rPr>
              <w:t>Industry: Closed-loop E-commerce</w:t>
            </w:r>
          </w:p>
          <w:p>
            <w:pPr>
              <w:spacing w:before="120" w:after="120" w:line="288" w:lineRule="auto"/>
              <w:ind w:left="0"/>
              <w:jc w:val="left"/>
            </w:pPr>
          </w:p>
          <w:p>
            <w:pPr>
              <w:numPr>
                <w:numId w:val="62"/>
              </w:numPr>
              <w:spacing w:before="120" w:after="120" w:line="288" w:lineRule="auto"/>
              <w:ind w:left="453"/>
              <w:jc w:val="left"/>
            </w:pPr>
            <w:r>
              <w:rPr>
                <w:rFonts w:eastAsia="等线" w:ascii="Arial" w:cs="Arial" w:hAnsi="Arial"/>
                <w:sz w:val="22"/>
              </w:rPr>
              <w:t>行业：非闭环电商</w:t>
            </w:r>
          </w:p>
          <w:p>
            <w:pPr>
              <w:spacing w:before="120" w:after="120" w:line="288" w:lineRule="auto"/>
              <w:ind w:left="0"/>
              <w:jc w:val="left"/>
            </w:pPr>
            <w:r>
              <w:rPr>
                <w:rFonts w:eastAsia="等线" w:ascii="Arial" w:cs="Arial" w:hAnsi="Arial"/>
                <w:sz w:val="22"/>
              </w:rPr>
              <w:t>industry: Non-closed-loop E-commerce</w:t>
            </w:r>
          </w:p>
          <w:p>
            <w:pPr>
              <w:spacing w:before="120" w:after="120" w:line="288" w:lineRule="auto"/>
              <w:ind w:left="0"/>
              <w:jc w:val="left"/>
            </w:pPr>
            <w:r>
              <w:rPr>
                <w:rFonts w:eastAsia="等线" w:ascii="Arial" w:cs="Arial" w:hAnsi="Arial"/>
                <w:sz w:val="22"/>
              </w:rPr>
              <w:t>CTR&gt;0.5%，素材季度消耗≥$100</w:t>
            </w:r>
          </w:p>
          <w:p>
            <w:pPr>
              <w:spacing w:before="120" w:after="120" w:line="288" w:lineRule="auto"/>
              <w:ind w:left="0"/>
              <w:jc w:val="left"/>
            </w:pPr>
            <w:r>
              <w:rPr>
                <w:rFonts w:eastAsia="等线" w:ascii="Arial" w:cs="Arial" w:hAnsi="Arial"/>
                <w:sz w:val="22"/>
              </w:rPr>
              <w:t>CTR&gt;0.5%，and the quarterly consumption of the material is≥$100</w:t>
            </w:r>
          </w:p>
          <w:p>
            <w:pPr>
              <w:numPr>
                <w:numId w:val="63"/>
              </w:numPr>
              <w:spacing w:before="120" w:after="120" w:line="288" w:lineRule="auto"/>
              <w:ind w:left="453"/>
              <w:jc w:val="left"/>
            </w:pPr>
            <w:r>
              <w:rPr>
                <w:rFonts w:eastAsia="等线" w:ascii="Arial" w:cs="Arial" w:hAnsi="Arial"/>
                <w:sz w:val="22"/>
              </w:rPr>
              <w:t>行业：App-应用、游戏</w:t>
            </w:r>
          </w:p>
          <w:p>
            <w:pPr>
              <w:spacing w:before="120" w:after="120" w:line="288" w:lineRule="auto"/>
              <w:ind w:left="0"/>
              <w:jc w:val="left"/>
            </w:pPr>
            <w:r>
              <w:rPr>
                <w:rFonts w:eastAsia="等线" w:ascii="Arial" w:cs="Arial" w:hAnsi="Arial"/>
                <w:sz w:val="22"/>
              </w:rPr>
              <w:t>Industry: App - Application, Game</w:t>
            </w:r>
          </w:p>
          <w:p>
            <w:pPr>
              <w:spacing w:before="120" w:after="120" w:line="288" w:lineRule="auto"/>
              <w:ind w:left="0"/>
              <w:jc w:val="left"/>
            </w:pPr>
            <w:r>
              <w:rPr>
                <w:rFonts w:eastAsia="等线" w:ascii="Arial" w:cs="Arial" w:hAnsi="Arial"/>
                <w:sz w:val="22"/>
              </w:rPr>
              <w:t>CTR&gt;0.3%，素材季度消耗≥$100</w:t>
            </w:r>
          </w:p>
          <w:p>
            <w:pPr>
              <w:spacing w:before="120" w:after="120" w:line="288" w:lineRule="auto"/>
              <w:ind w:left="0"/>
              <w:jc w:val="left"/>
            </w:pPr>
            <w:r>
              <w:rPr>
                <w:rFonts w:eastAsia="等线" w:ascii="Arial" w:cs="Arial" w:hAnsi="Arial"/>
                <w:sz w:val="22"/>
              </w:rPr>
              <w:t>CTR&gt;0.3%，and the quarterly consumption of the material is≥$100</w:t>
            </w:r>
          </w:p>
          <w:p>
            <w:pPr>
              <w:numPr>
                <w:numId w:val="64"/>
              </w:numPr>
              <w:spacing w:before="120" w:after="120" w:line="288" w:lineRule="auto"/>
              <w:ind w:left="453"/>
              <w:jc w:val="left"/>
            </w:pPr>
            <w:r>
              <w:rPr>
                <w:rFonts w:eastAsia="等线" w:ascii="Arial" w:cs="Arial" w:hAnsi="Arial"/>
                <w:sz w:val="22"/>
              </w:rPr>
              <w:t>行业：Web-应用、游戏</w:t>
            </w:r>
          </w:p>
          <w:p>
            <w:pPr>
              <w:spacing w:before="120" w:after="120" w:line="288" w:lineRule="auto"/>
              <w:ind w:left="0"/>
              <w:jc w:val="left"/>
            </w:pPr>
            <w:r>
              <w:rPr>
                <w:rFonts w:eastAsia="等线" w:ascii="Arial" w:cs="Arial" w:hAnsi="Arial"/>
                <w:sz w:val="22"/>
              </w:rPr>
              <w:t>Industry: Web - Application, Game</w:t>
            </w:r>
          </w:p>
          <w:p>
            <w:pPr>
              <w:spacing w:before="120" w:after="120" w:line="288" w:lineRule="auto"/>
              <w:ind w:left="0"/>
              <w:jc w:val="left"/>
            </w:pPr>
            <w:r>
              <w:rPr>
                <w:rFonts w:eastAsia="等线" w:ascii="Arial" w:cs="Arial" w:hAnsi="Arial"/>
                <w:sz w:val="22"/>
              </w:rPr>
              <w:t>CTR&gt;0.6%，素材季度消耗≥$100</w:t>
            </w:r>
          </w:p>
          <w:p>
            <w:pPr>
              <w:spacing w:before="120" w:after="120" w:line="288" w:lineRule="auto"/>
              <w:ind w:left="0"/>
              <w:jc w:val="left"/>
            </w:pPr>
            <w:r>
              <w:rPr>
                <w:rFonts w:eastAsia="等线" w:ascii="Arial" w:cs="Arial" w:hAnsi="Arial"/>
                <w:sz w:val="22"/>
              </w:rPr>
              <w:t>CTR&gt;0.6%，and the quarterly consumption of the material is≥$100</w:t>
            </w:r>
          </w:p>
          <w:p>
            <w:pPr>
              <w:spacing w:before="120" w:after="120" w:line="288" w:lineRule="auto"/>
              <w:ind w:left="0"/>
              <w:jc w:val="left"/>
            </w:pPr>
            <w:r>
              <w:rPr>
                <w:rFonts w:eastAsia="等线" w:ascii="Arial" w:cs="Arial" w:hAnsi="Arial"/>
                <w:sz w:val="22"/>
              </w:rPr>
              <w:t xml:space="preserve"> *CTR定义：点击率，指促成目标页面点击的展示次数占总展示次数的百分比；</w:t>
            </w:r>
          </w:p>
          <w:p>
            <w:pPr>
              <w:spacing w:before="120" w:after="120" w:line="288" w:lineRule="auto"/>
              <w:ind w:left="0"/>
              <w:jc w:val="left"/>
            </w:pPr>
            <w:r>
              <w:rPr>
                <w:rFonts w:eastAsia="等线" w:ascii="Arial" w:cs="Arial" w:hAnsi="Arial"/>
                <w:sz w:val="22"/>
              </w:rPr>
              <w:t>*CTR definition: Click-through rate, which refers to the percentage of impressions that lead to a click on the target page among the total impressions.</w:t>
            </w:r>
          </w:p>
          <w:p>
            <w:pPr>
              <w:spacing w:before="120" w:after="120" w:line="288" w:lineRule="auto"/>
              <w:ind w:left="0"/>
              <w:jc w:val="left"/>
            </w:pPr>
            <w:r>
              <w:rPr>
                <w:rFonts w:eastAsia="等线" w:ascii="Arial" w:cs="Arial" w:hAnsi="Arial"/>
                <w:sz w:val="22"/>
              </w:rPr>
              <w:t>以上数据、定义及行业划分，以媒体判定为准；</w:t>
            </w:r>
          </w:p>
          <w:p>
            <w:pPr>
              <w:spacing w:before="120" w:after="120" w:line="288" w:lineRule="auto"/>
              <w:ind w:left="0"/>
              <w:jc w:val="left"/>
            </w:pPr>
            <w:r>
              <w:rPr>
                <w:rFonts w:eastAsia="等线" w:ascii="Arial" w:cs="Arial" w:hAnsi="Arial"/>
                <w:sz w:val="22"/>
              </w:rPr>
              <w:t>（3）素材达标情况以媒体认定为准；</w:t>
            </w:r>
          </w:p>
          <w:p>
            <w:pPr>
              <w:spacing w:before="120" w:after="120" w:line="288" w:lineRule="auto"/>
              <w:ind w:left="0"/>
              <w:jc w:val="left"/>
            </w:pPr>
            <w:r>
              <w:rPr>
                <w:rFonts w:eastAsia="等线" w:ascii="Arial" w:cs="Arial" w:hAnsi="Arial"/>
                <w:sz w:val="22"/>
              </w:rPr>
              <w:t>Creative compliance shall be determined by the media platform.</w:t>
            </w:r>
          </w:p>
          <w:p>
            <w:pPr>
              <w:spacing w:before="120" w:after="120" w:line="288" w:lineRule="auto"/>
              <w:ind w:left="0"/>
              <w:jc w:val="left"/>
            </w:pPr>
            <w:r>
              <w:rPr>
                <w:rFonts w:eastAsia="等线" w:ascii="Arial" w:cs="Arial" w:hAnsi="Arial"/>
                <w:sz w:val="22"/>
              </w:rPr>
              <w:t>（4）优质素材广告消耗：符合代投判定标准的广告账户，在25年Q1产生的，投放优质素材的广告消耗。</w:t>
            </w:r>
          </w:p>
          <w:p>
            <w:pPr>
              <w:spacing w:before="120" w:after="120" w:line="288" w:lineRule="auto"/>
              <w:ind w:left="0"/>
              <w:jc w:val="left"/>
            </w:pPr>
            <w:r>
              <w:rPr>
                <w:rFonts w:eastAsia="等线" w:ascii="Arial" w:cs="Arial" w:hAnsi="Arial"/>
                <w:sz w:val="22"/>
              </w:rPr>
              <w:t>Advertising consumption of high-quality materials: For advertising accounts that meet the criteria for agency investment determination, the advertising consumption of high-quality materials generated in Q1 of 2025.</w:t>
            </w:r>
          </w:p>
          <w:p>
            <w:pPr>
              <w:spacing w:before="120" w:after="120" w:line="288" w:lineRule="auto"/>
              <w:ind w:left="0"/>
              <w:jc w:val="left"/>
            </w:pPr>
            <w:r>
              <w:rPr>
                <w:rFonts w:eastAsia="等线" w:ascii="Arial" w:cs="Arial" w:hAnsi="Arial"/>
                <w:sz w:val="22"/>
              </w:rPr>
              <w:t>（5）甲方应积极配合乙方进行申报及调整，以保证满足媒体关于优质素材的评判标准，若甲方拒绝调整或配合的，则无法取得相应返点激励。</w:t>
            </w:r>
          </w:p>
          <w:p>
            <w:pPr>
              <w:spacing w:before="120" w:after="120" w:line="288" w:lineRule="auto"/>
              <w:ind w:left="0"/>
              <w:jc w:val="left"/>
            </w:pPr>
            <w:r>
              <w:rPr>
                <w:rFonts w:eastAsia="等线" w:ascii="Arial" w:cs="Arial" w:hAnsi="Arial"/>
                <w:sz w:val="22"/>
              </w:rPr>
              <w:t>Party A shall actively cooperate with Party B in the declaration and adjustment to ensure that it meets the media's evaluation standards for high-quality materials. If Party A refuses to make adjustments or cooperate, it will not be able to obtain the corresponding rebate incentives.</w:t>
            </w:r>
          </w:p>
          <w:p>
            <w:pPr>
              <w:spacing w:before="120" w:after="120" w:line="288" w:lineRule="auto"/>
              <w:ind w:left="0"/>
              <w:jc w:val="left"/>
            </w:pPr>
          </w:p>
        </w:tc>
        <w:tc>
          <w:tcPr>
            <w:tcW w:w="406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14" w:id="14"/>
      <w:r>
        <w:rPr>
          <w:rFonts w:eastAsia="等线" w:ascii="Arial" w:cs="Arial" w:hAnsi="Arial"/>
          <w:b w:val="true"/>
          <w:sz w:val="32"/>
        </w:rPr>
        <w:t>3.3. 通用General terms</w:t>
      </w:r>
      <w:bookmarkEnd w:id="14"/>
    </w:p>
    <w:p>
      <w:pPr>
        <w:numPr>
          <w:numId w:val="65"/>
        </w:numPr>
        <w:spacing w:before="120" w:after="120" w:line="288" w:lineRule="auto"/>
        <w:ind w:left="0"/>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numPr>
          <w:numId w:val="66"/>
        </w:numPr>
        <w:spacing w:before="120" w:after="120" w:line="288" w:lineRule="auto"/>
        <w:ind w:left="0"/>
        <w:jc w:val="left"/>
      </w:pPr>
      <w:r>
        <w:rPr>
          <w:rFonts w:eastAsia="等线" w:ascii="Arial" w:cs="Arial" w:hAnsi="Arial"/>
          <w:sz w:val="22"/>
        </w:rPr>
        <w:t>同一客户的基础返点和专项返点如同时满足，可重复叠加，具体以乙方每季度确认的返点金额为准。</w:t>
      </w:r>
    </w:p>
    <w:p>
      <w:pPr>
        <w:spacing w:before="120" w:after="120" w:line="288" w:lineRule="auto"/>
        <w:ind w:left="0" w:firstLine="420"/>
        <w:jc w:val="left"/>
      </w:pPr>
      <w:r>
        <w:rPr>
          <w:rFonts w:eastAsia="等线" w:ascii="Arial" w:cs="Arial" w:hAnsi="Arial"/>
          <w:sz w:val="22"/>
        </w:rPr>
        <w:t>If both the General rebate and the Specific rebate for the same client are simultaneously met, they may be cumulatively applied. The total rebate amount shall be subject to the quarterly confirmation by Party B.</w:t>
      </w:r>
    </w:p>
    <w:p>
      <w:pPr>
        <w:numPr>
          <w:numId w:val="67"/>
        </w:numPr>
        <w:spacing w:before="120" w:after="120" w:line="288" w:lineRule="auto"/>
        <w:ind w:left="0"/>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acknowledged that if TikTok does not provide rebates for the consumption amount of the rebates, or if TikTok unilaterally decides not to provide rebates, Party B has the right not to provide any rebates to Party A. If Party B has provided rebates in advance, it shall have the right to withdraw them at the next settlement.</w:t>
      </w:r>
    </w:p>
    <w:p>
      <w:pPr>
        <w:numPr>
          <w:numId w:val="68"/>
        </w:numPr>
        <w:spacing w:before="120" w:after="120" w:line="288" w:lineRule="auto"/>
        <w:ind w:left="0"/>
        <w:jc w:val="left"/>
      </w:pPr>
      <w:r>
        <w:rPr>
          <w:rFonts w:eastAsia="等线" w:ascii="Arial" w:cs="Arial" w:hAnsi="Arial"/>
          <w:sz w:val="22"/>
        </w:rPr>
        <w:t>如甲方被媒体判定为违规投放，则乙方有权保留由于甲方违规而产生的媒体罚金的追究权利， 最终将以媒体判定为准。</w:t>
      </w:r>
    </w:p>
    <w:p>
      <w:pPr>
        <w:spacing w:before="120" w:after="120" w:line="288" w:lineRule="auto"/>
        <w:ind w:left="0" w:firstLine="420"/>
        <w:jc w:val="left"/>
      </w:pPr>
      <w:r>
        <w:rPr>
          <w:rFonts w:eastAsia="等线" w:ascii="Arial" w:cs="Arial" w:hAnsi="Arial"/>
          <w:sz w:val="22"/>
        </w:rPr>
        <w:t>If Party A is assessed by the media to be in violation of the rules, Party B reserves the right to ask the Party A for the media fines arising from Party A's violation, the amount of which will ultimately be determined by the media.</w:t>
      </w:r>
    </w:p>
    <w:p>
      <w:pPr>
        <w:numPr>
          <w:numId w:val="69"/>
        </w:numPr>
        <w:spacing w:before="120" w:after="120" w:line="288" w:lineRule="auto"/>
        <w:ind w:left="0"/>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spacing w:before="120" w:after="120" w:line="288" w:lineRule="auto"/>
        <w:ind w:left="0" w:firstLine="420"/>
        <w:jc w:val="left"/>
      </w:pPr>
      <w:r>
        <w:rPr>
          <w:rFonts w:eastAsia="等线" w:ascii="Arial" w:cs="Arial" w:hAnsi="Arial"/>
          <w:sz w:val="22"/>
        </w:rPr>
        <w:t>If Party A has objections to the calculation of the rebate amount. It should notify Party B in writing within 15 natural days after receiving the statement. Otherwise, it shall be deemed that Party A acknowledges the calculation method of the rebate amount. Furthermore, if the media determines that a rebate should be returned, Party B has the right to directly deduct it from Party A's bill. If the amount is insufficient, Party B has the right to require Party A to fully refund it within 30 days after receiving the notice</w:t>
      </w:r>
    </w:p>
    <w:p>
      <w:pPr>
        <w:numPr>
          <w:numId w:val="70"/>
        </w:numPr>
        <w:spacing w:before="120" w:after="120" w:line="288" w:lineRule="auto"/>
        <w:ind w:left="0"/>
        <w:jc w:val="left"/>
      </w:pPr>
      <w:r>
        <w:rPr>
          <w:rFonts w:eastAsia="等线" w:ascii="Arial" w:cs="Arial" w:hAnsi="Arial"/>
          <w:sz w:val="22"/>
        </w:rPr>
        <w:t>甲方在TikTok for Business中投放目标受众国家为匈牙利的任何消耗，无返点。</w:t>
      </w:r>
    </w:p>
    <w:p>
      <w:pPr>
        <w:spacing w:before="120" w:after="120" w:line="288" w:lineRule="auto"/>
        <w:ind w:left="0" w:firstLine="420"/>
        <w:jc w:val="left"/>
      </w:pPr>
      <w:r>
        <w:rPr>
          <w:rFonts w:eastAsia="等线" w:ascii="Arial" w:cs="Arial" w:hAnsi="Arial"/>
          <w:sz w:val="22"/>
        </w:rPr>
        <w:t>There is no rebate for any consumption in TikTok for Business by Party A where the target audience countries in Hungary.</w:t>
      </w:r>
    </w:p>
    <w:p>
      <w:pPr>
        <w:numPr>
          <w:numId w:val="71"/>
        </w:numPr>
        <w:spacing w:before="120" w:after="120" w:line="288" w:lineRule="auto"/>
        <w:ind w:left="0"/>
        <w:jc w:val="left"/>
      </w:pPr>
      <w:r>
        <w:rPr>
          <w:rFonts w:eastAsia="等线" w:ascii="Arial" w:cs="Arial" w:hAnsi="Arial"/>
          <w:sz w:val="22"/>
        </w:rPr>
        <w:t>若甲方为法国客户，则其在TikTok for Business中投放目标受众国家为法国的任何消耗均无返点。</w:t>
      </w:r>
    </w:p>
    <w:p>
      <w:pPr>
        <w:spacing w:before="120" w:after="120" w:line="288" w:lineRule="auto"/>
        <w:ind w:left="0" w:firstLine="420"/>
        <w:jc w:val="left"/>
      </w:pPr>
      <w:r>
        <w:rPr>
          <w:rFonts w:eastAsia="等线" w:ascii="Arial" w:cs="Arial" w:hAnsi="Arial"/>
          <w:sz w:val="22"/>
        </w:rPr>
        <w:t>There is no rebate for any consumption in TikTok for Business by French Party A where the target audience countries in France.</w:t>
      </w:r>
    </w:p>
    <w:p>
      <w:pPr>
        <w:numPr>
          <w:numId w:val="72"/>
        </w:numPr>
        <w:spacing w:before="120" w:after="120" w:line="288" w:lineRule="auto"/>
        <w:ind w:left="0"/>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spacing w:before="120" w:after="120" w:line="288" w:lineRule="auto"/>
        <w:ind w:left="0" w:firstLine="420"/>
        <w:jc w:val="left"/>
      </w:pPr>
      <w:r>
        <w:rPr>
          <w:rFonts w:eastAsia="等线" w:ascii="Arial" w:cs="Arial" w:hAnsi="Arial"/>
          <w:sz w:val="22"/>
        </w:rPr>
        <w:t>The spend of advertising in the United States, Canada, Australia, New Zealand, if it meets the incentive criteria of any incentive project described in this policy, is only applicable to the spend generated by advertisers registered in China (including Hong Kong and Macau). No rebate will be given for any spend from advertising in the above-mentioned regions by non-Chinese advertisers.</w:t>
      </w:r>
    </w:p>
    <w:p>
      <w:pPr>
        <w:numPr>
          <w:numId w:val="73"/>
        </w:numPr>
        <w:spacing w:before="120" w:after="120" w:line="288" w:lineRule="auto"/>
        <w:ind w:left="0"/>
        <w:jc w:val="left"/>
      </w:pPr>
      <w:r>
        <w:rPr>
          <w:rFonts w:eastAsia="等线" w:ascii="Arial" w:cs="Arial" w:hAnsi="Arial"/>
          <w:sz w:val="22"/>
        </w:rPr>
        <w:t>任何在TikTok for Business投放项目中有关网红达人（KOL）的费用\Creator fee\Production fee\Copyright fee均不计入返点结算。</w:t>
      </w:r>
    </w:p>
    <w:p>
      <w:pPr>
        <w:spacing w:before="120" w:after="120" w:line="288" w:lineRule="auto"/>
        <w:ind w:left="0" w:firstLine="420"/>
        <w:jc w:val="left"/>
      </w:pPr>
      <w:r>
        <w:rPr>
          <w:rFonts w:eastAsia="等线" w:ascii="Arial" w:cs="Arial" w:hAnsi="Arial"/>
          <w:sz w:val="22"/>
        </w:rPr>
        <w:t>Any fees\Creator fee\Production fee\Copyright fee related to KOL’s in the TikTok for Business placement program will not be counted in the rebate program.</w:t>
      </w:r>
    </w:p>
    <w:p>
      <w:pPr>
        <w:numPr>
          <w:numId w:val="74"/>
        </w:numPr>
        <w:spacing w:before="120" w:after="120" w:line="288" w:lineRule="auto"/>
        <w:ind w:left="0"/>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spacing w:before="120" w:after="120" w:line="288" w:lineRule="auto"/>
        <w:ind w:left="0" w:firstLine="420"/>
        <w:jc w:val="left"/>
      </w:pPr>
      <w:r>
        <w:rPr>
          <w:rFonts w:eastAsia="等线" w:ascii="Arial" w:cs="Arial" w:hAnsi="Arial"/>
          <w:sz w:val="22"/>
        </w:rPr>
        <w:t>If Party A is a company/group in the region of Turkey, Pakistan, Morocco, Egypt, Cambodia, Argentina, Chilee, Ecuador, Uruguay, Guatemala, Costa Rica, Panama, Dominican Republic, Puerto Rico, Paraguay, and Bolivia, Colombia, Peru, Kazakhstan, South Africa, Taiwan, Kenya, Algeria, Azerbaijan, Sri Lanka, Baltics and Balkans countries, no rebate will be given for the advertising consumption generated. (If there are any adjustments to the regional division, the latest GSE-limited regional standards shall prevail.)</w:t>
      </w:r>
    </w:p>
    <w:p>
      <w:pPr>
        <w:numPr>
          <w:numId w:val="75"/>
        </w:numPr>
        <w:spacing w:before="120" w:after="120" w:line="288" w:lineRule="auto"/>
        <w:ind w:left="0"/>
        <w:jc w:val="left"/>
      </w:pPr>
      <w:r>
        <w:rPr>
          <w:rFonts w:eastAsia="等线" w:ascii="Arial" w:cs="Arial" w:hAnsi="Arial"/>
          <w:sz w:val="22"/>
        </w:rPr>
        <w:t>闭环电商广告消耗与TTS业绩含义相同，包含LSA、VSA、PSA、GMV Max等产品产生的消耗，具体定义以媒体约定为准。</w:t>
      </w:r>
    </w:p>
    <w:p>
      <w:pPr>
        <w:spacing w:before="120" w:after="120" w:line="288" w:lineRule="auto"/>
        <w:ind w:left="0" w:firstLine="420"/>
        <w:jc w:val="left"/>
      </w:pPr>
      <w:r>
        <w:rPr>
          <w:rFonts w:eastAsia="等线" w:ascii="Arial" w:cs="Arial" w:hAnsi="Arial"/>
          <w:sz w:val="22"/>
        </w:rPr>
        <w:t>TikTok for Business Ads (Non-TTS) spend includes the consumption of LSA, VSA, PSA, GMVMax and other products. The exact definition is subject to media conventions.</w:t>
      </w:r>
    </w:p>
    <w:p>
      <w:pPr>
        <w:numPr>
          <w:numId w:val="76"/>
        </w:numPr>
        <w:spacing w:before="120" w:after="120" w:line="288" w:lineRule="auto"/>
        <w:ind w:left="0"/>
        <w:jc w:val="left"/>
      </w:pPr>
      <w:r>
        <w:rPr>
          <w:rFonts w:eastAsia="等线" w:ascii="Arial" w:cs="Arial" w:hAnsi="Arial"/>
          <w:sz w:val="22"/>
        </w:rPr>
        <w:t>"消耗"、"广告消耗"、"业绩"含义相同, 均指未被媒体内控判为违规的adv产生的业绩。</w:t>
      </w:r>
    </w:p>
    <w:p>
      <w:pPr>
        <w:spacing w:before="120" w:after="120" w:line="288" w:lineRule="auto"/>
        <w:ind w:left="0" w:firstLine="420"/>
        <w:jc w:val="left"/>
      </w:pPr>
      <w:r>
        <w:rPr>
          <w:rFonts w:eastAsia="等线" w:ascii="Arial" w:cs="Arial" w:hAnsi="Arial"/>
          <w:sz w:val="22"/>
        </w:rPr>
        <w:t>"Consumption/expenditure", "advertising consumption", and "performance" have the same meaning, all refer to the performance generated by adv that has not been judged as non-compliant by the internal control department of the media.</w:t>
      </w:r>
    </w:p>
    <w:p>
      <w:pPr>
        <w:numPr>
          <w:numId w:val="77"/>
        </w:numPr>
        <w:spacing w:before="120" w:after="120" w:line="288" w:lineRule="auto"/>
        <w:ind w:left="0"/>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spacing w:before="120" w:after="120" w:line="288" w:lineRule="auto"/>
        <w:ind w:left="0" w:firstLine="420"/>
        <w:jc w:val="left"/>
      </w:pPr>
      <w:r>
        <w:rPr>
          <w:rFonts w:eastAsia="等线" w:ascii="Arial" w:cs="Arial" w:hAnsi="Arial"/>
          <w:sz w:val="22"/>
        </w:rPr>
        <w:t>Among all the special rebate items mentioned above, regarding the advertising expenditure range, it is always greater than or equal to the minimum number within the range and less than the maximum number within the range. (For example, "$1,000 - 2,000" means greater than or equal to $1,000 and less than $2,000)</w:t>
      </w:r>
    </w:p>
    <w:p>
      <w:pPr>
        <w:numPr>
          <w:numId w:val="78"/>
        </w:numPr>
        <w:spacing w:before="120" w:after="120" w:line="288" w:lineRule="auto"/>
        <w:ind w:left="0"/>
        <w:jc w:val="left"/>
      </w:pPr>
      <w:r>
        <w:rPr>
          <w:rFonts w:eastAsia="等线" w:ascii="Arial" w:cs="Arial" w:hAnsi="Arial"/>
          <w:sz w:val="22"/>
        </w:rPr>
        <w:t>甲方应保证所有数据均为真实有效的，不存在作弊行为，最终数据判定均以媒体为准。</w:t>
      </w:r>
    </w:p>
    <w:p>
      <w:pPr>
        <w:spacing w:before="120" w:after="120" w:line="288" w:lineRule="auto"/>
        <w:ind w:left="0" w:firstLine="420"/>
        <w:jc w:val="left"/>
      </w:pPr>
      <w:r>
        <w:rPr>
          <w:rFonts w:eastAsia="等线" w:ascii="Arial" w:cs="Arial" w:hAnsi="Arial"/>
          <w:sz w:val="22"/>
        </w:rPr>
        <w:t>Party A shall guarantee that all data are true and valid and there is no cheating, the final data judgment shall be based on the media.</w:t>
      </w:r>
    </w:p>
    <w:p>
      <w:pPr>
        <w:numPr>
          <w:numId w:val="79"/>
        </w:numPr>
        <w:spacing w:before="120" w:after="120" w:line="288" w:lineRule="auto"/>
        <w:ind w:left="0"/>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spacing w:before="120" w:after="120" w:line="288" w:lineRule="auto"/>
        <w:ind w:left="0" w:firstLine="420"/>
        <w:jc w:val="left"/>
      </w:pPr>
      <w:r>
        <w:rPr>
          <w:rFonts w:eastAsia="等线" w:ascii="Arial" w:cs="Arial" w:hAnsi="Arial"/>
          <w:sz w:val="22"/>
        </w:rPr>
        <w:t>If the rebate quota is full or exceeds the rebate cap that Party B has obtained from the media for that quarter, Party A will not be entitled to the aforementioned special rebate even if Party A meets the standards stipulated in the above terms. Any modifications to the media’s evaluation criteria shall be subject to the media’s real-time updates.</w:t>
      </w:r>
    </w:p>
    <w:p>
      <w:pPr>
        <w:numPr>
          <w:numId w:val="80"/>
        </w:numPr>
        <w:spacing w:before="120" w:after="120" w:line="288" w:lineRule="auto"/>
        <w:ind w:left="0"/>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spacing w:before="120" w:after="120" w:line="288" w:lineRule="auto"/>
        <w:ind w:left="0" w:firstLine="420"/>
        <w:jc w:val="left"/>
      </w:pPr>
      <w:r>
        <w:rPr>
          <w:rFonts w:eastAsia="等线" w:ascii="Arial" w:cs="Arial" w:hAnsi="Arial"/>
          <w:sz w:val="22"/>
        </w:rPr>
        <w:t>All the above-mentioned rebate policies (including general rebates and other special rebates) are not applicable to the newly opened US Local stores in this quarter (ACCU is excluded. The policies of ACCU merchants are subject to subsequent media notifications).</w:t>
      </w:r>
    </w:p>
    <w:p>
      <w:pPr>
        <w:numPr>
          <w:numId w:val="81"/>
        </w:numPr>
        <w:spacing w:before="120" w:after="120" w:line="288" w:lineRule="auto"/>
        <w:ind w:left="0"/>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r>
        <w:rPr>
          <w:rFonts w:eastAsia="等线" w:ascii="Arial" w:cs="Arial" w:hAnsi="Arial"/>
          <w:sz w:val="22"/>
        </w:rPr>
        <w:t>Whether the newly opened SEA stores in this quarter participate in the rebate calculation for this quarter (including basic rebates and other special rebates) is determined by whether they meet the "high-quality new opening" standard evaluated by TikTok for Business. TikTok for Business will assess whether the store meets the "Quality New Opening" standard throughout the entire quarter after its first sale. The final determination result shall be subject to the announcement by the media.</w:t>
      </w:r>
    </w:p>
    <w:p>
      <w:pPr>
        <w:spacing w:before="120" w:after="120" w:line="288" w:lineRule="auto"/>
        <w:ind w:left="0" w:firstLine="420"/>
        <w:jc w:val="left"/>
      </w:pPr>
    </w:p>
    <w:p>
      <w:pPr>
        <w:numPr>
          <w:numId w:val="82"/>
        </w:numPr>
        <w:spacing w:before="120" w:after="120" w:line="288" w:lineRule="auto"/>
        <w:ind w:left="0"/>
        <w:jc w:val="left"/>
      </w:pPr>
      <w:r>
        <w:rPr>
          <w:rFonts w:eastAsia="等线" w:ascii="Arial" w:cs="Arial" w:hAnsi="Arial"/>
          <w:b w:val="true"/>
          <w:sz w:val="22"/>
        </w:rPr>
        <w:t>Kwai</w:t>
      </w:r>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4.2 甲方投放行业为【A类】的广告，返点比例如下：</w:t>
      </w:r>
    </w:p>
    <w:p>
      <w:pPr>
        <w:spacing w:before="120" w:after="120" w:line="288" w:lineRule="auto"/>
        <w:ind w:left="0" w:firstLine="420"/>
        <w:jc w:val="left"/>
      </w:pPr>
      <w:r>
        <w:rPr>
          <w:rFonts w:eastAsia="等线" w:ascii="Arial" w:cs="Arial" w:hAnsi="Arial"/>
          <w:sz w:val="22"/>
        </w:rPr>
        <w:t>If Party A places advertisements in the industry of [Category A],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3900"/>
        <w:gridCol w:w="1950"/>
      </w:tblGrid>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广告类型</w:t>
            </w:r>
          </w:p>
          <w:p>
            <w:pPr>
              <w:spacing w:before="120" w:after="120" w:line="288" w:lineRule="auto"/>
              <w:ind w:left="0"/>
              <w:jc w:val="center"/>
            </w:pPr>
            <w:r>
              <w:rPr>
                <w:rFonts w:eastAsia="等线" w:ascii="Arial" w:cs="Arial" w:hAnsi="Arial"/>
                <w:b w:val="true"/>
                <w:sz w:val="22"/>
              </w:rPr>
              <w:t>Advertising Types</w:t>
            </w:r>
          </w:p>
        </w:tc>
        <w:tc>
          <w:tcPr>
            <w:tcW w:w="3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广告发布额度区间（单位：万美元）Advertising Placement amount range</w:t>
            </w:r>
          </w:p>
          <w:p>
            <w:pPr>
              <w:spacing w:before="120" w:after="120" w:line="288" w:lineRule="auto"/>
              <w:ind w:left="0"/>
              <w:jc w:val="center"/>
            </w:pPr>
            <w:r>
              <w:rPr>
                <w:rFonts w:eastAsia="等线" w:ascii="Arial" w:cs="Arial" w:hAnsi="Arial"/>
                <w:b w:val="true"/>
                <w:sz w:val="22"/>
              </w:rPr>
              <w:t>(Unit: Ten Thousand USD)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p>
            <w:pPr>
              <w:spacing w:before="120" w:after="120" w:line="288" w:lineRule="auto"/>
              <w:ind w:left="0"/>
              <w:jc w:val="center"/>
            </w:pPr>
            <w:r>
              <w:rPr>
                <w:rFonts w:eastAsia="等线" w:ascii="Arial" w:cs="Arial" w:hAnsi="Arial"/>
                <w:sz w:val="22"/>
              </w:rPr>
              <w:t>Performance-based（advertiser placement）</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p>
            <w:pPr>
              <w:spacing w:before="120" w:after="120" w:line="288" w:lineRule="auto"/>
              <w:ind w:left="0"/>
              <w:jc w:val="center"/>
            </w:pPr>
            <w:r>
              <w:rPr>
                <w:rFonts w:eastAsia="等线" w:ascii="Arial" w:cs="Arial" w:hAnsi="Arial"/>
                <w:sz w:val="22"/>
              </w:rPr>
              <w:t>Branding</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p>
            <w:pPr>
              <w:spacing w:before="120" w:after="120" w:line="288" w:lineRule="auto"/>
              <w:ind w:left="0"/>
              <w:jc w:val="center"/>
            </w:pPr>
            <w:r>
              <w:rPr>
                <w:rFonts w:eastAsia="等线" w:ascii="Arial" w:cs="Arial" w:hAnsi="Arial"/>
                <w:sz w:val="22"/>
              </w:rPr>
              <w:t>Creator Monetization</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 Category A industries: refers to the first-level industries of gaming, e-commerce retail, consumer goods, lifestyle services, telecommunications, finance, media and social networking, cultural and entertainment, automotive, travel and transportation, business services, education and training, real estate, healthcare, public and government organizations, chemical and energy, and tools.</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Performance-based：Information flow advertising (competing for ad positions on advertising platforms through real-time bidding), fast tasks, and brand bidding.</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Branding：Eyemax Interstitial Ads, First Sight Contract Information Feed, Reach &amp; Frequncy, TeleKwai, Hashtag Challenge Ads, and Special Recruitment Project - Non-standard Products.</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*Creator monetization ads：KCM</w:t>
      </w:r>
    </w:p>
    <w:p>
      <w:pPr>
        <w:spacing w:before="120" w:after="120" w:line="288" w:lineRule="auto"/>
        <w:ind w:left="0" w:firstLine="420"/>
        <w:jc w:val="left"/>
      </w:pPr>
      <w:r>
        <w:rPr>
          <w:rFonts w:eastAsia="等线" w:ascii="Arial" w:cs="Arial" w:hAnsi="Arial"/>
          <w:sz w:val="22"/>
        </w:rPr>
        <w:t>4.3 甲方投放行业为【B类】的广告，且【取得牌照并在SIGAP系统名单内】的，返点比例如下：</w:t>
      </w:r>
    </w:p>
    <w:p>
      <w:pPr>
        <w:spacing w:before="120" w:after="120" w:line="288" w:lineRule="auto"/>
        <w:ind w:left="0" w:firstLine="420"/>
        <w:jc w:val="left"/>
      </w:pPr>
      <w:r>
        <w:rPr>
          <w:rFonts w:eastAsia="等线" w:ascii="Arial" w:cs="Arial" w:hAnsi="Arial"/>
          <w:sz w:val="22"/>
        </w:rPr>
        <w:t>If Party A places advertisements in the industry of [Category B], also[ being licensed and listed on the SIGAP system],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40"/>
        <w:gridCol w:w="2340"/>
      </w:tblGrid>
      <w:tr>
        <w:tc>
          <w:tcPr>
            <w:tcW w:w="59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4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 Category B industries: refers to the industry other than Category A.</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Category judgment: The specific category judgment shall be based on the promotion of the site pages/applications/accounts of Party A's entity, and the industry classification will be updated in real time. Ultimately, the judgment of Kwai media shall prevail in the first place.</w:t>
      </w:r>
    </w:p>
    <w:p>
      <w:pPr>
        <w:spacing w:before="120" w:after="120" w:line="288" w:lineRule="auto"/>
        <w:ind w:left="0" w:firstLine="420"/>
        <w:jc w:val="left"/>
      </w:pPr>
      <w:r>
        <w:rPr>
          <w:rFonts w:eastAsia="等线" w:ascii="Arial" w:cs="Arial" w:hAnsi="Arial"/>
          <w:sz w:val="22"/>
        </w:rPr>
        <w:t>4.5 SIGAP系统名单内判定：均以Kwai媒体审核判定为准。</w:t>
      </w:r>
    </w:p>
    <w:p>
      <w:pPr>
        <w:spacing w:before="120" w:after="120" w:line="288" w:lineRule="auto"/>
        <w:ind w:left="0" w:firstLine="420"/>
        <w:jc w:val="left"/>
      </w:pPr>
      <w:r>
        <w:rPr>
          <w:rFonts w:eastAsia="等线" w:ascii="Arial" w:cs="Arial" w:hAnsi="Arial"/>
          <w:sz w:val="22"/>
        </w:rPr>
        <w:t>SIGAP System Listing Criteria: the judgment of Kwai media shall prevail</w:t>
      </w:r>
    </w:p>
    <w:p>
      <w:pPr>
        <w:spacing w:before="120" w:after="120" w:line="288" w:lineRule="auto"/>
        <w:ind w:left="0" w:firstLine="420"/>
        <w:jc w:val="left"/>
      </w:pPr>
      <w:r>
        <w:rPr>
          <w:rFonts w:eastAsia="等线" w:ascii="Arial" w:cs="Arial" w:hAnsi="Arial"/>
          <w:sz w:val="22"/>
        </w:rPr>
        <w:t>4.6广告类型判定：均以Kwai媒体判定为准。</w:t>
      </w:r>
    </w:p>
    <w:p>
      <w:pPr>
        <w:spacing w:before="120" w:after="120" w:line="288" w:lineRule="auto"/>
        <w:ind w:left="0" w:firstLine="420"/>
        <w:jc w:val="left"/>
      </w:pPr>
      <w:r>
        <w:rPr>
          <w:rFonts w:eastAsia="等线" w:ascii="Arial" w:cs="Arial" w:hAnsi="Arial"/>
          <w:sz w:val="22"/>
        </w:rPr>
        <w:t>Advertising type determination: the judgment of Kwai media shall prevail.</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r>
        <w:rPr>
          <w:rFonts w:eastAsia="等线" w:ascii="Arial" w:cs="Arial" w:hAnsi="Arial"/>
          <w:sz w:val="22"/>
        </w:rPr>
        <w:t>Party A shall set up accounts and advertise strictly accordance with the industry type. If Party A violates the above rules (such as setting up category A accounts to advertise in category B industries), the media and/or Party B shall have the right to impose penalties on Party A, including but not limited to deducting fines, canceling rebates, freezing accounts, etc.; If it is not sufficient to make up for Party B's losses, Party B shall have the right to pursue compensation from Party A.</w:t>
      </w:r>
    </w:p>
    <w:p>
      <w:pPr>
        <w:spacing w:before="120" w:after="120" w:line="288" w:lineRule="auto"/>
        <w:ind w:left="0" w:firstLine="420"/>
        <w:jc w:val="left"/>
      </w:pPr>
    </w:p>
    <w:p>
      <w:pPr>
        <w:numPr>
          <w:numId w:val="83"/>
        </w:numPr>
        <w:spacing w:before="120" w:after="120" w:line="288" w:lineRule="auto"/>
        <w:ind w:left="0"/>
        <w:jc w:val="left"/>
      </w:pPr>
      <w:r>
        <w:rPr>
          <w:rFonts w:eastAsia="等线" w:ascii="Arial" w:cs="Arial" w:hAnsi="Arial"/>
          <w:b w:val="true"/>
          <w:sz w:val="22"/>
        </w:rPr>
        <w:t>LinkedIn</w:t>
      </w:r>
    </w:p>
    <w:p>
      <w:pPr>
        <w:spacing w:before="120" w:after="120" w:line="288" w:lineRule="auto"/>
        <w:ind w:left="0" w:firstLine="420"/>
        <w:jc w:val="left"/>
      </w:pPr>
      <w:r>
        <w:rPr>
          <w:rFonts w:eastAsia="等线" w:ascii="Arial" w:cs="Arial" w:hAnsi="Arial"/>
          <w:sz w:val="22"/>
        </w:rPr>
        <w:t>5.1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5.2返点比例如下：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gridCol w:w="2295"/>
      </w:tblGrid>
      <w:tr>
        <w:tc>
          <w:tcPr>
            <w:tcW w:w="59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8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“Advance payment”,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authority.</w:t>
      </w:r>
    </w:p>
    <w:p>
      <w:pPr>
        <w:spacing w:before="120" w:after="120" w:line="288" w:lineRule="auto"/>
        <w:ind w:left="0" w:firstLine="42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“Afterward payment”, 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420"/>
        <w:jc w:val="left"/>
      </w:pPr>
      <w:r>
        <w:rPr>
          <w:rFonts w:eastAsia="等线" w:ascii="Arial" w:cs="Arial" w:hAnsi="Arial"/>
          <w:sz w:val="22"/>
        </w:rPr>
        <w:t>Party A is aware that taxes are required for LinkedIn media placement. If Party A chooses the cooperation method of “Advance payment”, the taxes will be directly deducted from charging; If Party A chooses the cooperation method of “Afterward payment”, the taxes will be combined and calculated into the bill for the same month. Furthermore, taxes are not included in the calculation of the rebate.</w:t>
      </w:r>
    </w:p>
    <w:p>
      <w:pPr>
        <w:spacing w:before="120" w:after="120" w:line="288" w:lineRule="auto"/>
        <w:ind w:left="0" w:firstLine="420"/>
        <w:jc w:val="left"/>
      </w:pPr>
      <w:r>
        <w:rPr>
          <w:rFonts w:eastAsia="等线" w:ascii="Arial" w:cs="Arial" w:hAnsi="Arial"/>
          <w:sz w:val="22"/>
        </w:rPr>
        <w:t>5.6 上述 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r>
        <w:rPr>
          <w:rFonts w:eastAsia="等线" w:ascii="Arial" w:cs="Arial" w:hAnsi="Arial"/>
          <w:sz w:val="22"/>
        </w:rPr>
        <w:t>The rebate policy stipulated in Article 5.2 above is only valid until June 30, 2025, that is, the parties shall separately sign the new LinkedIn rebate policy applicable from July 1, 2025 in the form of a supplementary agreement, otherwise Party B shall have the right to refuse to pay the rebate rate stipulated in the above article to Party A and shall not bear any liability for breach of contract.</w:t>
      </w:r>
    </w:p>
    <w:p>
      <w:pPr>
        <w:spacing w:before="120" w:after="120" w:line="288" w:lineRule="auto"/>
        <w:ind w:left="0" w:firstLine="420"/>
        <w:jc w:val="left"/>
      </w:pPr>
    </w:p>
    <w:p>
      <w:pPr>
        <w:numPr>
          <w:numId w:val="84"/>
        </w:numPr>
        <w:spacing w:before="120" w:after="120" w:line="288" w:lineRule="auto"/>
        <w:ind w:left="0"/>
        <w:jc w:val="left"/>
      </w:pPr>
      <w:r>
        <w:rPr>
          <w:rFonts w:eastAsia="等线" w:ascii="Arial" w:cs="Arial" w:hAnsi="Arial"/>
          <w:b w:val="true"/>
          <w:sz w:val="22"/>
        </w:rPr>
        <w:t>Twitter（X）\Outbrain\Moloco等其他小媒体</w:t>
      </w:r>
    </w:p>
    <w:p>
      <w:pPr>
        <w:spacing w:before="120" w:after="120" w:line="288" w:lineRule="auto"/>
        <w:ind w:left="0" w:firstLine="420"/>
        <w:jc w:val="left"/>
      </w:pPr>
      <w:r>
        <w:rPr>
          <w:rFonts w:eastAsia="等线" w:ascii="Arial" w:cs="Arial" w:hAnsi="Arial"/>
          <w:b w:val="true"/>
          <w:sz w:val="22"/>
        </w:rPr>
        <w:t>Twitter\Outbrain\Moloco and other small media</w:t>
      </w:r>
    </w:p>
    <w:p>
      <w:pPr>
        <w:spacing w:before="120" w:after="120" w:line="288" w:lineRule="auto"/>
        <w:ind w:left="0" w:firstLine="42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6.2 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15"/>
        <w:gridCol w:w="2265"/>
      </w:tblGrid>
      <w:tr>
        <w:tc>
          <w:tcPr>
            <w:tcW w:w="60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15"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6.3甲方确认，在Outbrain媒体投放社交聚合类(social aggregator) 和套利/搜索类 （Search/SERP）的广告，不参与返点。</w:t>
      </w:r>
    </w:p>
    <w:p>
      <w:pPr>
        <w:spacing w:before="120" w:after="120" w:line="288" w:lineRule="auto"/>
        <w:ind w:left="0" w:firstLine="420"/>
        <w:jc w:val="left"/>
      </w:pPr>
      <w:r>
        <w:rPr>
          <w:rFonts w:eastAsia="等线" w:ascii="Arial" w:cs="Arial" w:hAnsi="Arial"/>
          <w:sz w:val="22"/>
        </w:rPr>
        <w:t>Party A confirms that the social aggregator and Search/SERP ads placed on Outbrain Media will not obtain the rebate.</w:t>
      </w:r>
    </w:p>
    <w:p>
      <w:pPr>
        <w:spacing w:before="120" w:after="120" w:line="288" w:lineRule="auto"/>
        <w:ind w:left="0" w:firstLine="420"/>
        <w:jc w:val="left"/>
      </w:pPr>
    </w:p>
    <w:p>
      <w:pPr>
        <w:numPr>
          <w:numId w:val="85"/>
        </w:numPr>
        <w:spacing w:before="120" w:after="120" w:line="288" w:lineRule="auto"/>
        <w:ind w:left="0"/>
        <w:jc w:val="left"/>
      </w:pPr>
      <w:r>
        <w:rPr>
          <w:rFonts w:eastAsia="等线" w:ascii="Arial" w:cs="Arial" w:hAnsi="Arial"/>
          <w:b w:val="true"/>
          <w:sz w:val="22"/>
        </w:rPr>
        <w:t>TTD，Pinterest，YAHOO-日本，REDDIT，SEEDAPP，LINE，BlueTurbo DSP等其他小媒体</w:t>
      </w:r>
    </w:p>
    <w:p>
      <w:pPr>
        <w:spacing w:before="120" w:after="120" w:line="288" w:lineRule="auto"/>
        <w:ind w:left="0" w:firstLine="420"/>
        <w:jc w:val="left"/>
      </w:pPr>
      <w:r>
        <w:rPr>
          <w:rFonts w:eastAsia="等线" w:ascii="Arial" w:cs="Arial" w:hAnsi="Arial"/>
          <w:b w:val="true"/>
          <w:sz w:val="22"/>
        </w:rPr>
        <w:t>TTD，Pinterest，YAHOO-日本，REDDIT，SEEDAPP，LINE，BlueTurbo DSP and other small media</w:t>
      </w:r>
    </w:p>
    <w:p>
      <w:pPr>
        <w:spacing w:before="120" w:after="120" w:line="288" w:lineRule="auto"/>
        <w:ind w:left="0" w:firstLine="420"/>
        <w:jc w:val="left"/>
      </w:pPr>
      <w:r>
        <w:rPr>
          <w:rFonts w:eastAsia="等线" w:ascii="Arial" w:cs="Arial" w:hAnsi="Arial"/>
          <w:sz w:val="22"/>
        </w:rPr>
        <w:t>7.1 甲方在【 】媒体进行广告投放的，所涉及的消耗均无任何返点，且甲方需要向乙方额外支付当月广告投放总消耗金额的【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If Party A places advertisements in [ ] media, there is no rebate for the consumption involved, and 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“Afterward payment” cooperation method, Party A shall settle with Party B according to the actual consumption regardless of whether Party A's actual consumption exceeds the recharge demand, i.e. the principle of truthful settlement, and if Party A is late or refuses to pay, Party B has the right to stop providing any service to Party A, including but not limited to suspending the account consumption and withdrawing the account-related rights.</w:t>
      </w:r>
    </w:p>
    <w:p>
      <w:pPr>
        <w:spacing w:before="120" w:after="120" w:line="288" w:lineRule="auto"/>
        <w:ind w:left="0" w:firstLine="420"/>
        <w:jc w:val="left"/>
      </w:pPr>
    </w:p>
    <w:p>
      <w:pPr>
        <w:numPr>
          <w:numId w:val="86"/>
        </w:numPr>
        <w:spacing w:before="120" w:after="120" w:line="288" w:lineRule="auto"/>
        <w:ind w:left="0"/>
        <w:jc w:val="left"/>
      </w:pPr>
      <w:r>
        <w:rPr>
          <w:rFonts w:eastAsia="等线" w:ascii="Arial" w:cs="Arial" w:hAnsi="Arial"/>
          <w:b w:val="true"/>
          <w:sz w:val="22"/>
        </w:rPr>
        <w:t>Microsoft advertising(Bing)</w:t>
      </w:r>
    </w:p>
    <w:p>
      <w:pPr>
        <w:spacing w:before="120" w:after="120" w:line="288" w:lineRule="auto"/>
        <w:ind w:left="0" w:firstLine="420"/>
        <w:jc w:val="left"/>
      </w:pPr>
      <w:r>
        <w:rPr>
          <w:rFonts w:eastAsia="等线" w:ascii="Arial" w:cs="Arial" w:hAnsi="Arial"/>
          <w:sz w:val="22"/>
        </w:rPr>
        <w:t>8.1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8.2 【2025年7月1日】至【2026年6月30日】期间，双方确认按照如下返点计算：</w:t>
      </w:r>
    </w:p>
    <w:p>
      <w:pPr>
        <w:spacing w:before="120" w:after="120" w:line="288" w:lineRule="auto"/>
        <w:ind w:left="0" w:firstLine="420"/>
        <w:jc w:val="left"/>
      </w:pPr>
      <w:r>
        <w:rPr>
          <w:rFonts w:eastAsia="等线" w:ascii="Arial" w:cs="Arial" w:hAnsi="Arial"/>
          <w:sz w:val="22"/>
        </w:rPr>
        <w:t>During the period from [July 1, 2025] to [June 30, 2026], the parties confirm that the calculation shall be based on the following rebate points: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p>
            <w:pPr>
              <w:spacing w:before="120" w:after="120" w:line="288" w:lineRule="auto"/>
              <w:ind w:left="0"/>
              <w:jc w:val="center"/>
            </w:pPr>
            <w:r>
              <w:rPr>
                <w:rFonts w:eastAsia="等线" w:ascii="Arial" w:cs="Arial" w:hAnsi="Arial"/>
                <w:sz w:val="22"/>
              </w:rPr>
              <w:t>Type (Per Client 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p>
            <w:pPr>
              <w:spacing w:before="120" w:after="120" w:line="288" w:lineRule="auto"/>
              <w:ind w:left="0"/>
              <w:jc w:val="center"/>
            </w:pPr>
            <w:r>
              <w:rPr>
                <w:rFonts w:eastAsia="等线" w:ascii="Arial" w:cs="Arial" w:hAnsi="Arial"/>
                <w:sz w:val="22"/>
              </w:rPr>
              <w:t>Evaluation Metric (X = Ad Spend per Quarter in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 USD</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%（额外返点Additional Rebate）</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420"/>
        <w:jc w:val="left"/>
      </w:pPr>
      <w:r>
        <w:rPr>
          <w:rFonts w:eastAsia="等线" w:ascii="Arial" w:cs="Arial" w:hAnsi="Arial"/>
          <w:sz w:val="22"/>
        </w:rPr>
        <w:t>New Client: A newly created XID, a new Domain, not involved in arbitrage or affiliate accounts, and an account that has not incurred any spending in the past six months, can be deemed as a new client by the media.</w:t>
      </w:r>
    </w:p>
    <w:p>
      <w:pPr>
        <w:spacing w:before="120" w:after="120" w:line="288" w:lineRule="auto"/>
        <w:ind w:left="0" w:firstLine="42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420"/>
        <w:jc w:val="left"/>
      </w:pPr>
      <w:r>
        <w:rPr>
          <w:rFonts w:eastAsia="等线" w:ascii="Arial" w:cs="Arial" w:hAnsi="Arial"/>
          <w:sz w:val="22"/>
        </w:rPr>
        <w:t>High-Quality New Client: A client deemed as new by the media, who has spent over $3,000 within the first three months.</w:t>
      </w:r>
    </w:p>
    <w:p>
      <w:pPr>
        <w:spacing w:before="120" w:after="120" w:line="288" w:lineRule="auto"/>
        <w:ind w:left="0" w:firstLine="42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420"/>
        <w:jc w:val="left"/>
      </w:pPr>
      <w:r>
        <w:rPr>
          <w:rFonts w:eastAsia="等线" w:ascii="Arial" w:cs="Arial" w:hAnsi="Arial"/>
          <w:sz w:val="22"/>
        </w:rPr>
        <w:t>Direct Client: Clients directly managed by Microsoft Advertising (Bing) media, with the specific list determined by the media.8.2.5 CID: Manager account.</w:t>
      </w:r>
    </w:p>
    <w:p>
      <w:pPr>
        <w:spacing w:before="120" w:after="120" w:line="288" w:lineRule="auto"/>
        <w:ind w:left="0" w:firstLine="420"/>
        <w:jc w:val="left"/>
      </w:pPr>
      <w:r>
        <w:rPr>
          <w:rFonts w:eastAsia="等线" w:ascii="Arial" w:cs="Arial" w:hAnsi="Arial"/>
          <w:sz w:val="22"/>
        </w:rPr>
        <w:t>8.2.5 CID：Manager account经理账户。</w:t>
      </w:r>
    </w:p>
    <w:p>
      <w:pPr>
        <w:spacing w:before="120" w:after="120" w:line="288" w:lineRule="auto"/>
        <w:ind w:left="0" w:firstLine="420"/>
        <w:jc w:val="left"/>
      </w:pPr>
      <w:r>
        <w:rPr>
          <w:rFonts w:eastAsia="等线" w:ascii="Arial" w:cs="Arial" w:hAnsi="Arial"/>
          <w:sz w:val="22"/>
        </w:rPr>
        <w:t>CID: Manager account.</w:t>
      </w:r>
    </w:p>
    <w:p>
      <w:pPr>
        <w:spacing w:before="120" w:after="120" w:line="288" w:lineRule="auto"/>
        <w:ind w:left="0" w:firstLine="420"/>
        <w:jc w:val="left"/>
      </w:pPr>
      <w:r>
        <w:rPr>
          <w:rFonts w:eastAsia="等线" w:ascii="Arial" w:cs="Arial" w:hAnsi="Arial"/>
          <w:sz w:val="22"/>
        </w:rPr>
        <w:t>8.2.6 XID：Account经理账户下的独立子账户。</w:t>
      </w:r>
    </w:p>
    <w:p>
      <w:pPr>
        <w:spacing w:before="120" w:after="120" w:line="288" w:lineRule="auto"/>
        <w:ind w:left="0" w:firstLine="420"/>
        <w:jc w:val="left"/>
      </w:pPr>
      <w:r>
        <w:rPr>
          <w:rFonts w:eastAsia="等线" w:ascii="Arial" w:cs="Arial" w:hAnsi="Arial"/>
          <w:sz w:val="22"/>
        </w:rPr>
        <w:t>XID: Independent sub-account under the manager account.</w:t>
      </w:r>
    </w:p>
    <w:p>
      <w:pPr>
        <w:spacing w:before="120" w:after="120" w:line="288" w:lineRule="auto"/>
        <w:ind w:left="0" w:firstLine="420"/>
        <w:jc w:val="left"/>
      </w:pPr>
      <w:r>
        <w:rPr>
          <w:rFonts w:eastAsia="等线" w:ascii="Arial" w:cs="Arial" w:hAnsi="Arial"/>
          <w:sz w:val="22"/>
        </w:rPr>
        <w:t>8.2.7 Domain：广告投放链接。</w:t>
      </w:r>
    </w:p>
    <w:p>
      <w:pPr>
        <w:spacing w:before="120" w:after="120" w:line="288" w:lineRule="auto"/>
        <w:ind w:left="0" w:firstLine="420"/>
        <w:jc w:val="left"/>
      </w:pPr>
      <w:r>
        <w:rPr>
          <w:rFonts w:eastAsia="等线" w:ascii="Arial" w:cs="Arial" w:hAnsi="Arial"/>
          <w:sz w:val="22"/>
        </w:rPr>
        <w:t>Domain: Advertising delivery link.</w:t>
      </w:r>
    </w:p>
    <w:p>
      <w:pPr>
        <w:spacing w:before="120" w:after="120" w:line="288" w:lineRule="auto"/>
        <w:ind w:left="0" w:firstLine="420"/>
        <w:jc w:val="left"/>
      </w:pPr>
      <w:r>
        <w:rPr>
          <w:rFonts w:eastAsia="等线" w:ascii="Arial" w:cs="Arial" w:hAnsi="Arial"/>
          <w:sz w:val="22"/>
        </w:rPr>
        <w:t>8.3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420"/>
        <w:jc w:val="left"/>
      </w:pPr>
      <w:r>
        <w:rPr>
          <w:rFonts w:eastAsia="等线" w:ascii="Arial" w:cs="Arial" w:hAnsi="Arial"/>
          <w:sz w:val="22"/>
        </w:rPr>
        <w:t>Arbitrage and Affiliate Account: Refers to customers who purchase Microsoft advertising services through an agent, with the purpose of promoting or marketing others' products or services. The specific determination of accounts is subject to the media's updates from time to time.</w:t>
      </w:r>
    </w:p>
    <w:p>
      <w:pPr>
        <w:spacing w:before="120" w:after="120" w:line="288" w:lineRule="auto"/>
        <w:ind w:left="0" w:firstLine="420"/>
        <w:jc w:val="left"/>
      </w:pPr>
      <w:r>
        <w:rPr>
          <w:rFonts w:eastAsia="等线" w:ascii="Arial" w:cs="Arial" w:hAnsi="Arial"/>
          <w:sz w:val="22"/>
        </w:rPr>
        <w:t>8.4如甲方在任何一个月出现违规消耗导致账户被封或者被媒体判定为低质量广告的，则该XID整年均无返点。</w:t>
      </w:r>
    </w:p>
    <w:p>
      <w:pPr>
        <w:spacing w:before="120" w:after="120" w:line="288" w:lineRule="auto"/>
        <w:ind w:left="0" w:firstLine="420"/>
        <w:jc w:val="left"/>
      </w:pPr>
      <w:r>
        <w:rPr>
          <w:rFonts w:eastAsia="等线" w:ascii="Arial" w:cs="Arial" w:hAnsi="Arial"/>
          <w:sz w:val="22"/>
        </w:rPr>
        <w:t>If Party A incurs any violations in consumption in any given month, resulting in account suspension or being deemed as low-quality advertising by the media, then the entire year for that XID will not be eligible for rebates.</w:t>
      </w:r>
    </w:p>
    <w:p>
      <w:pPr>
        <w:spacing w:before="120" w:after="120" w:line="288" w:lineRule="auto"/>
        <w:ind w:left="0" w:firstLine="42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420"/>
        <w:jc w:val="left"/>
      </w:pPr>
      <w:r>
        <w:rPr>
          <w:rFonts w:eastAsia="等线" w:ascii="Arial" w:cs="Arial" w:hAnsi="Arial"/>
          <w:sz w:val="22"/>
        </w:rPr>
        <w:t>If Party A has already established an XID with another agency and subsequently opens a new XID with Party B, and if the Domain for both XIDs is the same, then Party A will not be eligible for new customer rebates with Party B.</w:t>
      </w:r>
    </w:p>
    <w:p>
      <w:pPr>
        <w:spacing w:before="120" w:after="120" w:line="288" w:lineRule="auto"/>
        <w:ind w:left="0" w:firstLine="42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r>
        <w:rPr>
          <w:rFonts w:eastAsia="等线" w:ascii="Arial" w:cs="Arial" w:hAnsi="Arial"/>
          <w:sz w:val="22"/>
        </w:rPr>
        <w:t>Basic rebates, new customer rebates, high-quality new customer rebates, and additional incentives can be accumulated and received simultaneously.The maximum duration for Party A to receive rebates as a newly recognized customer by the media is one year. In the case where Party A is identified as a high-quality new customer, additional rebates can be stacked on top of the new customer rebates. However, the additional rebates can only be claimed for a maximum of six months</w:t>
      </w:r>
    </w:p>
    <w:p>
      <w:pPr>
        <w:spacing w:before="120" w:after="120" w:line="288" w:lineRule="auto"/>
        <w:ind w:left="0" w:firstLine="420"/>
        <w:jc w:val="left"/>
      </w:pPr>
      <w:r>
        <w:rPr>
          <w:rFonts w:eastAsia="等线" w:ascii="Arial" w:cs="Arial" w:hAnsi="Arial"/>
          <w:b w:val="true"/>
          <w:sz w:val="22"/>
        </w:rPr>
        <w:t>9. Amazon</w:t>
      </w:r>
    </w:p>
    <w:p>
      <w:pPr>
        <w:spacing w:before="120" w:after="120" w:line="288" w:lineRule="auto"/>
        <w:ind w:left="0" w:firstLine="420"/>
        <w:jc w:val="left"/>
      </w:pPr>
      <w:r>
        <w:rPr>
          <w:rFonts w:eastAsia="等线" w:ascii="Arial" w:cs="Arial" w:hAnsi="Arial"/>
          <w:sz w:val="22"/>
        </w:rPr>
        <w:t>9.1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quarter, Party B will settle the rebate based on the total amount of the advertising release actually paid by Party A. Party A explicitly acknowledges and agrees that: if any payment by Party A is overdue within the quarter, Party B has the right to cancel all the rebates for that quarter;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9.2双方确认按照如下返点计算：</w:t>
      </w:r>
    </w:p>
    <w:p>
      <w:pPr>
        <w:spacing w:before="120" w:after="120" w:line="288" w:lineRule="auto"/>
        <w:ind w:left="0" w:firstLine="420"/>
        <w:jc w:val="left"/>
      </w:pPr>
      <w:r>
        <w:rPr>
          <w:rFonts w:eastAsia="等线" w:ascii="Arial" w:cs="Arial" w:hAnsi="Arial"/>
          <w:sz w:val="22"/>
        </w:rPr>
        <w:t>Both parties confirm the following rebate calculation: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类型 </w:t>
            </w:r>
          </w:p>
          <w:p>
            <w:pPr>
              <w:spacing w:before="120" w:after="120" w:line="288" w:lineRule="auto"/>
              <w:ind w:left="0"/>
              <w:jc w:val="center"/>
            </w:pPr>
            <w:r>
              <w:rPr>
                <w:rFonts w:eastAsia="等线" w:ascii="Arial" w:cs="Arial" w:hAnsi="Arial"/>
                <w:b w:val="true"/>
                <w:sz w:val="22"/>
              </w:rPr>
              <w:t>Type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投放地区 </w:t>
            </w:r>
          </w:p>
          <w:p>
            <w:pPr>
              <w:spacing w:before="120" w:after="120" w:line="288" w:lineRule="auto"/>
              <w:ind w:left="0"/>
              <w:jc w:val="center"/>
            </w:pPr>
            <w:r>
              <w:rPr>
                <w:rFonts w:eastAsia="等线" w:ascii="Arial" w:cs="Arial" w:hAnsi="Arial"/>
                <w:b w:val="true"/>
                <w:sz w:val="22"/>
              </w:rPr>
              <w:t>Placement Area</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返点比例(%) </w:t>
            </w:r>
          </w:p>
          <w:p>
            <w:pPr>
              <w:spacing w:before="120" w:after="120" w:line="288" w:lineRule="auto"/>
              <w:ind w:left="0"/>
              <w:jc w:val="center"/>
            </w:pPr>
            <w:r>
              <w:rPr>
                <w:rFonts w:eastAsia="等线" w:ascii="Arial" w:cs="Arial" w:hAnsi="Arial"/>
                <w:b w:val="true"/>
                <w:sz w:val="22"/>
              </w:rPr>
              <w:t>Rebate</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9.2.1 Self Service：指可以通过DSP后台投出去的广告形式，其中包括但不限于Prime video\Twitch\Fire Tablet中的部分广告类型。</w:t>
      </w:r>
    </w:p>
    <w:p>
      <w:pPr>
        <w:spacing w:before="120" w:after="120" w:line="288" w:lineRule="auto"/>
        <w:ind w:left="0" w:firstLine="420"/>
        <w:jc w:val="left"/>
      </w:pPr>
      <w:r>
        <w:rPr>
          <w:rFonts w:eastAsia="等线" w:ascii="Arial" w:cs="Arial" w:hAnsi="Arial"/>
          <w:sz w:val="22"/>
        </w:rPr>
        <w:t>Self Service: Refers to the advertising form that can be launched through the DSP backend, including but not limited to some types of advertisements in Prime Video, Twitch and Fire Tablet.</w:t>
      </w:r>
    </w:p>
    <w:p>
      <w:pPr>
        <w:spacing w:before="120" w:after="120" w:line="288" w:lineRule="auto"/>
        <w:ind w:left="0" w:firstLine="420"/>
        <w:jc w:val="left"/>
      </w:pPr>
      <w:r>
        <w:rPr>
          <w:rFonts w:eastAsia="等线" w:ascii="Arial" w:cs="Arial" w:hAnsi="Arial"/>
          <w:sz w:val="22"/>
        </w:rPr>
        <w:t>9.2.2 Managed Service：指除Self Service类型以外的广告形式。</w:t>
      </w:r>
    </w:p>
    <w:p>
      <w:pPr>
        <w:spacing w:before="120" w:after="120" w:line="288" w:lineRule="auto"/>
        <w:ind w:left="0" w:firstLine="420"/>
        <w:jc w:val="left"/>
      </w:pPr>
      <w:r>
        <w:rPr>
          <w:rFonts w:eastAsia="等线" w:ascii="Arial" w:cs="Arial" w:hAnsi="Arial"/>
          <w:sz w:val="22"/>
        </w:rPr>
        <w:t xml:space="preserve">Managed Service: Refers to the advertising forms other than the Self Service type.  </w:t>
      </w:r>
    </w:p>
    <w:p>
      <w:pPr>
        <w:spacing w:before="120" w:after="120" w:line="288" w:lineRule="auto"/>
        <w:ind w:left="0" w:firstLine="42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420"/>
        <w:jc w:val="left"/>
      </w:pPr>
      <w:r>
        <w:rPr>
          <w:rFonts w:eastAsia="等线" w:ascii="Arial" w:cs="Arial" w:hAnsi="Arial"/>
          <w:sz w:val="22"/>
        </w:rPr>
        <w:t>Party A acknowledges that if Party A is included in the Block list of the media (a large customer list), there will be no rebate rewards.</w:t>
      </w:r>
    </w:p>
    <w:p>
      <w:pPr>
        <w:spacing w:before="120" w:after="120" w:line="288" w:lineRule="auto"/>
        <w:ind w:left="0" w:firstLine="420"/>
        <w:jc w:val="left"/>
      </w:pPr>
      <w:r>
        <w:rPr>
          <w:rFonts w:eastAsia="等线" w:ascii="Arial" w:cs="Arial" w:hAnsi="Arial"/>
          <w:sz w:val="22"/>
        </w:rPr>
        <w:t>9.4 上述广告类型/形式以及Block list的具体判定，会实时更新，最终均以Amazon媒体判定为准。</w:t>
      </w:r>
    </w:p>
    <w:p>
      <w:pPr>
        <w:spacing w:before="120" w:after="120" w:line="288" w:lineRule="auto"/>
        <w:ind w:left="0" w:firstLine="420"/>
        <w:jc w:val="left"/>
      </w:pPr>
      <w:r>
        <w:rPr>
          <w:rFonts w:eastAsia="等线" w:ascii="Arial" w:cs="Arial" w:hAnsi="Arial"/>
          <w:sz w:val="22"/>
        </w:rPr>
        <w:t>The specific determination of the above advertising types/forms and the Block list will be updated in real time. The final determination shall be based on the judgment of Amazon Media.</w:t>
      </w:r>
    </w:p>
    <w:p>
      <w:pPr>
        <w:spacing w:before="120" w:after="120" w:line="288" w:lineRule="auto"/>
        <w:ind w:left="0" w:firstLine="42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post-payment cooperation method, regardless of whether the actual consumption of Party A exceeds the recharge requirement, Party A shall settle with Party B based on the actual consumption. That is, the principle of actual settlement shall be followed. If Party A delays payment or refuses to pay, Party B has the right to stop providing any services to Party A, including but not limited to suspending the consumption of the account and revoking the relevant account permissions.</w:t>
      </w:r>
    </w:p>
    <w:p>
      <w:pPr>
        <w:spacing w:before="120" w:after="120" w:line="288" w:lineRule="auto"/>
        <w:ind w:left="0" w:firstLine="420"/>
        <w:jc w:val="left"/>
      </w:pPr>
    </w:p>
    <w:p>
      <w:pPr>
        <w:pStyle w:val="3"/>
        <w:spacing w:before="300" w:after="120" w:line="288" w:lineRule="auto"/>
        <w:ind w:left="0"/>
        <w:jc w:val="left"/>
        <w:outlineLvl w:val="2"/>
      </w:pPr>
      <w:bookmarkStart w:name="heading_15" w:id="15"/>
      <w:r>
        <w:rPr>
          <w:rFonts w:eastAsia="等线" w:ascii="Arial" w:cs="Arial" w:hAnsi="Arial"/>
          <w:b w:val="true"/>
          <w:sz w:val="30"/>
        </w:rPr>
        <w:t>10. Applovin</w:t>
      </w:r>
      <w:bookmarkEnd w:id="15"/>
    </w:p>
    <w:p>
      <w:pPr>
        <w:spacing w:before="120" w:after="120" w:line="288" w:lineRule="auto"/>
        <w:ind w:left="0" w:firstLine="420"/>
        <w:jc w:val="left"/>
      </w:pPr>
      <w:r>
        <w:rPr>
          <w:rFonts w:eastAsia="等线" w:ascii="Arial" w:cs="Arial" w:hAnsi="Arial"/>
          <w:sz w:val="22"/>
        </w:rPr>
        <w:t>10.1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year, Party B will settle the rebate based on the total amount of the advertising release actually paid by Party A. Party A explicitly acknowledges and agrees that: if any payment by Party A is overdue within the year, Party B has the right to cancel all the rebates for that year;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10.2 如甲方选择自投，则双方确认按照如下返点计算：</w:t>
      </w:r>
    </w:p>
    <w:p>
      <w:pPr>
        <w:spacing w:before="120" w:after="120" w:line="288" w:lineRule="auto"/>
        <w:ind w:left="0" w:firstLine="420"/>
        <w:jc w:val="left"/>
      </w:pPr>
      <w:r>
        <w:rPr>
          <w:rFonts w:eastAsia="等线" w:ascii="Arial" w:cs="Arial" w:hAnsi="Arial"/>
          <w:sz w:val="22"/>
        </w:rPr>
        <w:t>If Party A chooses self-placement,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60"/>
        <w:gridCol w:w="2220"/>
      </w:tblGrid>
      <w:tr>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6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10.3 如甲方选择代投，则代投服务费以双方在“三、代投政策”处的约定为准。</w:t>
      </w:r>
    </w:p>
    <w:p>
      <w:pPr>
        <w:spacing w:before="120" w:after="120" w:line="288" w:lineRule="auto"/>
        <w:ind w:left="0" w:firstLine="420"/>
        <w:jc w:val="left"/>
      </w:pPr>
      <w:r>
        <w:rPr>
          <w:rFonts w:eastAsia="等线" w:ascii="Arial" w:cs="Arial" w:hAnsi="Arial"/>
          <w:sz w:val="22"/>
        </w:rPr>
        <w:t>If chooses agency placement, the agency service fee shall be subject to “Policies for Agency Placement” part of this contract.</w:t>
      </w:r>
    </w:p>
    <w:p>
      <w:pPr>
        <w:spacing w:before="120" w:after="120" w:line="288" w:lineRule="auto"/>
        <w:ind w:left="0" w:firstLine="420"/>
        <w:jc w:val="left"/>
      </w:pPr>
      <w:r>
        <w:rPr>
          <w:rFonts w:eastAsia="等线" w:ascii="Arial" w:cs="Arial" w:hAnsi="Arial"/>
          <w:sz w:val="22"/>
        </w:rPr>
        <w:t>10.4 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10.6如甲方选择代投方式，则甲方无权使用和操作代投广告账户，否则该账户因此导致的所有费用或消耗，均需由甲方自行承担。</w:t>
      </w:r>
    </w:p>
    <w:p>
      <w:pPr>
        <w:spacing w:before="120" w:after="120" w:line="288" w:lineRule="auto"/>
        <w:ind w:left="0" w:firstLine="420"/>
        <w:jc w:val="left"/>
      </w:pPr>
      <w:r>
        <w:rPr>
          <w:rFonts w:eastAsia="等线" w:ascii="Arial" w:cs="Arial" w:hAnsi="Arial"/>
          <w:sz w:val="22"/>
        </w:rPr>
        <w:t>If Party A chooses the agency placement method, Party A is not entitled to use or operate the agency advertisement account. Otherwise, Party A shall bear all costs or expenditures resulting from such actions.</w:t>
      </w:r>
    </w:p>
    <w:p>
      <w:pPr>
        <w:spacing w:before="120" w:after="120" w:line="288" w:lineRule="auto"/>
        <w:ind w:left="0" w:firstLine="42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420"/>
        <w:jc w:val="left"/>
      </w:pPr>
      <w:r>
        <w:rPr>
          <w:rFonts w:eastAsia="等线" w:ascii="Arial" w:cs="Arial" w:hAnsi="Arial"/>
          <w:sz w:val="22"/>
        </w:rPr>
        <w:t>Party A acknowledges and agrees that any discounts, coupons, or other benefits provided by the media are not eligible for rebates.</w:t>
      </w:r>
    </w:p>
    <w:p>
      <w:pPr>
        <w:spacing w:before="120" w:after="120" w:line="288" w:lineRule="auto"/>
        <w:ind w:left="0" w:firstLine="42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p>
    <w:p>
      <w:pPr>
        <w:pStyle w:val="3"/>
        <w:spacing w:before="300" w:after="120" w:line="288" w:lineRule="auto"/>
        <w:ind w:left="0"/>
        <w:jc w:val="left"/>
        <w:outlineLvl w:val="2"/>
      </w:pPr>
      <w:bookmarkStart w:name="heading_16" w:id="16"/>
      <w:r>
        <w:rPr>
          <w:rFonts w:eastAsia="等线" w:ascii="Arial" w:cs="Arial" w:hAnsi="Arial"/>
          <w:b w:val="true"/>
          <w:sz w:val="30"/>
        </w:rPr>
        <w:t>11. Pinterest</w:t>
      </w:r>
      <w:bookmarkEnd w:id="16"/>
    </w:p>
    <w:p>
      <w:pPr>
        <w:spacing w:before="120" w:after="120" w:line="288" w:lineRule="auto"/>
        <w:ind w:left="0" w:firstLine="420"/>
        <w:jc w:val="left"/>
      </w:pPr>
      <w:r>
        <w:rPr>
          <w:rFonts w:eastAsia="等线" w:ascii="Arial" w:cs="Arial" w:hAnsi="Arial"/>
          <w:sz w:val="22"/>
        </w:rPr>
        <w:t>11.1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Party B the full amount for the advertisement placement. At the end of the year, Party B will settle the rebate based on the total amount actually paid by Party A for the advertisement placement. Party A explicitly acknowledges and agrees that if there is any overdue payment by Party A within the year, Party B has the right to cancel all rebates for that year. If Party A is subject to any circumstances agreed upon with the media platform that result in a reduction or exemption of the rebate payment, Party A will not be eligible for the rebate even if the advertisement placement amount has been paid in full and on time.</w:t>
      </w:r>
    </w:p>
    <w:p>
      <w:pPr>
        <w:spacing w:before="120" w:after="120" w:line="288" w:lineRule="auto"/>
        <w:ind w:left="0" w:firstLine="420"/>
        <w:jc w:val="left"/>
      </w:pPr>
      <w:r>
        <w:rPr>
          <w:rFonts w:eastAsia="等线" w:ascii="Arial" w:cs="Arial" w:hAnsi="Arial"/>
          <w:sz w:val="22"/>
        </w:rPr>
        <w:t>11.2 如甲方选择投放如下地区/国家的，则双方确认按照如下返点计算：</w:t>
      </w:r>
    </w:p>
    <w:p>
      <w:pPr>
        <w:spacing w:before="120" w:after="120" w:line="288" w:lineRule="auto"/>
        <w:ind w:left="0" w:firstLine="420"/>
        <w:jc w:val="left"/>
      </w:pPr>
      <w:r>
        <w:rPr>
          <w:rFonts w:eastAsia="等线" w:ascii="Arial" w:cs="Arial" w:hAnsi="Arial"/>
          <w:sz w:val="22"/>
        </w:rPr>
        <w:t>If Party A chooses to place advertisements in the following regions/countries,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p>
            <w:pPr>
              <w:spacing w:before="120" w:after="120" w:line="288" w:lineRule="auto"/>
              <w:ind w:left="0"/>
              <w:jc w:val="center"/>
            </w:pPr>
            <w:r>
              <w:rPr>
                <w:rFonts w:eastAsia="等线" w:ascii="Arial" w:cs="Arial" w:hAnsi="Arial"/>
                <w:b w:val="true"/>
                <w:sz w:val="22"/>
              </w:rPr>
              <w:t>Regions/Countries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p>
            <w:pPr>
              <w:spacing w:before="120" w:after="120" w:line="288" w:lineRule="auto"/>
              <w:ind w:left="0"/>
              <w:jc w:val="left"/>
            </w:pPr>
            <w:r>
              <w:rPr>
                <w:rFonts w:eastAsia="等线" w:ascii="Arial" w:cs="Arial" w:hAnsi="Arial"/>
                <w:sz w:val="22"/>
              </w:rPr>
              <w:t>United States, Argentina, Australia, Austria, Belgium, Brazil, Canada, Chile, Colombia, Denmark, Finland, France, Germany, Ireland, Italy, Japan, Luxembourg, Mexico, Netherlands, New Zealand, Norway, Portugal, Spain, Sweden, Switzerland, United Kingdom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p>
            <w:pPr>
              <w:spacing w:before="120" w:after="120" w:line="288" w:lineRule="auto"/>
              <w:ind w:left="0"/>
              <w:jc w:val="left"/>
            </w:pPr>
            <w:r>
              <w:rPr>
                <w:rFonts w:eastAsia="等线" w:ascii="Arial" w:cs="Arial" w:hAnsi="Arial"/>
                <w:sz w:val="22"/>
              </w:rPr>
              <w:t>Algeria, Bahrain, Bulgaria, Costa Rica, Croatia, Cyprus, Czech Republic, Dominican Republic, Ecuador, Egypt, Estonia, Greece, Guatemala, Hong Kong SAR, Hungary, India, Indonesia, Iraq, Israel, Kuwait, Latvia, Lithuania, Malaysia, Malta, Morocco, Nigeria, North Macedonia, Oman, Pakistan, Peru, Philippines, Poland, Puerto Rico, Qatar, Romania, Saudi Arabia, Serbia, Singapore, Slovakia, South Africa, South Korea, Taiwan, Thailand, Turkey, United Arab Emirates, Vietnam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11.3以上地区/国家的划分、返点金额比例及媒体政策要求，最终以Pinterest实时更新的为准。</w:t>
      </w:r>
    </w:p>
    <w:p>
      <w:pPr>
        <w:spacing w:before="120" w:after="120" w:line="288" w:lineRule="auto"/>
        <w:ind w:left="0" w:firstLine="420"/>
        <w:jc w:val="left"/>
      </w:pPr>
      <w:r>
        <w:rPr>
          <w:rFonts w:eastAsia="等线" w:ascii="Arial" w:cs="Arial" w:hAnsi="Arial"/>
          <w:sz w:val="22"/>
        </w:rPr>
        <w:t>The division of the above Regions/Countries, the rebate amount ratio, and the media policy requirements are subject to the real-time updates from Pinterest.</w:t>
      </w:r>
    </w:p>
    <w:p>
      <w:pPr>
        <w:spacing w:before="120" w:after="120" w:line="288" w:lineRule="auto"/>
        <w:ind w:left="0" w:firstLine="420"/>
        <w:jc w:val="left"/>
      </w:pPr>
      <w:r>
        <w:rPr>
          <w:rFonts w:eastAsia="等线" w:ascii="Arial" w:cs="Arial" w:hAnsi="Arial"/>
          <w:sz w:val="22"/>
        </w:rPr>
        <w:t>11.4甲方已悉知针对Pinterest不提供返点部分的消耗金额或因Pinterest单方面决定不给予返点的,乙方也有权不向甲方提供任何返点，如乙方预先已提供的部分，则有权在下次结算时收回。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is aware that for the consumption amount for which Pinterest does not provide rebates or if Pinterest unilaterally decides not to grant rebates, Party B also has the right not to provide any rebates to Party A. If any rebates have been provided in advance by Party B, Party B has the right to reclaim them during the next settlement.</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三、 媒体平台返点结算与支付方式：</w:t>
      </w:r>
    </w:p>
    <w:p>
      <w:pPr>
        <w:spacing w:before="120" w:after="120" w:line="288" w:lineRule="auto"/>
        <w:ind w:left="0" w:firstLine="420"/>
        <w:jc w:val="left"/>
      </w:pPr>
      <w:r>
        <w:rPr>
          <w:rFonts w:eastAsia="等线" w:ascii="Arial" w:cs="Arial" w:hAnsi="Arial"/>
          <w:b w:val="true"/>
          <w:sz w:val="22"/>
        </w:rPr>
        <w:t>Media platform Rebates settlement and payment method</w:t>
      </w:r>
    </w:p>
    <w:p>
      <w:pPr>
        <w:pStyle w:val="3"/>
        <w:spacing w:before="300" w:after="120" w:line="288" w:lineRule="auto"/>
        <w:ind w:left="0"/>
        <w:jc w:val="left"/>
        <w:outlineLvl w:val="2"/>
      </w:pPr>
      <w:bookmarkStart w:name="heading_17" w:id="17"/>
      <w:r>
        <w:rPr>
          <w:rFonts w:eastAsia="等线" w:ascii="Arial" w:cs="Arial" w:hAnsi="Arial"/>
          <w:b w:val="true"/>
          <w:sz w:val="30"/>
        </w:rPr>
        <w:t>1. 双方同意按照如下第【】种方式支付返点金额：</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Both Parties agree to pay the rebates in the following [   ] manner:</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1).返点金额支付至甲方银行账号</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The rebates shall be paid to Party A's bank account</w:t>
      </w:r>
      <w:bookmarkEnd w:id="20"/>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 xml:space="preserve">Party A's bank account information is as follows: </w:t>
      </w:r>
    </w:p>
    <w:p>
      <w:pPr>
        <w:spacing w:before="120" w:after="120" w:line="288" w:lineRule="auto"/>
        <w:ind w:left="0" w:firstLine="420"/>
        <w:jc w:val="left"/>
      </w:pPr>
      <w:r>
        <w:rPr>
          <w:rFonts w:eastAsia="等线" w:ascii="Arial" w:cs="Arial" w:hAnsi="Arial"/>
          <w:sz w:val="22"/>
        </w:rPr>
        <w:t xml:space="preserve">Account Name: </w:t>
      </w:r>
    </w:p>
    <w:p>
      <w:pPr>
        <w:spacing w:before="120" w:after="120" w:line="288" w:lineRule="auto"/>
        <w:ind w:left="0" w:firstLine="420"/>
        <w:jc w:val="left"/>
      </w:pPr>
      <w:r>
        <w:rPr>
          <w:rFonts w:eastAsia="等线" w:ascii="Arial" w:cs="Arial" w:hAnsi="Arial"/>
          <w:sz w:val="22"/>
        </w:rPr>
        <w:t xml:space="preserve">Account Number: </w:t>
      </w:r>
    </w:p>
    <w:p>
      <w:pPr>
        <w:spacing w:before="120" w:after="120" w:line="288" w:lineRule="auto"/>
        <w:ind w:left="0" w:firstLine="420"/>
        <w:jc w:val="left"/>
      </w:pPr>
      <w:r>
        <w:rPr>
          <w:rFonts w:eastAsia="等线" w:ascii="Arial" w:cs="Arial" w:hAnsi="Arial"/>
          <w:sz w:val="22"/>
        </w:rPr>
        <w:t>Opening Bank:</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Bank address:</w:t>
      </w:r>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amount is verified and confirmed to be correct by both parties, Party B shall pay the rebate fee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transfer the rebate fee to Party A's bank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21" w:id="21"/>
      <w:r>
        <w:rPr>
          <w:rFonts w:eastAsia="等线" w:ascii="Arial" w:cs="Arial" w:hAnsi="Arial"/>
          <w:b w:val="true"/>
          <w:sz w:val="28"/>
        </w:rPr>
        <w:t>2).返点金额支付至甲方媒体账户</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Party B shall pay the rebates amount to Party A's platform account.</w:t>
      </w:r>
      <w:bookmarkEnd w:id="22"/>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fee is verified and confirmed to be correct by both parties, Party B shall pay the rebate fee to Party A's media account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pay the rebate fee to Party A's media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23" w:id="23"/>
      <w:r>
        <w:rPr>
          <w:rFonts w:eastAsia="等线" w:ascii="Arial" w:cs="Arial" w:hAnsi="Arial"/>
          <w:b w:val="true"/>
          <w:sz w:val="28"/>
        </w:rPr>
        <w:t>3). 返点金额在账单中进行抵扣结算</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The rebates shall be applied to set off against the bills.</w:t>
      </w:r>
      <w:bookmarkEnd w:id="24"/>
    </w:p>
    <w:p>
      <w:pPr>
        <w:spacing w:before="120" w:after="120" w:line="288" w:lineRule="auto"/>
        <w:ind w:left="0" w:firstLine="420"/>
        <w:jc w:val="left"/>
      </w:pPr>
      <w:r>
        <w:rPr>
          <w:rFonts w:eastAsia="等线" w:ascii="Arial" w:cs="Arial" w:hAnsi="Arial"/>
          <w:sz w:val="22"/>
        </w:rPr>
        <w:t xml:space="preserve"> a.甲方返点金额在应付乙方的广告款中直接扣减。返点金额按季度结算，该季度返点金额于该季度返点确认完成后的首个账单中抵扣，包含本次合同约定的【 】媒体投放。</w:t>
      </w:r>
    </w:p>
    <w:p>
      <w:pPr>
        <w:spacing w:before="120" w:after="120" w:line="288" w:lineRule="auto"/>
        <w:ind w:left="0" w:firstLine="420"/>
        <w:jc w:val="left"/>
      </w:pPr>
      <w:r>
        <w:rPr>
          <w:rFonts w:eastAsia="等线" w:ascii="Arial" w:cs="Arial" w:hAnsi="Arial"/>
          <w:sz w:val="22"/>
        </w:rPr>
        <w:t>The rebate amount due to Party A shall be directly deducted from the advertising fees payable to Party B. The rebate shall be settled on a quarterly basis, with the rebate for a given quarter being deducted from the first invoice issued after the quarter's rebate confirmation is completed，including the [ ] placement platform agreed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After receipt from the media of rebates report after end of any calendar year, Party B will check with Party A with respect to consumption of rebates generated during the term of the contract. After both Parties confirm, Party B will remit the rebates to Party A's bank account or set off against the next year's bills. This rebates settlement applies to annual rebating media, including the [    ] placement platform agreed in this contract.</w:t>
      </w:r>
    </w:p>
    <w:p>
      <w:pPr>
        <w:spacing w:before="120" w:after="120" w:line="288" w:lineRule="auto"/>
        <w:ind w:left="0" w:firstLine="420"/>
        <w:jc w:val="left"/>
      </w:pPr>
      <w:r>
        <w:rPr>
          <w:rFonts w:eastAsia="等线" w:ascii="Arial" w:cs="Arial" w:hAnsi="Arial"/>
          <w:sz w:val="22"/>
        </w:rPr>
        <w:t>2. 返点结算时，甲方应向乙方交付正规的、符合乙方财务制度要求的Invoice。甲方交付的Invoice不符合要求的，乙方有权拒绝或延迟支付/扣减返点金额，直至收到有效Invoice为止，并且不承担逾期付款违约责任。</w:t>
      </w:r>
    </w:p>
    <w:p>
      <w:pPr>
        <w:spacing w:before="120" w:after="120" w:line="288" w:lineRule="auto"/>
        <w:ind w:left="0" w:firstLine="420"/>
        <w:jc w:val="left"/>
      </w:pPr>
      <w:r>
        <w:rPr>
          <w:rFonts w:eastAsia="等线" w:ascii="Arial" w:cs="Arial" w:hAnsi="Arial"/>
          <w:sz w:val="22"/>
        </w:rPr>
        <w:t>Party A shall deliver to Party B formal invoice that meets the requirements of Party B's financial system for purposes of rebates settlement. If the invoice delivered by Party A does not meet the requirements, Party B shall have the right to refuse to pay or delay paying or deduct the rebates until Party B receives the valid invoice, without any breach liability for overdue payment.</w:t>
      </w:r>
    </w:p>
    <w:p>
      <w:pPr>
        <w:spacing w:before="120" w:after="120" w:line="288" w:lineRule="auto"/>
        <w:ind w:left="0" w:firstLine="420"/>
        <w:jc w:val="left"/>
      </w:pPr>
      <w:r>
        <w:rPr>
          <w:rFonts w:eastAsia="等线" w:ascii="Arial" w:cs="Arial" w:hAnsi="Arial"/>
          <w:sz w:val="22"/>
        </w:rPr>
        <w:t>3. 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spacing w:before="120" w:after="120" w:line="288" w:lineRule="auto"/>
        <w:ind w:left="0" w:firstLine="420"/>
        <w:jc w:val="left"/>
      </w:pPr>
      <w:r>
        <w:rPr>
          <w:rFonts w:eastAsia="等线" w:ascii="Arial" w:cs="Arial" w:hAnsi="Arial"/>
          <w:sz w:val="22"/>
        </w:rPr>
        <w:t>In the event that Party A chooses “Afterward payment”, Party A expressly acknowledges and agrees that if Party A fails to make any payment in full and on time during the quarter, Party B shall have the right to deduct all of rebate due to Party A for that quarter. In such a case, if Party B agrees, upon negotiation, to grant a partial rebate, Party B shall have the right to deduct the agreed rebate amount from the invoice in the third month of the following quarter or to pay it using any other applicable payment method as stipulated in this clause.</w:t>
      </w:r>
    </w:p>
    <w:p>
      <w:pPr>
        <w:spacing w:before="120" w:after="120" w:line="288" w:lineRule="auto"/>
        <w:ind w:left="0" w:firstLine="420"/>
        <w:jc w:val="left"/>
      </w:pPr>
      <w:r>
        <w:rPr>
          <w:rFonts w:eastAsia="等线" w:ascii="Arial" w:cs="Arial" w:hAnsi="Arial"/>
          <w:sz w:val="22"/>
        </w:rPr>
        <w:t>4. 甲方对返点的计算和金额存在异议的，应当在收到返点对账单之日起15个自然日内书面通知乙方，否则视为甲方认可该笔返点的计算方式和金额。</w:t>
      </w:r>
    </w:p>
    <w:p>
      <w:pPr>
        <w:spacing w:before="120" w:after="120" w:line="288" w:lineRule="auto"/>
        <w:ind w:left="0" w:firstLine="420"/>
        <w:jc w:val="left"/>
      </w:pPr>
      <w:r>
        <w:rPr>
          <w:rFonts w:eastAsia="等线" w:ascii="Arial" w:cs="Arial" w:hAnsi="Arial"/>
          <w:sz w:val="22"/>
        </w:rPr>
        <w:t>If Party A has any objection to the calculation and amount of the rebate, it shall notify Party B in writing within 15 calendar days from the date of receipt of the rebate statement, failing which, Party A shall be deemed to have accepted the calculation method and amount of the rebate.</w:t>
      </w:r>
    </w:p>
    <w:p>
      <w:pPr>
        <w:spacing w:before="120" w:after="120" w:line="288" w:lineRule="auto"/>
        <w:ind w:left="0" w:firstLine="420"/>
        <w:jc w:val="left"/>
      </w:pPr>
      <w:r>
        <w:rPr>
          <w:rFonts w:eastAsia="等线" w:ascii="Arial" w:cs="Arial" w:hAnsi="Arial"/>
          <w:sz w:val="22"/>
        </w:rPr>
        <w:t>5. 乙方在收到媒体支付的返点款项后，按照双方约定的返点结算方式与甲方进行结算。若媒体延迟支付返点款项，则乙方有权顺延与甲方进行返点结算的时间，直至收到该笔返点款项为止。</w:t>
      </w:r>
    </w:p>
    <w:p>
      <w:pPr>
        <w:spacing w:before="120" w:after="120" w:line="288" w:lineRule="auto"/>
        <w:ind w:left="0" w:firstLine="0"/>
        <w:jc w:val="left"/>
      </w:pPr>
      <w:r>
        <w:rPr>
          <w:rFonts w:eastAsia="等线" w:ascii="Arial" w:cs="Arial" w:hAnsi="Arial"/>
          <w:sz w:val="22"/>
        </w:rPr>
        <w:t xml:space="preserve">After receiving the rebate payment from the media, Party B shall settle accounts with Party A in </w:t>
      </w:r>
    </w:p>
    <w:p>
      <w:pPr>
        <w:spacing w:before="120" w:after="120" w:line="288" w:lineRule="auto"/>
        <w:ind w:left="0" w:firstLine="420"/>
        <w:jc w:val="left"/>
      </w:pPr>
      <w:r>
        <w:rPr>
          <w:rFonts w:eastAsia="等线" w:ascii="Arial" w:cs="Arial" w:hAnsi="Arial"/>
          <w:sz w:val="22"/>
        </w:rPr>
        <w:t>accordance with the agreed rebate settlement method by both parties. If the media delays the payment of the rebate amount, Party B has the right to extend the time for the rebate settlement with Party A until the rebate amount is received</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 xml:space="preserve">四、原合同约定的其它内容不变，任何未尽事宜，以原合同约定为准，并本协议自甲、乙双方盖章完毕之日起生效。 </w:t>
      </w:r>
    </w:p>
    <w:p>
      <w:pPr>
        <w:spacing w:before="120" w:after="120" w:line="288" w:lineRule="auto"/>
        <w:ind w:left="0" w:firstLine="420"/>
        <w:jc w:val="left"/>
      </w:pPr>
      <w:r>
        <w:rPr>
          <w:rFonts w:eastAsia="等线" w:ascii="Arial" w:cs="Arial" w:hAnsi="Arial"/>
          <w:sz w:val="22"/>
        </w:rPr>
        <w:t>The other terms stipulated in the original contract remain unchanged. Any unresolved matters shall be subject to the provisions of the original contract. This agreement shall take effect from the date when both parties, Party A and Party B, have affixed their seals.</w:t>
      </w:r>
    </w:p>
    <w:p>
      <w:pPr>
        <w:spacing w:before="120" w:after="120" w:line="288" w:lineRule="auto"/>
        <w:ind w:left="0" w:firstLine="0"/>
        <w:jc w:val="left"/>
      </w:pPr>
      <w:r>
        <w:rPr>
          <w:rFonts w:eastAsia="等线" w:ascii="Arial" w:cs="Arial" w:hAnsi="Arial"/>
          <w:b w:val="true"/>
          <w:sz w:val="22"/>
        </w:rPr>
        <w:t>五、本协议一式二份，双方各执一份，具有同等法律效力。</w:t>
      </w:r>
    </w:p>
    <w:p>
      <w:pPr>
        <w:spacing w:before="120" w:after="120" w:line="288" w:lineRule="auto"/>
        <w:ind w:left="0" w:firstLine="420"/>
        <w:jc w:val="left"/>
      </w:pPr>
      <w:r>
        <w:rPr>
          <w:rFonts w:eastAsia="等线" w:ascii="Arial" w:cs="Arial" w:hAnsi="Arial"/>
          <w:sz w:val="22"/>
        </w:rPr>
        <w:t>This Agreement is made in two counterparts with each party holding one counterpart, all of which shall have the same legal effect.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（以下无正文，为签字盖章页）</w:t>
      </w:r>
    </w:p>
    <w:p>
      <w:pPr>
        <w:spacing w:before="120" w:after="120" w:line="288" w:lineRule="auto"/>
        <w:ind w:left="0" w:firstLine="0"/>
        <w:jc w:val="left"/>
      </w:pPr>
      <w:r>
        <w:rPr>
          <w:rFonts w:eastAsia="等线" w:ascii="Arial" w:cs="Arial" w:hAnsi="Arial"/>
          <w:sz w:val="22"/>
        </w:rPr>
        <w:t>(The page below is for signature only)</w:t>
      </w: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甲方（签字/盖章）：                     乙方（签字/盖章）：</w:t>
      </w:r>
    </w:p>
    <w:p>
      <w:pPr>
        <w:spacing w:before="120" w:after="120" w:line="288" w:lineRule="auto"/>
        <w:ind w:left="0" w:firstLine="420"/>
        <w:jc w:val="left"/>
      </w:pPr>
      <w:r>
        <w:rPr>
          <w:rFonts w:eastAsia="等线" w:ascii="Arial" w:cs="Arial" w:hAnsi="Arial"/>
          <w:sz w:val="22"/>
        </w:rPr>
        <w:t>Party A(Sign/Seal): [           ]          Party B(Sign/Seal): [            ]</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签订日期：                               签订日期：</w:t>
      </w:r>
    </w:p>
    <w:p>
      <w:pPr>
        <w:spacing w:before="120" w:after="120" w:line="288" w:lineRule="auto"/>
        <w:ind w:left="0" w:firstLine="420"/>
        <w:jc w:val="left"/>
      </w:pPr>
      <w:r>
        <w:rPr>
          <w:rFonts w:eastAsia="等线" w:ascii="Arial" w:cs="Arial" w:hAnsi="Arial"/>
          <w:sz w:val="22"/>
        </w:rPr>
        <w:t>Signing Date:                              Signing Date:</w:t>
      </w: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31843">
    <w:lvl>
      <w:start w:val="1"/>
      <w:numFmt w:val="lowerLetter"/>
      <w:suff w:val="tab"/>
      <w:lvlText w:val="%1."/>
      <w:rPr>
        <w:color w:val="3370ff"/>
      </w:rPr>
    </w:lvl>
  </w:abstractNum>
  <w:abstractNum w:abstractNumId="731844">
    <w:lvl>
      <w:numFmt w:val="bullet"/>
      <w:suff w:val="tab"/>
      <w:lvlText w:val="•"/>
      <w:rPr>
        <w:color w:val="3370ff"/>
      </w:rPr>
    </w:lvl>
  </w:abstractNum>
  <w:abstractNum w:abstractNumId="731845">
    <w:lvl>
      <w:start w:val="1"/>
      <w:numFmt w:val="decimal"/>
      <w:suff w:val="tab"/>
      <w:lvlText w:val="%1."/>
      <w:rPr>
        <w:color w:val="3370ff"/>
      </w:rPr>
    </w:lvl>
  </w:abstractNum>
  <w:abstractNum w:abstractNumId="731846">
    <w:lvl>
      <w:start w:val="1"/>
      <w:numFmt w:val="decimal"/>
      <w:suff w:val="tab"/>
      <w:lvlText w:val="%1."/>
      <w:rPr>
        <w:color w:val="3370ff"/>
      </w:rPr>
    </w:lvl>
  </w:abstractNum>
  <w:abstractNum w:abstractNumId="731847">
    <w:lvl>
      <w:start w:val="1"/>
      <w:numFmt w:val="decimal"/>
      <w:suff w:val="tab"/>
      <w:lvlText w:val="%1."/>
      <w:rPr>
        <w:color w:val="3370ff"/>
      </w:rPr>
    </w:lvl>
  </w:abstractNum>
  <w:abstractNum w:abstractNumId="731848">
    <w:lvl>
      <w:start w:val="1"/>
      <w:numFmt w:val="decimal"/>
      <w:suff w:val="tab"/>
      <w:lvlText w:val="%1."/>
      <w:rPr>
        <w:color w:val="3370ff"/>
      </w:rPr>
    </w:lvl>
  </w:abstractNum>
  <w:abstractNum w:abstractNumId="731849">
    <w:lvl>
      <w:start w:val="2"/>
      <w:numFmt w:val="decimal"/>
      <w:suff w:val="tab"/>
      <w:lvlText w:val="%1."/>
      <w:rPr>
        <w:color w:val="3370ff"/>
      </w:rPr>
    </w:lvl>
  </w:abstractNum>
  <w:abstractNum w:abstractNumId="731850">
    <w:lvl>
      <w:start w:val="2"/>
      <w:numFmt w:val="decimal"/>
      <w:suff w:val="tab"/>
      <w:lvlText w:val="%1."/>
      <w:rPr>
        <w:color w:val="3370ff"/>
      </w:rPr>
    </w:lvl>
  </w:abstractNum>
  <w:abstractNum w:abstractNumId="731851">
    <w:lvl>
      <w:start w:val="3"/>
      <w:numFmt w:val="decimal"/>
      <w:suff w:val="tab"/>
      <w:lvlText w:val="%1."/>
      <w:rPr>
        <w:color w:val="3370ff"/>
      </w:rPr>
    </w:lvl>
  </w:abstractNum>
  <w:abstractNum w:abstractNumId="731852">
    <w:lvl>
      <w:numFmt w:val="bullet"/>
      <w:suff w:val="tab"/>
      <w:lvlText w:val="•"/>
      <w:rPr>
        <w:color w:val="3370ff"/>
      </w:rPr>
    </w:lvl>
  </w:abstractNum>
  <w:abstractNum w:abstractNumId="731853">
    <w:lvl>
      <w:numFmt w:val="bullet"/>
      <w:suff w:val="tab"/>
      <w:lvlText w:val="•"/>
      <w:rPr>
        <w:color w:val="3370ff"/>
      </w:rPr>
    </w:lvl>
  </w:abstractNum>
  <w:abstractNum w:abstractNumId="731854">
    <w:lvl>
      <w:numFmt w:val="bullet"/>
      <w:suff w:val="tab"/>
      <w:lvlText w:val="•"/>
      <w:rPr>
        <w:color w:val="3370ff"/>
      </w:rPr>
    </w:lvl>
  </w:abstractNum>
  <w:abstractNum w:abstractNumId="731855">
    <w:lvl>
      <w:numFmt w:val="bullet"/>
      <w:suff w:val="tab"/>
      <w:lvlText w:val="•"/>
      <w:rPr>
        <w:color w:val="3370ff"/>
      </w:rPr>
    </w:lvl>
  </w:abstractNum>
  <w:abstractNum w:abstractNumId="731856">
    <w:lvl>
      <w:start w:val="2"/>
      <w:numFmt w:val="decimal"/>
      <w:suff w:val="tab"/>
      <w:lvlText w:val="%1."/>
      <w:rPr>
        <w:color w:val="3370ff"/>
      </w:rPr>
    </w:lvl>
  </w:abstractNum>
  <w:abstractNum w:abstractNumId="731857">
    <w:lvl>
      <w:start w:val="1"/>
      <w:numFmt w:val="decimal"/>
      <w:suff w:val="tab"/>
      <w:lvlText w:val="%1."/>
      <w:rPr>
        <w:color w:val="3370ff"/>
      </w:rPr>
    </w:lvl>
  </w:abstractNum>
  <w:abstractNum w:abstractNumId="731858">
    <w:lvl>
      <w:start w:val="1"/>
      <w:numFmt w:val="decimal"/>
      <w:suff w:val="tab"/>
      <w:lvlText w:val="%1."/>
      <w:rPr>
        <w:color w:val="3370ff"/>
      </w:rPr>
    </w:lvl>
  </w:abstractNum>
  <w:abstractNum w:abstractNumId="731859">
    <w:lvl>
      <w:start w:val="2"/>
      <w:numFmt w:val="decimal"/>
      <w:suff w:val="tab"/>
      <w:lvlText w:val="%1."/>
      <w:rPr>
        <w:color w:val="3370ff"/>
      </w:rPr>
    </w:lvl>
  </w:abstractNum>
  <w:abstractNum w:abstractNumId="731860">
    <w:lvl>
      <w:start w:val="3"/>
      <w:numFmt w:val="decimal"/>
      <w:suff w:val="tab"/>
      <w:lvlText w:val="%1."/>
      <w:rPr>
        <w:color w:val="3370ff"/>
      </w:rPr>
    </w:lvl>
  </w:abstractNum>
  <w:abstractNum w:abstractNumId="731861">
    <w:lvl>
      <w:start w:val="4"/>
      <w:numFmt w:val="decimal"/>
      <w:suff w:val="tab"/>
      <w:lvlText w:val="%1."/>
      <w:rPr>
        <w:color w:val="3370ff"/>
      </w:rPr>
    </w:lvl>
  </w:abstractNum>
  <w:abstractNum w:abstractNumId="731862">
    <w:lvl>
      <w:start w:val="5"/>
      <w:numFmt w:val="decimal"/>
      <w:suff w:val="tab"/>
      <w:lvlText w:val="%1."/>
      <w:rPr>
        <w:color w:val="3370ff"/>
      </w:rPr>
    </w:lvl>
  </w:abstractNum>
  <w:abstractNum w:abstractNumId="731863">
    <w:lvl>
      <w:start w:val="6"/>
      <w:numFmt w:val="decimal"/>
      <w:suff w:val="tab"/>
      <w:lvlText w:val="%1."/>
      <w:rPr>
        <w:color w:val="3370ff"/>
      </w:rPr>
    </w:lvl>
  </w:abstractNum>
  <w:abstractNum w:abstractNumId="731864">
    <w:lvl>
      <w:start w:val="2"/>
      <w:numFmt w:val="decimal"/>
      <w:suff w:val="tab"/>
      <w:lvlText w:val="%1."/>
      <w:rPr>
        <w:color w:val="3370ff"/>
      </w:rPr>
    </w:lvl>
  </w:abstractNum>
  <w:abstractNum w:abstractNumId="731865">
    <w:lvl>
      <w:start w:val="1"/>
      <w:numFmt w:val="decimal"/>
      <w:suff w:val="tab"/>
      <w:lvlText w:val="%1."/>
      <w:rPr>
        <w:color w:val="3370ff"/>
      </w:rPr>
    </w:lvl>
  </w:abstractNum>
  <w:abstractNum w:abstractNumId="731866">
    <w:lvl>
      <w:start w:val="2"/>
      <w:numFmt w:val="decimal"/>
      <w:suff w:val="tab"/>
      <w:lvlText w:val="%1."/>
      <w:rPr>
        <w:color w:val="3370ff"/>
      </w:rPr>
    </w:lvl>
  </w:abstractNum>
  <w:abstractNum w:abstractNumId="731867">
    <w:lvl>
      <w:start w:val="3"/>
      <w:numFmt w:val="decimal"/>
      <w:suff w:val="tab"/>
      <w:lvlText w:val="%1."/>
      <w:rPr>
        <w:color w:val="3370ff"/>
      </w:rPr>
    </w:lvl>
  </w:abstractNum>
  <w:abstractNum w:abstractNumId="731868">
    <w:lvl>
      <w:start w:val="1"/>
      <w:numFmt w:val="decimal"/>
      <w:suff w:val="tab"/>
      <w:lvlText w:val="%1."/>
      <w:rPr>
        <w:color w:val="3370ff"/>
      </w:rPr>
    </w:lvl>
  </w:abstractNum>
  <w:abstractNum w:abstractNumId="731869">
    <w:lvl>
      <w:start w:val="2"/>
      <w:numFmt w:val="decimal"/>
      <w:suff w:val="tab"/>
      <w:lvlText w:val="%1."/>
      <w:rPr>
        <w:color w:val="3370ff"/>
      </w:rPr>
    </w:lvl>
  </w:abstractNum>
  <w:abstractNum w:abstractNumId="731870">
    <w:lvl>
      <w:start w:val="3"/>
      <w:numFmt w:val="decimal"/>
      <w:suff w:val="tab"/>
      <w:lvlText w:val="%1."/>
      <w:rPr>
        <w:color w:val="3370ff"/>
      </w:rPr>
    </w:lvl>
  </w:abstractNum>
  <w:abstractNum w:abstractNumId="731871">
    <w:lvl>
      <w:start w:val="4"/>
      <w:numFmt w:val="decimal"/>
      <w:suff w:val="tab"/>
      <w:lvlText w:val="%1."/>
      <w:rPr>
        <w:color w:val="3370ff"/>
      </w:rPr>
    </w:lvl>
  </w:abstractNum>
  <w:abstractNum w:abstractNumId="731872">
    <w:lvl>
      <w:start w:val="4"/>
      <w:numFmt w:val="decimal"/>
      <w:suff w:val="tab"/>
      <w:lvlText w:val="%1."/>
      <w:rPr>
        <w:color w:val="3370ff"/>
      </w:rPr>
    </w:lvl>
  </w:abstractNum>
  <w:abstractNum w:abstractNumId="731873">
    <w:lvl>
      <w:start w:val="1"/>
      <w:numFmt w:val="decimal"/>
      <w:suff w:val="tab"/>
      <w:lvlText w:val="%1."/>
      <w:rPr>
        <w:color w:val="3370ff"/>
      </w:rPr>
    </w:lvl>
  </w:abstractNum>
  <w:abstractNum w:abstractNumId="731874">
    <w:lvl>
      <w:start w:val="2"/>
      <w:numFmt w:val="decimal"/>
      <w:suff w:val="tab"/>
      <w:lvlText w:val="%1."/>
      <w:rPr>
        <w:color w:val="3370ff"/>
      </w:rPr>
    </w:lvl>
  </w:abstractNum>
  <w:abstractNum w:abstractNumId="731875">
    <w:lvl>
      <w:start w:val="4"/>
      <w:numFmt w:val="decimal"/>
      <w:suff w:val="tab"/>
      <w:lvlText w:val="%1."/>
      <w:rPr>
        <w:color w:val="3370ff"/>
      </w:rPr>
    </w:lvl>
  </w:abstractNum>
  <w:abstractNum w:abstractNumId="731876">
    <w:lvl>
      <w:start w:val="5"/>
      <w:numFmt w:val="decimal"/>
      <w:suff w:val="tab"/>
      <w:lvlText w:val="%1."/>
      <w:rPr>
        <w:color w:val="3370ff"/>
      </w:rPr>
    </w:lvl>
  </w:abstractNum>
  <w:abstractNum w:abstractNumId="731877">
    <w:lvl>
      <w:start w:val="1"/>
      <w:numFmt w:val="decimal"/>
      <w:suff w:val="tab"/>
      <w:lvlText w:val="%1."/>
      <w:rPr>
        <w:color w:val="3370ff"/>
      </w:rPr>
    </w:lvl>
  </w:abstractNum>
  <w:abstractNum w:abstractNumId="731878">
    <w:lvl>
      <w:start w:val="2"/>
      <w:numFmt w:val="decimal"/>
      <w:suff w:val="tab"/>
      <w:lvlText w:val="%1."/>
      <w:rPr>
        <w:color w:val="3370ff"/>
      </w:rPr>
    </w:lvl>
  </w:abstractNum>
  <w:abstractNum w:abstractNumId="731879">
    <w:lvl>
      <w:start w:val="3"/>
      <w:numFmt w:val="decimal"/>
      <w:suff w:val="tab"/>
      <w:lvlText w:val="%1."/>
      <w:rPr>
        <w:color w:val="3370ff"/>
      </w:rPr>
    </w:lvl>
  </w:abstractNum>
  <w:abstractNum w:abstractNumId="731880">
    <w:lvl>
      <w:start w:val="4"/>
      <w:numFmt w:val="decimal"/>
      <w:suff w:val="tab"/>
      <w:lvlText w:val="%1."/>
      <w:rPr>
        <w:color w:val="3370ff"/>
      </w:rPr>
    </w:lvl>
  </w:abstractNum>
  <w:abstractNum w:abstractNumId="731881">
    <w:lvl>
      <w:start w:val="6"/>
      <w:numFmt w:val="decimal"/>
      <w:suff w:val="tab"/>
      <w:lvlText w:val="%1."/>
      <w:rPr>
        <w:color w:val="3370ff"/>
      </w:rPr>
    </w:lvl>
  </w:abstractNum>
  <w:abstractNum w:abstractNumId="731882">
    <w:lvl>
      <w:start w:val="7"/>
      <w:numFmt w:val="decimal"/>
      <w:suff w:val="tab"/>
      <w:lvlText w:val="%1."/>
      <w:rPr>
        <w:color w:val="3370ff"/>
      </w:rPr>
    </w:lvl>
  </w:abstractNum>
  <w:abstractNum w:abstractNumId="731883">
    <w:lvl>
      <w:start w:val="1"/>
      <w:numFmt w:val="decimal"/>
      <w:suff w:val="tab"/>
      <w:lvlText w:val="%1."/>
      <w:rPr>
        <w:color w:val="3370ff"/>
      </w:rPr>
    </w:lvl>
  </w:abstractNum>
  <w:abstractNum w:abstractNumId="731884">
    <w:lvl>
      <w:start w:val="2"/>
      <w:numFmt w:val="decimal"/>
      <w:suff w:val="tab"/>
      <w:lvlText w:val="%1."/>
      <w:rPr>
        <w:color w:val="3370ff"/>
      </w:rPr>
    </w:lvl>
  </w:abstractNum>
  <w:abstractNum w:abstractNumId="731885">
    <w:lvl>
      <w:start w:val="3"/>
      <w:numFmt w:val="decimal"/>
      <w:suff w:val="tab"/>
      <w:lvlText w:val="%1."/>
      <w:rPr>
        <w:color w:val="3370ff"/>
      </w:rPr>
    </w:lvl>
  </w:abstractNum>
  <w:abstractNum w:abstractNumId="731886">
    <w:lvl>
      <w:start w:val="4"/>
      <w:numFmt w:val="decimal"/>
      <w:suff w:val="tab"/>
      <w:lvlText w:val="%1."/>
      <w:rPr>
        <w:color w:val="3370ff"/>
      </w:rPr>
    </w:lvl>
  </w:abstractNum>
  <w:abstractNum w:abstractNumId="731887">
    <w:lvl>
      <w:start w:val="5"/>
      <w:numFmt w:val="decimal"/>
      <w:suff w:val="tab"/>
      <w:lvlText w:val="%1."/>
      <w:rPr>
        <w:color w:val="3370ff"/>
      </w:rPr>
    </w:lvl>
  </w:abstractNum>
  <w:abstractNum w:abstractNumId="731888">
    <w:lvl>
      <w:start w:val="8"/>
      <w:numFmt w:val="decimal"/>
      <w:suff w:val="tab"/>
      <w:lvlText w:val="%1."/>
      <w:rPr>
        <w:color w:val="3370ff"/>
      </w:rPr>
    </w:lvl>
  </w:abstractNum>
  <w:abstractNum w:abstractNumId="731889">
    <w:lvl>
      <w:start w:val="1"/>
      <w:numFmt w:val="decimal"/>
      <w:suff w:val="tab"/>
      <w:lvlText w:val="%1."/>
      <w:rPr>
        <w:color w:val="3370ff"/>
      </w:rPr>
    </w:lvl>
  </w:abstractNum>
  <w:abstractNum w:abstractNumId="731890">
    <w:lvl>
      <w:start w:val="2"/>
      <w:numFmt w:val="decimal"/>
      <w:suff w:val="tab"/>
      <w:lvlText w:val="%1."/>
      <w:rPr>
        <w:color w:val="3370ff"/>
      </w:rPr>
    </w:lvl>
  </w:abstractNum>
  <w:abstractNum w:abstractNumId="731891">
    <w:lvl>
      <w:start w:val="3"/>
      <w:numFmt w:val="decimal"/>
      <w:suff w:val="tab"/>
      <w:lvlText w:val="%1."/>
      <w:rPr>
        <w:color w:val="3370ff"/>
      </w:rPr>
    </w:lvl>
  </w:abstractNum>
  <w:abstractNum w:abstractNumId="731892">
    <w:lvl>
      <w:start w:val="4"/>
      <w:numFmt w:val="decimal"/>
      <w:suff w:val="tab"/>
      <w:lvlText w:val="%1."/>
      <w:rPr>
        <w:color w:val="3370ff"/>
      </w:rPr>
    </w:lvl>
  </w:abstractNum>
  <w:abstractNum w:abstractNumId="731893">
    <w:lvl>
      <w:start w:val="9"/>
      <w:numFmt w:val="decimal"/>
      <w:suff w:val="tab"/>
      <w:lvlText w:val="%1."/>
      <w:rPr>
        <w:color w:val="3370ff"/>
      </w:rPr>
    </w:lvl>
  </w:abstractNum>
  <w:abstractNum w:abstractNumId="731894">
    <w:lvl>
      <w:start w:val="1"/>
      <w:numFmt w:val="decimal"/>
      <w:suff w:val="tab"/>
      <w:lvlText w:val="%1."/>
      <w:rPr>
        <w:color w:val="3370ff"/>
      </w:rPr>
    </w:lvl>
  </w:abstractNum>
  <w:abstractNum w:abstractNumId="731895">
    <w:lvl>
      <w:start w:val="2"/>
      <w:numFmt w:val="decimal"/>
      <w:suff w:val="tab"/>
      <w:lvlText w:val="%1."/>
      <w:rPr>
        <w:color w:val="3370ff"/>
      </w:rPr>
    </w:lvl>
  </w:abstractNum>
  <w:abstractNum w:abstractNumId="731896">
    <w:lvl>
      <w:start w:val="3"/>
      <w:numFmt w:val="decimal"/>
      <w:suff w:val="tab"/>
      <w:lvlText w:val="%1."/>
      <w:rPr>
        <w:color w:val="3370ff"/>
      </w:rPr>
    </w:lvl>
  </w:abstractNum>
  <w:abstractNum w:abstractNumId="731897">
    <w:lvl>
      <w:start w:val="4"/>
      <w:numFmt w:val="decimal"/>
      <w:suff w:val="tab"/>
      <w:lvlText w:val="%1."/>
      <w:rPr>
        <w:color w:val="3370ff"/>
      </w:rPr>
    </w:lvl>
  </w:abstractNum>
  <w:abstractNum w:abstractNumId="731898">
    <w:lvl>
      <w:start w:val="1"/>
      <w:numFmt w:val="decimal"/>
      <w:suff w:val="tab"/>
      <w:lvlText w:val="%1."/>
      <w:rPr>
        <w:color w:val="3370ff"/>
      </w:rPr>
    </w:lvl>
  </w:abstractNum>
  <w:abstractNum w:abstractNumId="731899">
    <w:lvl>
      <w:start w:val="2"/>
      <w:numFmt w:val="decimal"/>
      <w:suff w:val="tab"/>
      <w:lvlText w:val="%1."/>
      <w:rPr>
        <w:color w:val="3370ff"/>
      </w:rPr>
    </w:lvl>
  </w:abstractNum>
  <w:abstractNum w:abstractNumId="731900">
    <w:lvl>
      <w:start w:val="3"/>
      <w:numFmt w:val="decimal"/>
      <w:suff w:val="tab"/>
      <w:lvlText w:val="%1."/>
      <w:rPr>
        <w:color w:val="3370ff"/>
      </w:rPr>
    </w:lvl>
  </w:abstractNum>
  <w:abstractNum w:abstractNumId="731901">
    <w:lvl>
      <w:start w:val="4"/>
      <w:numFmt w:val="decimal"/>
      <w:suff w:val="tab"/>
      <w:lvlText w:val="%1."/>
      <w:rPr>
        <w:color w:val="3370ff"/>
      </w:rPr>
    </w:lvl>
  </w:abstractNum>
  <w:abstractNum w:abstractNumId="731902">
    <w:lvl>
      <w:start w:val="10"/>
      <w:numFmt w:val="decimal"/>
      <w:suff w:val="tab"/>
      <w:lvlText w:val="%1."/>
      <w:rPr>
        <w:color w:val="3370ff"/>
      </w:rPr>
    </w:lvl>
  </w:abstractNum>
  <w:abstractNum w:abstractNumId="731903">
    <w:lvl>
      <w:numFmt w:val="bullet"/>
      <w:suff w:val="tab"/>
      <w:lvlText w:val="￮"/>
      <w:rPr>
        <w:color w:val="3370ff"/>
      </w:rPr>
    </w:lvl>
  </w:abstractNum>
  <w:abstractNum w:abstractNumId="731904">
    <w:lvl>
      <w:numFmt w:val="bullet"/>
      <w:suff w:val="tab"/>
      <w:lvlText w:val="￮"/>
      <w:rPr>
        <w:color w:val="3370ff"/>
      </w:rPr>
    </w:lvl>
  </w:abstractNum>
  <w:abstractNum w:abstractNumId="731905">
    <w:lvl>
      <w:numFmt w:val="bullet"/>
      <w:suff w:val="tab"/>
      <w:lvlText w:val="￮"/>
      <w:rPr>
        <w:color w:val="3370ff"/>
      </w:rPr>
    </w:lvl>
  </w:abstractNum>
  <w:abstractNum w:abstractNumId="731906">
    <w:lvl>
      <w:numFmt w:val="bullet"/>
      <w:suff w:val="tab"/>
      <w:lvlText w:val="￮"/>
      <w:rPr>
        <w:color w:val="3370ff"/>
      </w:rPr>
    </w:lvl>
  </w:abstractNum>
  <w:abstractNum w:abstractNumId="731907">
    <w:lvl>
      <w:start w:val="1"/>
      <w:numFmt w:val="decimal"/>
      <w:suff w:val="tab"/>
      <w:lvlText w:val="%1."/>
      <w:rPr>
        <w:color w:val="3370ff"/>
      </w:rPr>
    </w:lvl>
  </w:abstractNum>
  <w:abstractNum w:abstractNumId="731908">
    <w:lvl>
      <w:start w:val="2"/>
      <w:numFmt w:val="decimal"/>
      <w:suff w:val="tab"/>
      <w:lvlText w:val="%1."/>
      <w:rPr>
        <w:color w:val="3370ff"/>
      </w:rPr>
    </w:lvl>
  </w:abstractNum>
  <w:abstractNum w:abstractNumId="731909">
    <w:lvl>
      <w:start w:val="3"/>
      <w:numFmt w:val="decimal"/>
      <w:suff w:val="tab"/>
      <w:lvlText w:val="%1."/>
      <w:rPr>
        <w:color w:val="3370ff"/>
      </w:rPr>
    </w:lvl>
  </w:abstractNum>
  <w:abstractNum w:abstractNumId="731910">
    <w:lvl>
      <w:start w:val="4"/>
      <w:numFmt w:val="decimal"/>
      <w:suff w:val="tab"/>
      <w:lvlText w:val="%1."/>
      <w:rPr>
        <w:color w:val="3370ff"/>
      </w:rPr>
    </w:lvl>
  </w:abstractNum>
  <w:abstractNum w:abstractNumId="731911">
    <w:lvl>
      <w:start w:val="5"/>
      <w:numFmt w:val="decimal"/>
      <w:suff w:val="tab"/>
      <w:lvlText w:val="%1."/>
      <w:rPr>
        <w:color w:val="3370ff"/>
      </w:rPr>
    </w:lvl>
  </w:abstractNum>
  <w:abstractNum w:abstractNumId="731912">
    <w:lvl>
      <w:start w:val="6"/>
      <w:numFmt w:val="decimal"/>
      <w:suff w:val="tab"/>
      <w:lvlText w:val="%1."/>
      <w:rPr>
        <w:color w:val="3370ff"/>
      </w:rPr>
    </w:lvl>
  </w:abstractNum>
  <w:abstractNum w:abstractNumId="731913">
    <w:lvl>
      <w:start w:val="7"/>
      <w:numFmt w:val="decimal"/>
      <w:suff w:val="tab"/>
      <w:lvlText w:val="%1."/>
      <w:rPr>
        <w:color w:val="3370ff"/>
      </w:rPr>
    </w:lvl>
  </w:abstractNum>
  <w:abstractNum w:abstractNumId="731914">
    <w:lvl>
      <w:start w:val="8"/>
      <w:numFmt w:val="decimal"/>
      <w:suff w:val="tab"/>
      <w:lvlText w:val="%1."/>
      <w:rPr>
        <w:color w:val="3370ff"/>
      </w:rPr>
    </w:lvl>
  </w:abstractNum>
  <w:abstractNum w:abstractNumId="731915">
    <w:lvl>
      <w:start w:val="9"/>
      <w:numFmt w:val="decimal"/>
      <w:suff w:val="tab"/>
      <w:lvlText w:val="%1."/>
      <w:rPr>
        <w:color w:val="3370ff"/>
      </w:rPr>
    </w:lvl>
  </w:abstractNum>
  <w:abstractNum w:abstractNumId="731916">
    <w:lvl>
      <w:start w:val="10"/>
      <w:numFmt w:val="decimal"/>
      <w:suff w:val="tab"/>
      <w:lvlText w:val="%1."/>
      <w:rPr>
        <w:color w:val="3370ff"/>
      </w:rPr>
    </w:lvl>
  </w:abstractNum>
  <w:abstractNum w:abstractNumId="731917">
    <w:lvl>
      <w:start w:val="11"/>
      <w:numFmt w:val="decimal"/>
      <w:suff w:val="tab"/>
      <w:lvlText w:val="%1."/>
      <w:rPr>
        <w:color w:val="3370ff"/>
      </w:rPr>
    </w:lvl>
  </w:abstractNum>
  <w:abstractNum w:abstractNumId="731918">
    <w:lvl>
      <w:start w:val="12"/>
      <w:numFmt w:val="decimal"/>
      <w:suff w:val="tab"/>
      <w:lvlText w:val="%1."/>
      <w:rPr>
        <w:color w:val="3370ff"/>
      </w:rPr>
    </w:lvl>
  </w:abstractNum>
  <w:abstractNum w:abstractNumId="731919">
    <w:lvl>
      <w:start w:val="13"/>
      <w:numFmt w:val="decimal"/>
      <w:suff w:val="tab"/>
      <w:lvlText w:val="%1."/>
      <w:rPr>
        <w:color w:val="3370ff"/>
      </w:rPr>
    </w:lvl>
  </w:abstractNum>
  <w:abstractNum w:abstractNumId="731920">
    <w:lvl>
      <w:start w:val="14"/>
      <w:numFmt w:val="decimal"/>
      <w:suff w:val="tab"/>
      <w:lvlText w:val="%1."/>
      <w:rPr>
        <w:color w:val="3370ff"/>
      </w:rPr>
    </w:lvl>
  </w:abstractNum>
  <w:abstractNum w:abstractNumId="731921">
    <w:lvl>
      <w:start w:val="15"/>
      <w:numFmt w:val="decimal"/>
      <w:suff w:val="tab"/>
      <w:lvlText w:val="%1."/>
      <w:rPr>
        <w:color w:val="3370ff"/>
      </w:rPr>
    </w:lvl>
  </w:abstractNum>
  <w:abstractNum w:abstractNumId="731922">
    <w:lvl>
      <w:start w:val="16"/>
      <w:numFmt w:val="decimal"/>
      <w:suff w:val="tab"/>
      <w:lvlText w:val="%1."/>
      <w:rPr>
        <w:color w:val="3370ff"/>
      </w:rPr>
    </w:lvl>
  </w:abstractNum>
  <w:abstractNum w:abstractNumId="731923">
    <w:lvl>
      <w:start w:val="17"/>
      <w:numFmt w:val="decimal"/>
      <w:suff w:val="tab"/>
      <w:lvlText w:val="%1."/>
      <w:rPr>
        <w:color w:val="3370ff"/>
      </w:rPr>
    </w:lvl>
  </w:abstractNum>
  <w:abstractNum w:abstractNumId="731924">
    <w:lvl>
      <w:start w:val="4"/>
      <w:numFmt w:val="decimal"/>
      <w:suff w:val="tab"/>
      <w:lvlText w:val="%1."/>
      <w:rPr>
        <w:color w:val="3370ff"/>
      </w:rPr>
    </w:lvl>
  </w:abstractNum>
  <w:abstractNum w:abstractNumId="731925">
    <w:lvl>
      <w:start w:val="5"/>
      <w:numFmt w:val="decimal"/>
      <w:suff w:val="tab"/>
      <w:lvlText w:val="%1."/>
      <w:rPr>
        <w:color w:val="3370ff"/>
      </w:rPr>
    </w:lvl>
  </w:abstractNum>
  <w:abstractNum w:abstractNumId="731926">
    <w:lvl>
      <w:start w:val="6"/>
      <w:numFmt w:val="decimal"/>
      <w:suff w:val="tab"/>
      <w:lvlText w:val="%1."/>
      <w:rPr>
        <w:color w:val="3370ff"/>
      </w:rPr>
    </w:lvl>
  </w:abstractNum>
  <w:abstractNum w:abstractNumId="731927">
    <w:lvl>
      <w:start w:val="7"/>
      <w:numFmt w:val="decimal"/>
      <w:suff w:val="tab"/>
      <w:lvlText w:val="%1."/>
      <w:rPr>
        <w:color w:val="3370ff"/>
      </w:rPr>
    </w:lvl>
  </w:abstractNum>
  <w:abstractNum w:abstractNumId="731928">
    <w:lvl>
      <w:start w:val="8"/>
      <w:numFmt w:val="decimal"/>
      <w:suff w:val="tab"/>
      <w:lvlText w:val="%1."/>
      <w:rPr>
        <w:color w:val="3370ff"/>
      </w:rPr>
    </w:lvl>
  </w:abstractNum>
  <w:num w:numId="1">
    <w:abstractNumId w:val="731843"/>
  </w:num>
  <w:num w:numId="2">
    <w:abstractNumId w:val="731844"/>
  </w:num>
  <w:num w:numId="3">
    <w:abstractNumId w:val="731845"/>
  </w:num>
  <w:num w:numId="4">
    <w:abstractNumId w:val="731846"/>
  </w:num>
  <w:num w:numId="5">
    <w:abstractNumId w:val="731847"/>
  </w:num>
  <w:num w:numId="6">
    <w:abstractNumId w:val="731848"/>
  </w:num>
  <w:num w:numId="7">
    <w:abstractNumId w:val="731849"/>
  </w:num>
  <w:num w:numId="8">
    <w:abstractNumId w:val="731850"/>
  </w:num>
  <w:num w:numId="9">
    <w:abstractNumId w:val="731851"/>
  </w:num>
  <w:num w:numId="10">
    <w:abstractNumId w:val="731852"/>
  </w:num>
  <w:num w:numId="11">
    <w:abstractNumId w:val="731853"/>
  </w:num>
  <w:num w:numId="12">
    <w:abstractNumId w:val="731854"/>
  </w:num>
  <w:num w:numId="13">
    <w:abstractNumId w:val="731855"/>
  </w:num>
  <w:num w:numId="14">
    <w:abstractNumId w:val="731856"/>
  </w:num>
  <w:num w:numId="15">
    <w:abstractNumId w:val="731857"/>
  </w:num>
  <w:num w:numId="16">
    <w:abstractNumId w:val="731858"/>
  </w:num>
  <w:num w:numId="17">
    <w:abstractNumId w:val="731859"/>
  </w:num>
  <w:num w:numId="18">
    <w:abstractNumId w:val="731860"/>
  </w:num>
  <w:num w:numId="19">
    <w:abstractNumId w:val="731861"/>
  </w:num>
  <w:num w:numId="20">
    <w:abstractNumId w:val="731862"/>
  </w:num>
  <w:num w:numId="21">
    <w:abstractNumId w:val="731863"/>
  </w:num>
  <w:num w:numId="22">
    <w:abstractNumId w:val="731864"/>
  </w:num>
  <w:num w:numId="23">
    <w:abstractNumId w:val="731865"/>
  </w:num>
  <w:num w:numId="24">
    <w:abstractNumId w:val="731866"/>
  </w:num>
  <w:num w:numId="25">
    <w:abstractNumId w:val="731867"/>
  </w:num>
  <w:num w:numId="26">
    <w:abstractNumId w:val="731868"/>
  </w:num>
  <w:num w:numId="27">
    <w:abstractNumId w:val="731869"/>
  </w:num>
  <w:num w:numId="28">
    <w:abstractNumId w:val="731870"/>
  </w:num>
  <w:num w:numId="29">
    <w:abstractNumId w:val="731871"/>
  </w:num>
  <w:num w:numId="30">
    <w:abstractNumId w:val="731872"/>
  </w:num>
  <w:num w:numId="31">
    <w:abstractNumId w:val="731873"/>
  </w:num>
  <w:num w:numId="32">
    <w:abstractNumId w:val="731874"/>
  </w:num>
  <w:num w:numId="33">
    <w:abstractNumId w:val="731875"/>
  </w:num>
  <w:num w:numId="34">
    <w:abstractNumId w:val="731876"/>
  </w:num>
  <w:num w:numId="35">
    <w:abstractNumId w:val="731877"/>
  </w:num>
  <w:num w:numId="36">
    <w:abstractNumId w:val="731878"/>
  </w:num>
  <w:num w:numId="37">
    <w:abstractNumId w:val="731879"/>
  </w:num>
  <w:num w:numId="38">
    <w:abstractNumId w:val="731880"/>
  </w:num>
  <w:num w:numId="39">
    <w:abstractNumId w:val="731881"/>
  </w:num>
  <w:num w:numId="40">
    <w:abstractNumId w:val="731882"/>
  </w:num>
  <w:num w:numId="41">
    <w:abstractNumId w:val="731883"/>
  </w:num>
  <w:num w:numId="42">
    <w:abstractNumId w:val="731884"/>
  </w:num>
  <w:num w:numId="43">
    <w:abstractNumId w:val="731885"/>
  </w:num>
  <w:num w:numId="44">
    <w:abstractNumId w:val="731886"/>
  </w:num>
  <w:num w:numId="45">
    <w:abstractNumId w:val="731887"/>
  </w:num>
  <w:num w:numId="46">
    <w:abstractNumId w:val="731888"/>
  </w:num>
  <w:num w:numId="47">
    <w:abstractNumId w:val="731889"/>
  </w:num>
  <w:num w:numId="48">
    <w:abstractNumId w:val="731890"/>
  </w:num>
  <w:num w:numId="49">
    <w:abstractNumId w:val="731891"/>
  </w:num>
  <w:num w:numId="50">
    <w:abstractNumId w:val="731892"/>
  </w:num>
  <w:num w:numId="51">
    <w:abstractNumId w:val="731893"/>
  </w:num>
  <w:num w:numId="52">
    <w:abstractNumId w:val="731894"/>
  </w:num>
  <w:num w:numId="53">
    <w:abstractNumId w:val="731895"/>
  </w:num>
  <w:num w:numId="54">
    <w:abstractNumId w:val="731896"/>
  </w:num>
  <w:num w:numId="55">
    <w:abstractNumId w:val="731897"/>
  </w:num>
  <w:num w:numId="56">
    <w:abstractNumId w:val="731898"/>
  </w:num>
  <w:num w:numId="57">
    <w:abstractNumId w:val="731899"/>
  </w:num>
  <w:num w:numId="58">
    <w:abstractNumId w:val="731900"/>
  </w:num>
  <w:num w:numId="59">
    <w:abstractNumId w:val="731901"/>
  </w:num>
  <w:num w:numId="60">
    <w:abstractNumId w:val="731902"/>
  </w:num>
  <w:num w:numId="61">
    <w:abstractNumId w:val="731903"/>
  </w:num>
  <w:num w:numId="62">
    <w:abstractNumId w:val="731904"/>
  </w:num>
  <w:num w:numId="63">
    <w:abstractNumId w:val="731905"/>
  </w:num>
  <w:num w:numId="64">
    <w:abstractNumId w:val="731906"/>
  </w:num>
  <w:num w:numId="65">
    <w:abstractNumId w:val="731907"/>
  </w:num>
  <w:num w:numId="66">
    <w:abstractNumId w:val="731908"/>
  </w:num>
  <w:num w:numId="67">
    <w:abstractNumId w:val="731909"/>
  </w:num>
  <w:num w:numId="68">
    <w:abstractNumId w:val="731910"/>
  </w:num>
  <w:num w:numId="69">
    <w:abstractNumId w:val="731911"/>
  </w:num>
  <w:num w:numId="70">
    <w:abstractNumId w:val="731912"/>
  </w:num>
  <w:num w:numId="71">
    <w:abstractNumId w:val="731913"/>
  </w:num>
  <w:num w:numId="72">
    <w:abstractNumId w:val="731914"/>
  </w:num>
  <w:num w:numId="73">
    <w:abstractNumId w:val="731915"/>
  </w:num>
  <w:num w:numId="74">
    <w:abstractNumId w:val="731916"/>
  </w:num>
  <w:num w:numId="75">
    <w:abstractNumId w:val="731917"/>
  </w:num>
  <w:num w:numId="76">
    <w:abstractNumId w:val="731918"/>
  </w:num>
  <w:num w:numId="77">
    <w:abstractNumId w:val="731919"/>
  </w:num>
  <w:num w:numId="78">
    <w:abstractNumId w:val="731920"/>
  </w:num>
  <w:num w:numId="79">
    <w:abstractNumId w:val="731921"/>
  </w:num>
  <w:num w:numId="80">
    <w:abstractNumId w:val="731922"/>
  </w:num>
  <w:num w:numId="81">
    <w:abstractNumId w:val="731923"/>
  </w:num>
  <w:num w:numId="82">
    <w:abstractNumId w:val="731924"/>
  </w:num>
  <w:num w:numId="83">
    <w:abstractNumId w:val="731925"/>
  </w:num>
  <w:num w:numId="84">
    <w:abstractNumId w:val="731926"/>
  </w:num>
  <w:num w:numId="85">
    <w:abstractNumId w:val="731927"/>
  </w:num>
  <w:num w:numId="86">
    <w:abstractNumId w:val="73192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2025-12-10T07:49:44Z</dcterms:created>
  <dc:creator>Apache POI</dc:creator>
</cp:coreProperties>
</file>