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V1112-2025-广告发布合同补充协议（追加新媒体）-美金-中文</w:t>
      </w:r>
    </w:p>
    <w:p>
      <w:pPr>
        <w:spacing w:before="120" w:after="120" w:line="288" w:lineRule="auto"/>
        <w:ind w:left="0" w:firstLine="0"/>
        <w:jc w:val="center"/>
      </w:pPr>
      <w:r>
        <w:rPr>
          <w:rFonts w:eastAsia="等线" w:ascii="Arial" w:cs="Arial" w:hAnsi="Arial"/>
          <w:b w:val="true"/>
          <w:sz w:val="22"/>
        </w:rPr>
        <w:t>《广告发布合同》补充协议</w:t>
      </w:r>
    </w:p>
    <w:p>
      <w:pPr>
        <w:spacing w:before="120" w:after="120" w:line="288" w:lineRule="auto"/>
        <w:ind w:left="0" w:firstLine="0"/>
        <w:jc w:val="left"/>
      </w:pPr>
      <w:r>
        <w:rPr>
          <w:rFonts w:eastAsia="等线" w:ascii="Arial" w:cs="Arial" w:hAnsi="Arial"/>
          <w:b w:val="true"/>
          <w:sz w:val="22"/>
        </w:rPr>
        <w:t>甲方：</w:t>
      </w:r>
    </w:p>
    <w:p>
      <w:pPr>
        <w:spacing w:before="120" w:after="120" w:line="288" w:lineRule="auto"/>
        <w:ind w:left="0" w:firstLine="0"/>
        <w:jc w:val="left"/>
      </w:pPr>
      <w:r>
        <w:rPr>
          <w:rFonts w:eastAsia="等线" w:ascii="Arial" w:cs="Arial" w:hAnsi="Arial"/>
          <w:sz w:val="22"/>
        </w:rPr>
        <w:t>地址：</w:t>
      </w:r>
    </w:p>
    <w:p>
      <w:pPr>
        <w:spacing w:before="120" w:after="120" w:line="288" w:lineRule="auto"/>
        <w:ind w:left="0" w:firstLine="0"/>
        <w:jc w:val="left"/>
      </w:pPr>
      <w:r>
        <w:rPr>
          <w:rFonts w:eastAsia="等线" w:ascii="Arial" w:cs="Arial" w:hAnsi="Arial"/>
          <w:b w:val="true"/>
          <w:sz w:val="22"/>
        </w:rPr>
        <w:t>乙方：</w:t>
      </w:r>
    </w:p>
    <w:p>
      <w:pPr>
        <w:spacing w:before="120" w:after="120" w:line="288" w:lineRule="auto"/>
        <w:ind w:left="0" w:firstLine="0"/>
        <w:jc w:val="left"/>
      </w:pPr>
      <w:r>
        <w:rPr>
          <w:rFonts w:eastAsia="等线" w:ascii="Arial" w:cs="Arial" w:hAnsi="Arial"/>
          <w:sz w:val="22"/>
        </w:rPr>
        <w:t>地址：</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鉴于：【】年【】月【】日，甲乙双方签署了《广告发布合同》及相关条款与政策，（下称“原合同”），原合同约定甲方委托乙方在【】平台进行广告发布服务。合同期限为自【】年【】月【】日起至【】年【】月【】日止。</w:t>
      </w:r>
    </w:p>
    <w:p>
      <w:pPr>
        <w:spacing w:before="120" w:after="120" w:line="288" w:lineRule="auto"/>
        <w:ind w:left="0" w:firstLine="420"/>
        <w:jc w:val="left"/>
      </w:pPr>
    </w:p>
    <w:p>
      <w:pPr>
        <w:numPr>
          <w:numId w:val="1"/>
        </w:numPr>
        <w:spacing w:before="120" w:after="120" w:line="288" w:lineRule="auto"/>
        <w:ind w:left="453"/>
        <w:jc w:val="left"/>
      </w:pPr>
      <w:r>
        <w:rPr>
          <w:rFonts w:eastAsia="等线" w:ascii="Arial" w:cs="Arial" w:hAnsi="Arial"/>
          <w:b w:val="true"/>
          <w:sz w:val="22"/>
        </w:rPr>
        <w:t>现应甲方要求，双方变更原合同中关于“广告投放媒体平台”的相关条款，具体内容如下：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50"/>
        <w:gridCol w:w="4320"/>
      </w:tblGrid>
      <w:tr>
        <w:tc>
          <w:tcPr>
            <w:tcW w:w="3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原投放媒体平台</w:t>
            </w:r>
          </w:p>
        </w:tc>
        <w:tc>
          <w:tcPr>
            <w:tcW w:w="4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新增投放媒体平台</w:t>
            </w:r>
          </w:p>
        </w:tc>
      </w:tr>
      <w:tr>
        <w:tc>
          <w:tcPr>
            <w:tcW w:w="3450" w:type="dxa"/>
            <w:tcMar>
              <w:top w:type="dxa" w:w="60"/>
              <w:left w:type="dxa" w:w="120"/>
              <w:bottom w:type="dxa" w:w="30"/>
              <w:right w:type="dxa" w:w="120"/>
            </w:tcMar>
          </w:tcPr>
          <w:p>
            <w:pPr>
              <w:spacing w:before="120" w:after="120" w:line="288" w:lineRule="auto"/>
              <w:ind w:left="0"/>
              <w:jc w:val="left"/>
            </w:pPr>
          </w:p>
        </w:tc>
        <w:tc>
          <w:tcPr>
            <w:tcW w:w="432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2"/>
        </w:numPr>
        <w:spacing w:before="120" w:after="120" w:line="288" w:lineRule="auto"/>
        <w:ind w:left="453"/>
        <w:jc w:val="left"/>
      </w:pPr>
      <w:r>
        <w:rPr>
          <w:rFonts w:eastAsia="等线" w:ascii="Arial" w:cs="Arial" w:hAnsi="Arial"/>
          <w:b w:val="true"/>
          <w:sz w:val="22"/>
        </w:rPr>
        <w:t>新增媒体平台投放政策：</w:t>
      </w:r>
    </w:p>
    <w:p>
      <w:pPr>
        <w:numPr>
          <w:numId w:val="3"/>
        </w:numPr>
        <w:spacing w:before="120" w:after="120" w:line="288" w:lineRule="auto"/>
        <w:ind w:left="0"/>
        <w:jc w:val="left"/>
      </w:pPr>
      <w:r>
        <w:rPr>
          <w:rFonts w:eastAsia="等线" w:ascii="Arial" w:cs="Arial" w:hAnsi="Arial"/>
          <w:sz w:val="22"/>
        </w:rPr>
        <w:t>Twitter（X）</w:t>
      </w:r>
    </w:p>
    <w:p>
      <w:pPr>
        <w:spacing w:before="120" w:after="120" w:line="288" w:lineRule="auto"/>
        <w:ind w:left="0" w:firstLine="420"/>
        <w:jc w:val="left"/>
      </w:pPr>
      <w:r>
        <w:rPr>
          <w:rFonts w:eastAsia="等线" w:ascii="Arial" w:cs="Arial" w:hAnsi="Arial"/>
          <w:sz w:val="22"/>
        </w:rPr>
        <w:t>甲方认可因媒体回滚造成的广告费用，甲方需按照媒体账单支付广告费用。</w:t>
      </w:r>
    </w:p>
    <w:p>
      <w:pPr>
        <w:numPr>
          <w:numId w:val="4"/>
        </w:numPr>
        <w:spacing w:before="120" w:after="120" w:line="288" w:lineRule="auto"/>
        <w:ind w:left="0"/>
        <w:jc w:val="left"/>
      </w:pPr>
      <w:r>
        <w:rPr>
          <w:rFonts w:eastAsia="等线" w:ascii="Arial" w:cs="Arial" w:hAnsi="Arial"/>
          <w:sz w:val="22"/>
        </w:rPr>
        <w:t>TikTok</w:t>
      </w:r>
    </w:p>
    <w:p>
      <w:pPr>
        <w:spacing w:before="120" w:after="120" w:line="288" w:lineRule="auto"/>
        <w:ind w:left="0" w:firstLine="420"/>
        <w:jc w:val="left"/>
      </w:pPr>
      <w:r>
        <w:rPr>
          <w:rFonts w:eastAsia="等线" w:ascii="Arial" w:cs="Arial" w:hAnsi="Arial"/>
          <w:sz w:val="22"/>
        </w:rPr>
        <w:t>2.1 甲方需遵循媒体广告政策规范(包括但不限于《TikTok广告政策》网址：</w:t>
      </w:r>
      <w:hyperlink r:id="rId5">
        <w:r>
          <w:rPr>
            <w:rFonts w:eastAsia="等线" w:ascii="Arial" w:cs="Arial" w:hAnsi="Arial"/>
            <w:color w:val="3370ff"/>
            <w:sz w:val="22"/>
          </w:rPr>
          <w:t>https://ads.TikTok.com/help/article?aid=9550</w:t>
        </w:r>
      </w:hyperlink>
      <w:r>
        <w:rPr>
          <w:rFonts w:eastAsia="等线" w:ascii="Arial" w:cs="Arial" w:hAnsi="Arial"/>
          <w:sz w:val="22"/>
        </w:rPr>
        <w:t>)的规定进行广告投放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420"/>
        <w:jc w:val="left"/>
      </w:pPr>
      <w:r>
        <w:rPr>
          <w:rFonts w:eastAsia="等线" w:ascii="Arial" w:cs="Arial" w:hAnsi="Arial"/>
          <w:sz w:val="22"/>
        </w:rPr>
        <w:t>2.2 甲方投放的广告可能存在相关法律禁止发布，或可能导致违法违规风险，或可能存在严重违背社会公序良俗、违反TikTok广告投放相关规则情形的，TikTok有权随时采取处理行为，包括但不限于下线广告，关停账户，扣除返点，不退还全部广告账户余额，处罚违约金等。</w:t>
      </w:r>
    </w:p>
    <w:p>
      <w:pPr>
        <w:spacing w:before="120" w:after="120" w:line="288" w:lineRule="auto"/>
        <w:ind w:left="0" w:firstLine="420"/>
        <w:jc w:val="left"/>
      </w:pPr>
      <w:r>
        <w:rPr>
          <w:rFonts w:eastAsia="等线" w:ascii="Arial" w:cs="Arial" w:hAnsi="Arial"/>
          <w:sz w:val="22"/>
        </w:rPr>
        <w:t>2.3 因甲方违规操作导致TikTok平台处罚的，甲方应独自承担上述处罚的不利后果，如因情节严重，造成TikTok额外的罚金，甲方也应独自承担处罚。如出现上述情况，乙方有权从甲方的账户中扣除相应金额的罚款或要求甲方在乙方发出告知违规投放罚款通知的邮件之日起10个工作日内向乙方指定账户支付罚款。</w:t>
      </w:r>
    </w:p>
    <w:p>
      <w:pPr>
        <w:numPr>
          <w:numId w:val="5"/>
        </w:numPr>
        <w:spacing w:before="120" w:after="120" w:line="288" w:lineRule="auto"/>
        <w:ind w:left="0"/>
        <w:jc w:val="left"/>
      </w:pPr>
      <w:r>
        <w:rPr>
          <w:rFonts w:eastAsia="等线" w:ascii="Arial" w:cs="Arial" w:hAnsi="Arial"/>
          <w:sz w:val="22"/>
        </w:rPr>
        <w:t>Outbrain</w:t>
      </w:r>
    </w:p>
    <w:p>
      <w:pPr>
        <w:spacing w:before="120" w:after="120" w:line="288" w:lineRule="auto"/>
        <w:ind w:left="0" w:firstLine="420"/>
        <w:jc w:val="left"/>
      </w:pPr>
      <w:r>
        <w:rPr>
          <w:rFonts w:eastAsia="等线" w:ascii="Arial" w:cs="Arial" w:hAnsi="Arial"/>
          <w:sz w:val="22"/>
        </w:rPr>
        <w:t>以Outbrain媒体的政策为准</w:t>
      </w:r>
    </w:p>
    <w:p>
      <w:pPr>
        <w:numPr>
          <w:numId w:val="6"/>
        </w:numPr>
        <w:spacing w:before="120" w:after="120" w:line="288" w:lineRule="auto"/>
        <w:ind w:left="0"/>
        <w:jc w:val="left"/>
      </w:pPr>
      <w:r>
        <w:rPr>
          <w:rFonts w:eastAsia="等线" w:ascii="Arial" w:cs="Arial" w:hAnsi="Arial"/>
          <w:sz w:val="22"/>
        </w:rPr>
        <w:t>快手Kwai</w:t>
      </w:r>
    </w:p>
    <w:p>
      <w:pPr>
        <w:spacing w:before="120" w:after="120" w:line="288" w:lineRule="auto"/>
        <w:ind w:left="0" w:firstLine="420"/>
        <w:jc w:val="left"/>
      </w:pPr>
      <w:r>
        <w:rPr>
          <w:rFonts w:eastAsia="等线" w:ascii="Arial" w:cs="Arial" w:hAnsi="Arial"/>
          <w:sz w:val="22"/>
        </w:rPr>
        <w:t>以快手Kwai媒体的政策为准。</w:t>
      </w:r>
    </w:p>
    <w:p>
      <w:pPr>
        <w:numPr>
          <w:numId w:val="7"/>
        </w:numPr>
        <w:spacing w:before="120" w:after="120" w:line="288" w:lineRule="auto"/>
        <w:ind w:left="0"/>
        <w:jc w:val="left"/>
      </w:pPr>
      <w:r>
        <w:rPr>
          <w:rFonts w:eastAsia="等线" w:ascii="Arial" w:cs="Arial" w:hAnsi="Arial"/>
          <w:sz w:val="22"/>
        </w:rPr>
        <w:t>Microsoft advertising(Bing)</w:t>
      </w:r>
    </w:p>
    <w:p>
      <w:pPr>
        <w:spacing w:before="120" w:after="120" w:line="288" w:lineRule="auto"/>
        <w:ind w:left="0" w:firstLine="420"/>
        <w:jc w:val="left"/>
      </w:pPr>
      <w:r>
        <w:rPr>
          <w:rFonts w:eastAsia="等线" w:ascii="Arial" w:cs="Arial" w:hAnsi="Arial"/>
          <w:sz w:val="22"/>
        </w:rPr>
        <w:t>以Microsoft advertising(Bing)媒体的政策为准。</w:t>
      </w:r>
    </w:p>
    <w:p>
      <w:pPr>
        <w:numPr>
          <w:numId w:val="8"/>
        </w:numPr>
        <w:spacing w:before="120" w:after="120" w:line="288" w:lineRule="auto"/>
        <w:ind w:left="0"/>
        <w:jc w:val="left"/>
      </w:pPr>
      <w:r>
        <w:rPr>
          <w:rFonts w:eastAsia="等线" w:ascii="Arial" w:cs="Arial" w:hAnsi="Arial"/>
          <w:sz w:val="22"/>
        </w:rPr>
        <w:t>Amazon</w:t>
      </w:r>
    </w:p>
    <w:p>
      <w:pPr>
        <w:spacing w:before="120" w:after="120" w:line="288" w:lineRule="auto"/>
        <w:ind w:left="0" w:firstLine="420"/>
        <w:jc w:val="left"/>
      </w:pPr>
      <w:r>
        <w:rPr>
          <w:rFonts w:eastAsia="等线" w:ascii="Arial" w:cs="Arial" w:hAnsi="Arial"/>
          <w:sz w:val="22"/>
        </w:rPr>
        <w:t>以Amazon媒体的政策为准。</w:t>
      </w:r>
    </w:p>
    <w:p>
      <w:pPr>
        <w:numPr>
          <w:numId w:val="9"/>
        </w:numPr>
        <w:spacing w:before="120" w:after="120" w:line="288" w:lineRule="auto"/>
        <w:ind w:left="0"/>
        <w:jc w:val="left"/>
      </w:pPr>
      <w:r>
        <w:rPr>
          <w:rFonts w:eastAsia="等线" w:ascii="Arial" w:cs="Arial" w:hAnsi="Arial"/>
          <w:sz w:val="22"/>
        </w:rPr>
        <w:t>Applovin</w:t>
      </w:r>
    </w:p>
    <w:p>
      <w:pPr>
        <w:spacing w:before="120" w:after="120" w:line="288" w:lineRule="auto"/>
        <w:ind w:left="0" w:firstLine="420"/>
        <w:jc w:val="left"/>
      </w:pPr>
      <w:r>
        <w:rPr>
          <w:rFonts w:eastAsia="等线" w:ascii="Arial" w:cs="Arial" w:hAnsi="Arial"/>
          <w:sz w:val="22"/>
        </w:rPr>
        <w:t>以Applovin媒体的政策为准。</w:t>
      </w:r>
    </w:p>
    <w:p>
      <w:pPr>
        <w:numPr>
          <w:numId w:val="10"/>
        </w:numPr>
        <w:spacing w:before="120" w:after="120" w:line="288" w:lineRule="auto"/>
        <w:ind w:left="0"/>
        <w:jc w:val="left"/>
      </w:pPr>
      <w:r>
        <w:rPr>
          <w:rFonts w:eastAsia="等线" w:ascii="Arial" w:cs="Arial" w:hAnsi="Arial"/>
          <w:sz w:val="22"/>
        </w:rPr>
        <w:t>Pinterest</w:t>
      </w:r>
    </w:p>
    <w:p>
      <w:pPr>
        <w:spacing w:before="120" w:after="120" w:line="288" w:lineRule="auto"/>
        <w:ind w:left="0" w:firstLine="420"/>
        <w:jc w:val="left"/>
      </w:pPr>
      <w:r>
        <w:rPr>
          <w:rFonts w:eastAsia="等线" w:ascii="Arial" w:cs="Arial" w:hAnsi="Arial"/>
          <w:sz w:val="22"/>
        </w:rPr>
        <w:t>以Pinterest媒体的政策为准。</w:t>
      </w:r>
    </w:p>
    <w:p>
      <w:pPr>
        <w:spacing w:before="120" w:after="120" w:line="288" w:lineRule="auto"/>
        <w:ind w:left="0" w:firstLine="0"/>
        <w:jc w:val="left"/>
      </w:pPr>
    </w:p>
    <w:p>
      <w:pPr>
        <w:pStyle w:val="3"/>
        <w:spacing w:before="300" w:after="120" w:line="288" w:lineRule="auto"/>
        <w:ind w:left="0"/>
        <w:jc w:val="left"/>
        <w:outlineLvl w:val="2"/>
      </w:pPr>
      <w:bookmarkStart w:name="heading_0" w:id="0"/>
      <w:r>
        <w:rPr>
          <w:rFonts w:eastAsia="等线" w:ascii="Arial" w:cs="Arial" w:hAnsi="Arial"/>
          <w:b w:val="true"/>
          <w:sz w:val="30"/>
        </w:rPr>
        <w:t>三、新增媒体平台返点政策</w:t>
      </w:r>
      <w:bookmarkEnd w:id="0"/>
    </w:p>
    <w:p>
      <w:pPr>
        <w:pStyle w:val="4"/>
        <w:spacing w:before="260" w:after="120" w:line="288" w:lineRule="auto"/>
        <w:ind w:left="0"/>
        <w:jc w:val="left"/>
        <w:outlineLvl w:val="3"/>
      </w:pPr>
      <w:bookmarkStart w:name="heading_1" w:id="1"/>
      <w:r>
        <w:rPr>
          <w:rFonts w:eastAsia="等线" w:ascii="Arial" w:cs="Arial" w:hAnsi="Arial"/>
          <w:b w:val="true"/>
          <w:sz w:val="28"/>
        </w:rPr>
        <w:t>本合同适用以下第【】种返点政策</w:t>
      </w:r>
      <w:bookmarkEnd w:id="1"/>
    </w:p>
    <w:p>
      <w:pPr>
        <w:pStyle w:val="4"/>
        <w:spacing w:before="260" w:after="120" w:line="288" w:lineRule="auto"/>
        <w:ind w:left="0"/>
        <w:jc w:val="left"/>
        <w:outlineLvl w:val="3"/>
      </w:pPr>
      <w:bookmarkStart w:name="heading_2" w:id="2"/>
      <w:r>
        <w:rPr>
          <w:rFonts w:eastAsia="等线" w:ascii="Arial" w:cs="Arial" w:hAnsi="Arial"/>
          <w:color w:val="3370ff"/>
          <w:sz w:val="28"/>
        </w:rPr>
        <w:t xml:space="preserve">1.1.1 </w:t>
      </w:r>
      <w:r>
        <w:rPr>
          <w:rFonts w:eastAsia="等线" w:ascii="Arial" w:cs="Arial" w:hAnsi="Arial"/>
          <w:b w:val="true"/>
          <w:sz w:val="28"/>
        </w:rPr>
        <w:t xml:space="preserve">TikTok </w:t>
      </w:r>
      <w:bookmarkEnd w:id="2"/>
    </w:p>
    <w:p>
      <w:pPr>
        <w:numPr>
          <w:numId w:val="11"/>
        </w:numPr>
        <w:spacing w:before="120" w:after="120" w:line="288" w:lineRule="auto"/>
        <w:ind w:left="0"/>
        <w:jc w:val="left"/>
      </w:pPr>
      <w:r>
        <w:rPr>
          <w:rFonts w:eastAsia="等线" w:ascii="Arial" w:cs="Arial" w:hAnsi="Arial"/>
          <w:b w:val="true"/>
          <w:sz w:val="22"/>
        </w:rPr>
        <w:t>基础返点</w:t>
      </w:r>
    </w:p>
    <w:p>
      <w:pPr>
        <w:numPr>
          <w:numId w:val="12"/>
        </w:numPr>
        <w:spacing w:before="120" w:after="120" w:line="288" w:lineRule="auto"/>
        <w:ind w:left="453"/>
        <w:jc w:val="left"/>
      </w:pPr>
      <w:r>
        <w:rPr>
          <w:rFonts w:eastAsia="等线" w:ascii="Arial" w:cs="Arial" w:hAnsi="Arial"/>
          <w:sz w:val="22"/>
        </w:rPr>
        <w:t>甲方投放TikTok for Business广告的，可以获得以下返点：</w:t>
      </w:r>
    </w:p>
    <w:p>
      <w:pPr>
        <w:numPr>
          <w:numId w:val="13"/>
        </w:numPr>
        <w:spacing w:before="120" w:after="120" w:line="288" w:lineRule="auto"/>
        <w:ind w:left="0"/>
        <w:jc w:val="left"/>
      </w:pPr>
      <w:r>
        <w:rPr>
          <w:rFonts w:eastAsia="等线" w:ascii="Arial" w:cs="Arial" w:hAnsi="Arial"/>
          <w:sz w:val="22"/>
        </w:rPr>
        <w:t>基础返点：【 %】</w:t>
      </w:r>
    </w:p>
    <w:p>
      <w:pPr>
        <w:numPr>
          <w:numId w:val="14"/>
        </w:numPr>
        <w:spacing w:before="120" w:after="120" w:line="288" w:lineRule="auto"/>
        <w:ind w:left="0"/>
        <w:jc w:val="left"/>
      </w:pPr>
      <w:r>
        <w:rPr>
          <w:rFonts w:eastAsia="等线" w:ascii="Arial" w:cs="Arial" w:hAnsi="Arial"/>
          <w:sz w:val="22"/>
        </w:rPr>
        <w:t>季度X返点：【  %】，最终以乙方核算结果为准。</w:t>
      </w:r>
    </w:p>
    <w:p>
      <w:pPr>
        <w:numPr>
          <w:numId w:val="15"/>
        </w:numPr>
        <w:spacing w:before="120" w:after="120" w:line="288" w:lineRule="auto"/>
        <w:ind w:left="453"/>
        <w:jc w:val="left"/>
      </w:pPr>
      <w:r>
        <w:rPr>
          <w:rFonts w:eastAsia="等线" w:ascii="Arial" w:cs="Arial" w:hAnsi="Arial"/>
          <w:sz w:val="22"/>
        </w:rPr>
        <w:t>美国地区(US)、欧盟地区(EU)及拉丁美洲地区(LATAM)的本本店铺无任何返点。</w:t>
      </w:r>
    </w:p>
    <w:p>
      <w:pPr>
        <w:numPr>
          <w:numId w:val="16"/>
        </w:numPr>
        <w:spacing w:before="120" w:after="120" w:line="288" w:lineRule="auto"/>
        <w:ind w:left="453"/>
        <w:jc w:val="left"/>
      </w:pPr>
      <w:r>
        <w:rPr>
          <w:rFonts w:eastAsia="等线" w:ascii="Arial" w:cs="Arial" w:hAnsi="Arial"/>
          <w:sz w:val="22"/>
        </w:rPr>
        <w:t>“本本店铺”指由卖方在目标销售国家/地区基于当地本土资质设立并实际运营的电商店铺，通常具备以下特征：</w:t>
      </w:r>
    </w:p>
    <w:p>
      <w:pPr>
        <w:numPr>
          <w:numId w:val="17"/>
        </w:numPr>
        <w:spacing w:before="120" w:after="120" w:line="288" w:lineRule="auto"/>
        <w:ind w:left="0"/>
        <w:jc w:val="left"/>
      </w:pPr>
      <w:r>
        <w:rPr>
          <w:rFonts w:eastAsia="等线" w:ascii="Arial" w:cs="Arial" w:hAnsi="Arial"/>
          <w:sz w:val="22"/>
        </w:rPr>
        <w:t>本地注册主体： 由具备该国家/地区本地身份的自然人或依法注册的本地法人作为注册主体，须提交有效的本地身份证明（如护照、驾照）、税务号码（如 SSN/ITIN）、企业营业执照及关联本地手机号、邮箱信息等；</w:t>
      </w:r>
    </w:p>
    <w:p>
      <w:pPr>
        <w:numPr>
          <w:numId w:val="18"/>
        </w:numPr>
        <w:spacing w:before="120" w:after="120" w:line="288" w:lineRule="auto"/>
        <w:ind w:left="0"/>
        <w:jc w:val="left"/>
      </w:pPr>
      <w:r>
        <w:rPr>
          <w:rFonts w:eastAsia="等线" w:ascii="Arial" w:cs="Arial" w:hAnsi="Arial"/>
          <w:sz w:val="22"/>
        </w:rPr>
        <w:t>本地履约与物流： 商品需存储于当地仓库，或通过本地物流体系发货，确保订单在本地履约，满足平台对履约效率的要求；</w:t>
      </w:r>
    </w:p>
    <w:p>
      <w:pPr>
        <w:numPr>
          <w:numId w:val="19"/>
        </w:numPr>
        <w:spacing w:before="120" w:after="120" w:line="288" w:lineRule="auto"/>
        <w:ind w:left="0"/>
        <w:jc w:val="left"/>
      </w:pPr>
      <w:r>
        <w:rPr>
          <w:rFonts w:eastAsia="等线" w:ascii="Arial" w:cs="Arial" w:hAnsi="Arial"/>
          <w:sz w:val="22"/>
        </w:rPr>
        <w:t>本地化经营对象： 主要向同一国家/地区的TikTok平台用户进行销售，不涉及跨境出口业务；</w:t>
      </w:r>
    </w:p>
    <w:p>
      <w:pPr>
        <w:numPr>
          <w:numId w:val="20"/>
        </w:numPr>
        <w:spacing w:before="120" w:after="120" w:line="288" w:lineRule="auto"/>
        <w:ind w:left="0"/>
        <w:jc w:val="left"/>
      </w:pPr>
      <w:r>
        <w:rPr>
          <w:rFonts w:eastAsia="等线" w:ascii="Arial" w:cs="Arial" w:hAnsi="Arial"/>
          <w:sz w:val="22"/>
        </w:rPr>
        <w:t>区别于跨境店铺（POP）： 区别于由中国大陆或香港地区主体注册并以跨境方式经营的“跨境店铺”，“本本店铺”在资质认定、履约方式、补贴规则及平台属性上均适用本地标准。</w:t>
      </w:r>
    </w:p>
    <w:p>
      <w:pPr>
        <w:numPr>
          <w:numId w:val="21"/>
        </w:numPr>
        <w:spacing w:before="120" w:after="120" w:line="288" w:lineRule="auto"/>
        <w:ind w:left="0"/>
        <w:jc w:val="left"/>
      </w:pPr>
      <w:r>
        <w:rPr>
          <w:rFonts w:eastAsia="等线" w:ascii="Arial" w:cs="Arial" w:hAnsi="Arial"/>
          <w:b w:val="true"/>
          <w:sz w:val="22"/>
        </w:rPr>
        <w:t>专项返点</w:t>
      </w:r>
    </w:p>
    <w:p>
      <w:pPr>
        <w:numPr>
          <w:numId w:val="22"/>
        </w:numPr>
        <w:spacing w:before="120" w:after="120" w:line="288" w:lineRule="auto"/>
        <w:ind w:left="0"/>
        <w:jc w:val="left"/>
      </w:pPr>
      <w:r>
        <w:rPr>
          <w:rFonts w:eastAsia="等线" w:ascii="Arial" w:cs="Arial" w:hAnsi="Arial"/>
          <w:sz w:val="22"/>
        </w:rPr>
        <w:t>甲方的Shop被媒体判断符合【通用新开】标准的，则甲方满足标准的每个Shop有机会可以额外获得如下返点奖励，金额最终以媒体判定为准：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TTS新开激励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季度闭环电商广告消耗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sz w:val="22"/>
              </w:rPr>
              <w:t>Shop在TikTok的首次广告消耗发生在本季度；</w:t>
            </w:r>
          </w:p>
          <w:p>
            <w:pPr>
              <w:numPr>
                <w:numId w:val="24"/>
              </w:numPr>
              <w:spacing w:before="120" w:after="120" w:line="288" w:lineRule="auto"/>
              <w:ind w:left="0"/>
              <w:jc w:val="left"/>
            </w:pPr>
            <w:r>
              <w:rPr>
                <w:rFonts w:eastAsia="等线" w:ascii="Arial" w:cs="Arial" w:hAnsi="Arial"/>
                <w:sz w:val="22"/>
              </w:rPr>
              <w:t>投放地为US/SEA地区的，投广客户集团首次广告消耗发生在本季度，且Shop本季度的闭环电商广告业绩不低于$1000；</w:t>
            </w:r>
          </w:p>
          <w:p>
            <w:pPr>
              <w:numPr>
                <w:numId w:val="25"/>
              </w:numPr>
              <w:spacing w:before="120" w:after="120" w:line="288" w:lineRule="auto"/>
              <w:ind w:left="0"/>
              <w:jc w:val="left"/>
            </w:pPr>
            <w:r>
              <w:rPr>
                <w:rFonts w:eastAsia="等线" w:ascii="Arial" w:cs="Arial" w:hAnsi="Arial"/>
                <w:sz w:val="22"/>
              </w:rPr>
              <w:t>投放地为非US/SEA外其他国家的，投广客户集团首次投放该国家的广告消耗发生在本季度，且Shop本季度的在该国家的闭环电商广告业绩不低于$1,000。</w:t>
            </w:r>
          </w:p>
          <w:p>
            <w:pPr>
              <w:numPr>
                <w:numId w:val="26"/>
              </w:numPr>
              <w:spacing w:before="120" w:after="120" w:line="288" w:lineRule="auto"/>
              <w:ind w:left="0"/>
              <w:jc w:val="left"/>
            </w:pPr>
            <w:r>
              <w:rPr>
                <w:rFonts w:eastAsia="等线" w:ascii="Arial" w:cs="Arial" w:hAnsi="Arial"/>
                <w:sz w:val="22"/>
              </w:rPr>
              <w:t>TTS新开激励不再普遍适用所有Shop类型，具体适用情况以媒体说明为准。</w:t>
            </w:r>
          </w:p>
          <w:p>
            <w:pPr>
              <w:numPr>
                <w:numId w:val="27"/>
              </w:numPr>
              <w:spacing w:before="120" w:after="120" w:line="288" w:lineRule="auto"/>
              <w:ind w:left="0"/>
              <w:jc w:val="left"/>
            </w:pPr>
            <w:r>
              <w:rPr>
                <w:rFonts w:eastAsia="等线" w:ascii="Arial" w:cs="Arial" w:hAnsi="Arial"/>
                <w:sz w:val="22"/>
              </w:rPr>
              <w:t>投放地的划分基于TTS Operation Country来判定；</w:t>
            </w:r>
          </w:p>
          <w:p>
            <w:pPr>
              <w:numPr>
                <w:numId w:val="28"/>
              </w:numPr>
              <w:spacing w:before="120" w:after="120" w:line="288" w:lineRule="auto"/>
              <w:ind w:left="0"/>
              <w:jc w:val="left"/>
            </w:pPr>
            <w:r>
              <w:rPr>
                <w:rFonts w:eastAsia="等线" w:ascii="Arial" w:cs="Arial" w:hAnsi="Arial"/>
                <w:sz w:val="22"/>
              </w:rPr>
              <w:t xml:space="preserve">投放客户集团的认定以媒体判定为准； </w:t>
            </w:r>
          </w:p>
          <w:p>
            <w:pPr>
              <w:numPr>
                <w:numId w:val="29"/>
              </w:numPr>
              <w:spacing w:before="120" w:after="120" w:line="288" w:lineRule="auto"/>
              <w:ind w:left="0"/>
              <w:jc w:val="left"/>
            </w:pPr>
            <w:r>
              <w:rPr>
                <w:rFonts w:eastAsia="等线" w:ascii="Arial" w:cs="Arial" w:hAnsi="Arial"/>
                <w:sz w:val="22"/>
              </w:rPr>
              <w:t>追加返点：满足25年Q3 新开判定条件且25年Q4返点梯度有所上升且消耗不低于$1,000的，根据Shop首次消耗开始rolling90天的广告消耗所属区间，按照本表约定的总返点金额减去25年Q3该Shop在TTS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 xml:space="preserve"> </w:t>
      </w:r>
    </w:p>
    <w:p>
      <w:pPr>
        <w:numPr>
          <w:numId w:val="30"/>
        </w:numPr>
        <w:spacing w:before="120" w:after="120" w:line="288" w:lineRule="auto"/>
        <w:ind w:left="0"/>
        <w:jc w:val="left"/>
      </w:pPr>
      <w:r>
        <w:rPr>
          <w:rFonts w:eastAsia="等线" w:ascii="Arial" w:cs="Arial" w:hAnsi="Arial"/>
          <w:sz w:val="22"/>
        </w:rPr>
        <w:t>甲方的Shop被媒体判断符合【首播首投】标准的，则甲方满足标准的每个Shop有机会可以额外获得如下返点奖励，返点金额最终以媒体判定为准：</w:t>
      </w:r>
    </w:p>
    <w:p>
      <w:pPr>
        <w:spacing w:before="120" w:after="120" w:line="288" w:lineRule="auto"/>
        <w:ind w:left="0" w:firstLine="42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首播首投激励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“首播首投”指Shop在TikTok For Business的首次直播且首次投放LSA广告发生在本季度，且Shop本季度的LSA业绩不低于$1,000。LSA的产品类型包含Level 5 product = 'GMV Max Live'、'Shop Ads Custom LSA'。</w:t>
            </w:r>
          </w:p>
          <w:p>
            <w:pPr>
              <w:numPr>
                <w:numId w:val="32"/>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33"/>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34"/>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甲方的Shop被媒体判断符合【首次投广】标准的，则甲方满足标准的每个Shop有机会可以额外获得如下返点奖励，返点金额最终以媒体判定为准：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首次投广激励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Shop在TikTok for Business的首次LSA消耗投放均发生在本季度；且Shop本季度的LSA业绩不低于$1,000。LSA的产品类型包含Level 5 product = 'GMV Max Live'、'Shop Ads Custom LSA'，业绩以 【Shop Self Live Revenue】为准。</w:t>
            </w:r>
          </w:p>
          <w:p>
            <w:pPr>
              <w:numPr>
                <w:numId w:val="36"/>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37"/>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38"/>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39"/>
        </w:numPr>
        <w:spacing w:before="120" w:after="120" w:line="288" w:lineRule="auto"/>
        <w:ind w:left="0"/>
        <w:jc w:val="left"/>
      </w:pPr>
      <w:r>
        <w:rPr>
          <w:rFonts w:eastAsia="等线" w:ascii="Arial" w:cs="Arial" w:hAnsi="Arial"/>
          <w:sz w:val="22"/>
        </w:rPr>
        <w:t>甲方的剧目被媒体判断符合【短剧新剧目】标准的，则甲方满足标准的每个新剧目有机会可以额外获得如下返点奖励，返点金额最终以媒体判定为准：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短剧新剧目激励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季度剧目广告消耗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40"/>
              </w:numPr>
              <w:spacing w:before="120" w:after="120" w:line="288" w:lineRule="auto"/>
              <w:ind w:left="0"/>
              <w:jc w:val="left"/>
            </w:pPr>
            <w:r>
              <w:rPr>
                <w:rFonts w:eastAsia="等线" w:ascii="Arial" w:cs="Arial" w:hAnsi="Arial"/>
                <w:sz w:val="22"/>
              </w:rPr>
              <w:t>剧目在TikTok for Business的首次广告消耗发生在本季度；</w:t>
            </w:r>
          </w:p>
          <w:p>
            <w:pPr>
              <w:numPr>
                <w:numId w:val="41"/>
              </w:numPr>
              <w:spacing w:before="120" w:after="120" w:line="288" w:lineRule="auto"/>
              <w:ind w:left="0"/>
              <w:jc w:val="left"/>
            </w:pPr>
            <w:r>
              <w:rPr>
                <w:rFonts w:eastAsia="等线" w:ascii="Arial" w:cs="Arial" w:hAnsi="Arial"/>
                <w:sz w:val="22"/>
              </w:rPr>
              <w:t>剧目在本季度的广告消耗不低于$2,000；</w:t>
            </w:r>
          </w:p>
          <w:p>
            <w:pPr>
              <w:numPr>
                <w:numId w:val="42"/>
              </w:numPr>
              <w:spacing w:before="120" w:after="120" w:line="288" w:lineRule="auto"/>
              <w:ind w:left="0"/>
              <w:jc w:val="left"/>
            </w:pPr>
            <w:r>
              <w:rPr>
                <w:rFonts w:eastAsia="等线" w:ascii="Arial" w:cs="Arial" w:hAnsi="Arial"/>
                <w:sz w:val="22"/>
              </w:rPr>
              <w:t>剧目的达标情况以【Short Drama Name】为维度，若核算期间存在剧目合并等原因导致剧目合计消耗发生变动，以媒体核算期间的系统导出数据为准。</w:t>
            </w:r>
          </w:p>
          <w:p>
            <w:pPr>
              <w:numPr>
                <w:numId w:val="43"/>
              </w:numPr>
              <w:spacing w:before="120" w:after="120" w:line="288" w:lineRule="auto"/>
              <w:ind w:left="0"/>
              <w:jc w:val="left"/>
            </w:pPr>
            <w:r>
              <w:rPr>
                <w:rFonts w:eastAsia="等线" w:ascii="Arial" w:cs="Arial" w:hAnsi="Arial"/>
                <w:sz w:val="22"/>
              </w:rPr>
              <w:t>追加返点：满足25年Q3新剧目判定条件且25年Q4返点梯度有所上升且消耗不低于$2,000的，根据剧目首次消耗开始rolling 90天的广告消耗所属区间，按照本表约定的总返点金额减去25年Q3该短剧在短剧新剧目专项所发放的返点金额, 即为25年Q4应得的返点奖励。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44"/>
        </w:numPr>
        <w:spacing w:before="120" w:after="120" w:line="288" w:lineRule="auto"/>
        <w:ind w:left="0"/>
        <w:jc w:val="left"/>
      </w:pPr>
      <w:r>
        <w:rPr>
          <w:rFonts w:eastAsia="等线" w:ascii="Arial" w:cs="Arial" w:hAnsi="Arial"/>
          <w:sz w:val="22"/>
        </w:rPr>
        <w:t>甲方的App被媒体判断符合【游戏新开专项】标准的，则甲方满足标准的每个APP有机会可以额外获得如下返点奖励，返点金额最终以媒体判定为准：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游戏新开激励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季度游戏广告消耗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App/甲方公司/集团在TikTok for Business的首次广告消耗发生在本季度；</w:t>
            </w:r>
          </w:p>
          <w:p>
            <w:pPr>
              <w:numPr>
                <w:numId w:val="46"/>
              </w:numPr>
              <w:spacing w:before="120" w:after="120" w:line="288" w:lineRule="auto"/>
              <w:ind w:left="0"/>
              <w:jc w:val="left"/>
            </w:pPr>
            <w:r>
              <w:rPr>
                <w:rFonts w:eastAsia="等线" w:ascii="Arial" w:cs="Arial" w:hAnsi="Arial"/>
                <w:sz w:val="22"/>
              </w:rPr>
              <w:t>投广客户集团在TikTok for Business的首次广告消耗发生在本季度，包含连续180天未产生消耗，重新开始产生消耗发生在本季度；</w:t>
            </w:r>
          </w:p>
          <w:p>
            <w:pPr>
              <w:numPr>
                <w:numId w:val="47"/>
              </w:numPr>
              <w:spacing w:before="120" w:after="120" w:line="288" w:lineRule="auto"/>
              <w:ind w:left="0"/>
              <w:jc w:val="left"/>
            </w:pPr>
            <w:r>
              <w:rPr>
                <w:rFonts w:eastAsia="等线" w:ascii="Arial" w:cs="Arial" w:hAnsi="Arial"/>
                <w:sz w:val="22"/>
              </w:rPr>
              <w:t>App在本季度的广告消耗不低于$1,000；</w:t>
            </w:r>
          </w:p>
          <w:p>
            <w:pPr>
              <w:numPr>
                <w:numId w:val="48"/>
              </w:numPr>
              <w:spacing w:before="120" w:after="120" w:line="288" w:lineRule="auto"/>
              <w:ind w:left="0"/>
              <w:jc w:val="left"/>
            </w:pPr>
            <w:r>
              <w:rPr>
                <w:rFonts w:eastAsia="等线" w:ascii="Arial" w:cs="Arial" w:hAnsi="Arial"/>
                <w:sz w:val="22"/>
              </w:rPr>
              <w:t>追加返点：满足25年Q3新开判定条件且25年Q4返点梯度有所上升且消耗不低于$1,000的，根据App首次消耗开始rolling90天的广告消耗所属区间，按照本表约定的总返点金额减去25年Q3该App在游戏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$10,000-50,000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49"/>
        </w:numPr>
        <w:spacing w:before="120" w:after="120" w:line="288" w:lineRule="auto"/>
        <w:ind w:left="0"/>
        <w:jc w:val="left"/>
      </w:pPr>
      <w:r>
        <w:rPr>
          <w:rFonts w:eastAsia="等线" w:ascii="Arial" w:cs="Arial" w:hAnsi="Arial"/>
          <w:sz w:val="22"/>
        </w:rPr>
        <w:t>甲方的App被媒体判断符合【应用非短剧专项】标准的，则甲方满足标准的每个APP有机会可以额外获得如下返点奖励，返点金额最终以媒体判定为准：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应用非短剧激励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季度APP广告消耗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50"/>
              </w:numPr>
              <w:spacing w:before="120" w:after="120" w:line="288" w:lineRule="auto"/>
              <w:ind w:left="0"/>
              <w:jc w:val="left"/>
            </w:pPr>
            <w:r>
              <w:rPr>
                <w:rFonts w:eastAsia="等线" w:ascii="Arial" w:cs="Arial" w:hAnsi="Arial"/>
                <w:sz w:val="22"/>
              </w:rPr>
              <w:t>App在TikTok for Business的首次广告消耗发生在本季度；</w:t>
            </w:r>
          </w:p>
          <w:p>
            <w:pPr>
              <w:numPr>
                <w:numId w:val="51"/>
              </w:numPr>
              <w:spacing w:before="120" w:after="120" w:line="288" w:lineRule="auto"/>
              <w:ind w:left="0"/>
              <w:jc w:val="left"/>
            </w:pPr>
            <w:r>
              <w:rPr>
                <w:rFonts w:eastAsia="等线" w:ascii="Arial" w:cs="Arial" w:hAnsi="Arial"/>
                <w:sz w:val="22"/>
              </w:rPr>
              <w:t>应用非短剧App的类型划分以媒体判定为准;</w:t>
            </w:r>
          </w:p>
          <w:p>
            <w:pPr>
              <w:numPr>
                <w:numId w:val="52"/>
              </w:numPr>
              <w:spacing w:before="120" w:after="120" w:line="288" w:lineRule="auto"/>
              <w:ind w:left="0"/>
              <w:jc w:val="left"/>
            </w:pPr>
            <w:r>
              <w:rPr>
                <w:rFonts w:eastAsia="等线" w:ascii="Arial" w:cs="Arial" w:hAnsi="Arial"/>
                <w:sz w:val="22"/>
              </w:rPr>
              <w:t>App在本季度的广告消耗不低于$2,000；</w:t>
            </w:r>
          </w:p>
          <w:p>
            <w:pPr>
              <w:numPr>
                <w:numId w:val="53"/>
              </w:numPr>
              <w:spacing w:before="120" w:after="120" w:line="288" w:lineRule="auto"/>
              <w:ind w:left="0"/>
              <w:jc w:val="left"/>
            </w:pPr>
            <w:r>
              <w:rPr>
                <w:rFonts w:eastAsia="等线" w:ascii="Arial" w:cs="Arial" w:hAnsi="Arial"/>
                <w:sz w:val="22"/>
              </w:rPr>
              <w:t>追加返点：满足25年Q3新开判定条件且25年Q4返点梯度有所上升且消耗不低于$2,000的，根据App首次消耗开始rolling90天的广告消耗所属区间，按照本表约定的总返点金额减去25年Q3该App在应用非短剧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54"/>
        </w:numPr>
        <w:spacing w:before="120" w:after="120" w:line="288" w:lineRule="auto"/>
        <w:ind w:left="0"/>
        <w:jc w:val="left"/>
      </w:pPr>
      <w:r>
        <w:rPr>
          <w:rFonts w:eastAsia="等线" w:ascii="Arial" w:cs="Arial" w:hAnsi="Arial"/>
          <w:sz w:val="22"/>
        </w:rPr>
        <w:t>甲方的消耗被媒体判断符合【品牌专项】标准的，则甲方满足标准的部分有机会可以额外获得如下返点奖励，返点金额最终以媒体判定为准：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1575"/>
        <w:gridCol w:w="510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1575" w:type="dxa"/>
            <w:hMerge w:val="continue"/>
            <w:tcMar>
              <w:top w:type="dxa" w:w="60"/>
              <w:left w:type="dxa" w:w="120"/>
              <w:bottom w:type="dxa" w:w="30"/>
              <w:right w:type="dxa" w:w="120"/>
            </w:tcMar>
          </w:tcPr>
          <w:p>
            <w:pPr>
              <w:spacing w:before="120" w:after="120" w:line="288" w:lineRule="auto"/>
              <w:ind w:left="0"/>
              <w:jc w:val="left"/>
            </w:pPr>
          </w:p>
        </w:tc>
        <w:tc>
          <w:tcPr>
            <w:tcW w:w="5100" w:type="dxa"/>
            <w:hMerge w:val="continue"/>
            <w:tcMar>
              <w:top w:type="dxa" w:w="60"/>
              <w:left w:type="dxa" w:w="120"/>
              <w:bottom w:type="dxa" w:w="30"/>
              <w:right w:type="dxa" w:w="120"/>
            </w:tcMar>
          </w:tcPr>
          <w:p>
            <w:pPr>
              <w:spacing w:before="120" w:after="120" w:line="288" w:lineRule="auto"/>
              <w:ind w:left="0"/>
              <w:jc w:val="left"/>
            </w:pP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返点比例（新客）</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返点比例（老客）</w:t>
            </w:r>
          </w:p>
        </w:tc>
        <w:tc>
          <w:tcPr>
            <w:tcW w:w="5100" w:type="dxa"/>
            <w:vMerge w:val="restart"/>
            <w:tcMar>
              <w:top w:type="dxa" w:w="60"/>
              <w:left w:type="dxa" w:w="120"/>
              <w:bottom w:type="dxa" w:w="30"/>
              <w:right w:type="dxa" w:w="120"/>
            </w:tcMar>
          </w:tcPr>
          <w:p>
            <w:pPr>
              <w:numPr>
                <w:numId w:val="55"/>
              </w:numPr>
              <w:spacing w:before="120" w:after="120" w:line="288" w:lineRule="auto"/>
              <w:ind w:left="0"/>
              <w:jc w:val="left"/>
            </w:pPr>
            <w:r>
              <w:rPr>
                <w:rFonts w:eastAsia="等线" w:ascii="Arial" w:cs="Arial" w:hAnsi="Arial"/>
                <w:sz w:val="22"/>
              </w:rPr>
              <w:t>投广客户集团在TikTok for Business的首次品牌广告消耗发生在本季度的为新客，新/老客的判定最终以媒体确认为准；</w:t>
            </w:r>
          </w:p>
          <w:p>
            <w:pPr>
              <w:numPr>
                <w:numId w:val="56"/>
              </w:numPr>
              <w:spacing w:before="120" w:after="120" w:line="288" w:lineRule="auto"/>
              <w:ind w:left="0"/>
              <w:jc w:val="left"/>
            </w:pPr>
            <w:r>
              <w:rPr>
                <w:rFonts w:eastAsia="等线" w:ascii="Arial" w:cs="Arial" w:hAnsi="Arial"/>
                <w:sz w:val="22"/>
              </w:rPr>
              <w:t>返点金额=品牌新客返点+品牌老客返点</w:t>
            </w:r>
          </w:p>
          <w:p>
            <w:pPr>
              <w:spacing w:before="120" w:after="120" w:line="288" w:lineRule="auto"/>
              <w:ind w:left="0"/>
              <w:jc w:val="left"/>
            </w:pPr>
            <w:r>
              <w:rPr>
                <w:rFonts w:eastAsia="等线" w:ascii="Arial" w:cs="Arial" w:hAnsi="Arial"/>
                <w:sz w:val="22"/>
              </w:rPr>
              <w:t>品牌新客返点=品牌新客业绩*返点比例（新客）</w:t>
            </w:r>
          </w:p>
          <w:p>
            <w:pPr>
              <w:spacing w:before="120" w:after="120" w:line="288" w:lineRule="auto"/>
              <w:ind w:left="0"/>
              <w:jc w:val="left"/>
            </w:pPr>
            <w:r>
              <w:rPr>
                <w:rFonts w:eastAsia="等线" w:ascii="Arial" w:cs="Arial" w:hAnsi="Arial"/>
                <w:sz w:val="22"/>
              </w:rPr>
              <w:t>品牌老客返点=品牌老客业绩*返点比例（老客）</w:t>
            </w:r>
          </w:p>
          <w:p>
            <w:pPr>
              <w:spacing w:before="120" w:after="120" w:line="288" w:lineRule="auto"/>
              <w:ind w:left="0"/>
              <w:jc w:val="left"/>
            </w:pPr>
          </w:p>
        </w:tc>
      </w:tr>
      <w:tr>
        <w:tc>
          <w:tcPr>
            <w:tcW w:w="16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tc>
        <w:tc>
          <w:tcPr>
            <w:tcW w:w="510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57"/>
        </w:numPr>
        <w:spacing w:before="120" w:after="120" w:line="288" w:lineRule="auto"/>
        <w:ind w:left="0"/>
        <w:jc w:val="left"/>
      </w:pPr>
      <w:r>
        <w:rPr>
          <w:rFonts w:eastAsia="等线" w:ascii="Arial" w:cs="Arial" w:hAnsi="Arial"/>
          <w:sz w:val="22"/>
        </w:rPr>
        <w:t>甲方的消耗被媒体判断符合【TTS自播投广成长专项】标准的，则甲方满足标准的部分有机会可以额外获得如下返点奖励，返点金额最终以媒体判定为准：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40"/>
        <w:gridCol w:w="1740"/>
        <w:gridCol w:w="2865"/>
        <w:gridCol w:w="1935"/>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TTS 自播投广成长激励</w:t>
            </w: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2865" w:type="dxa"/>
            <w:hMerge w:val="continue"/>
            <w:tcMar>
              <w:top w:type="dxa" w:w="60"/>
              <w:left w:type="dxa" w:w="120"/>
              <w:bottom w:type="dxa" w:w="30"/>
              <w:right w:type="dxa" w:w="120"/>
            </w:tcMar>
          </w:tcPr>
          <w:p>
            <w:pPr>
              <w:spacing w:before="120" w:after="120" w:line="288" w:lineRule="auto"/>
              <w:ind w:left="0"/>
              <w:jc w:val="left"/>
            </w:pPr>
          </w:p>
        </w:tc>
        <w:tc>
          <w:tcPr>
            <w:tcW w:w="1935" w:type="dxa"/>
            <w:hMerge w:val="continue"/>
            <w:tcMar>
              <w:top w:type="dxa" w:w="60"/>
              <w:left w:type="dxa" w:w="120"/>
              <w:bottom w:type="dxa" w:w="30"/>
              <w:right w:type="dxa" w:w="120"/>
            </w:tcMar>
          </w:tcPr>
          <w:p>
            <w:pPr>
              <w:spacing w:before="120" w:after="120" w:line="288" w:lineRule="auto"/>
              <w:ind w:left="0"/>
              <w:jc w:val="left"/>
            </w:pPr>
          </w:p>
        </w:tc>
      </w:tr>
      <w:tr>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季度日均GMV</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Shop消耗QoQ</w:t>
            </w:r>
          </w:p>
        </w:tc>
        <w:tc>
          <w:tcPr>
            <w:tcW w:w="28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Shop自播投广消耗QoQ</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w:t>
            </w:r>
          </w:p>
        </w:tc>
        <w:tc>
          <w:tcPr>
            <w:tcW w:w="17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8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2865" w:type="dxa"/>
            <w:hMerge w:val="continue"/>
            <w:tcMar>
              <w:top w:type="dxa" w:w="60"/>
              <w:left w:type="dxa" w:w="120"/>
              <w:bottom w:type="dxa" w:w="30"/>
              <w:right w:type="dxa" w:w="120"/>
            </w:tcMar>
          </w:tcPr>
          <w:p>
            <w:pPr>
              <w:spacing w:before="120" w:after="120" w:line="288" w:lineRule="auto"/>
              <w:ind w:left="0"/>
              <w:jc w:val="left"/>
            </w:pPr>
          </w:p>
        </w:tc>
        <w:tc>
          <w:tcPr>
            <w:tcW w:w="193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58"/>
              </w:numPr>
              <w:spacing w:before="120" w:after="120" w:line="288" w:lineRule="auto"/>
              <w:ind w:left="0"/>
              <w:jc w:val="left"/>
            </w:pPr>
            <w:r>
              <w:rPr>
                <w:rFonts w:eastAsia="等线" w:ascii="Arial" w:cs="Arial" w:hAnsi="Arial"/>
                <w:sz w:val="22"/>
              </w:rPr>
              <w:t>针对存量(25年Q3有过自播投广消耗)的东南亚地区(SEA)的Shop，若Shop同时满足以上要求，则根据Shop在25年Q4相比于25年Q3的自播投广消耗增量部分给予返点比例；</w:t>
            </w:r>
          </w:p>
          <w:p>
            <w:pPr>
              <w:numPr>
                <w:numId w:val="59"/>
              </w:numPr>
              <w:spacing w:before="120" w:after="120" w:line="288" w:lineRule="auto"/>
              <w:ind w:left="0"/>
              <w:jc w:val="left"/>
            </w:pPr>
            <w:r>
              <w:rPr>
                <w:rFonts w:eastAsia="等线" w:ascii="Arial" w:cs="Arial" w:hAnsi="Arial"/>
                <w:sz w:val="22"/>
              </w:rPr>
              <w:t>Shop日均GMV = Shop在Q4期间的总成交额(Total GMV) ÷ Q4整体天数；</w:t>
            </w:r>
          </w:p>
          <w:p>
            <w:pPr>
              <w:numPr>
                <w:numId w:val="60"/>
              </w:numPr>
              <w:spacing w:before="120" w:after="120" w:line="288" w:lineRule="auto"/>
              <w:ind w:left="0"/>
              <w:jc w:val="left"/>
            </w:pPr>
            <w:r>
              <w:rPr>
                <w:rFonts w:eastAsia="等线" w:ascii="Arial" w:cs="Arial" w:hAnsi="Arial"/>
                <w:sz w:val="22"/>
              </w:rPr>
              <w:t>返点金额 = 10% * (25Q4自播投广消耗 – 25Q3自播投广消耗)，单个Shop返点金额上限为USD 6,000；</w:t>
            </w:r>
          </w:p>
          <w:p>
            <w:pPr>
              <w:numPr>
                <w:numId w:val="61"/>
              </w:numPr>
              <w:spacing w:before="120" w:after="120" w:line="288" w:lineRule="auto"/>
              <w:ind w:left="0"/>
              <w:jc w:val="left"/>
            </w:pPr>
            <w:r>
              <w:rPr>
                <w:rFonts w:eastAsia="等线" w:ascii="Arial" w:cs="Arial" w:hAnsi="Arial"/>
                <w:sz w:val="22"/>
              </w:rPr>
              <w:t>Shop自播投广业绩以【Shop Self Live Revenue】为准；</w:t>
            </w:r>
          </w:p>
          <w:p>
            <w:pPr>
              <w:spacing w:before="120" w:after="120" w:line="288" w:lineRule="auto"/>
              <w:ind w:left="0"/>
              <w:jc w:val="left"/>
            </w:pPr>
            <w:r>
              <w:rPr>
                <w:rFonts w:eastAsia="等线" w:ascii="Arial" w:cs="Arial" w:hAnsi="Arial"/>
                <w:sz w:val="22"/>
              </w:rPr>
              <w:t>投放地的划分基于 TTS Operation Country来判定。</w:t>
            </w:r>
          </w:p>
          <w:p>
            <w:pPr>
              <w:numPr>
                <w:numId w:val="62"/>
              </w:numPr>
              <w:spacing w:before="120" w:after="120" w:line="288" w:lineRule="auto"/>
              <w:ind w:left="0"/>
              <w:jc w:val="left"/>
            </w:pPr>
            <w:r>
              <w:rPr>
                <w:rFonts w:eastAsia="等线" w:ascii="Arial" w:cs="Arial" w:hAnsi="Arial"/>
                <w:sz w:val="22"/>
              </w:rPr>
              <w:t>投放地的划分基于 TTS Operation Country来判定。</w:t>
            </w: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2865" w:type="dxa"/>
            <w:hMerge w:val="continue"/>
            <w:tcMar>
              <w:top w:type="dxa" w:w="60"/>
              <w:left w:type="dxa" w:w="120"/>
              <w:bottom w:type="dxa" w:w="30"/>
              <w:right w:type="dxa" w:w="120"/>
            </w:tcMar>
          </w:tcPr>
          <w:p>
            <w:pPr>
              <w:spacing w:before="120" w:after="120" w:line="288" w:lineRule="auto"/>
              <w:ind w:left="0"/>
              <w:jc w:val="left"/>
            </w:pPr>
          </w:p>
        </w:tc>
        <w:tc>
          <w:tcPr>
            <w:tcW w:w="193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63"/>
        </w:numPr>
        <w:spacing w:before="120" w:after="120" w:line="288" w:lineRule="auto"/>
        <w:ind w:left="0"/>
        <w:jc w:val="left"/>
      </w:pPr>
      <w:r>
        <w:rPr>
          <w:rFonts w:eastAsia="等线" w:ascii="Arial" w:cs="Arial" w:hAnsi="Arial"/>
          <w:sz w:val="22"/>
        </w:rPr>
        <w:t>甲方的消耗被媒体判断符合【中小客户成长专项】标准的，则甲方满足标准的部分有机会可以额外获得如下返点奖励，返点金额最终以媒体判定为准：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4530"/>
        <w:gridCol w:w="24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中小客户成长专项激励</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梯度</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日均消耗（V）</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T4</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$400≤V&lt; 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$200≤V&lt; 400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$30&lt;V&lt;200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虚客：25年Q3为虚客（25年Q3未挂接过直客）、且Q3的日均消耗&lt;$200的广告主，或25年Q3完成“直客转渠道-向下流转”的广告主，且Q3的日均消耗&lt;$200的广告主；直客：除虚客以外的广告主；</w:t>
            </w:r>
          </w:p>
          <w:p>
            <w:pPr>
              <w:numPr>
                <w:numId w:val="65"/>
              </w:numPr>
              <w:spacing w:before="120" w:after="120" w:line="288" w:lineRule="auto"/>
              <w:ind w:left="0"/>
              <w:jc w:val="left"/>
            </w:pPr>
            <w:r>
              <w:rPr>
                <w:rFonts w:eastAsia="等线" w:ascii="Arial" w:cs="Arial" w:hAnsi="Arial"/>
                <w:sz w:val="22"/>
              </w:rPr>
              <w:t xml:space="preserve">日均广告消耗：2025年Q3季度为虚客、且本季度虚客日均消耗 QoQ&gt;0%的广告主（Daily消耗QoQ有增长），在本季度产生的虚客日均现金广告消耗； </w:t>
            </w:r>
          </w:p>
          <w:p>
            <w:pPr>
              <w:numPr>
                <w:numId w:val="66"/>
              </w:numPr>
              <w:spacing w:before="120" w:after="120" w:line="288" w:lineRule="auto"/>
              <w:ind w:left="0"/>
              <w:jc w:val="left"/>
            </w:pPr>
            <w:r>
              <w:rPr>
                <w:rFonts w:eastAsia="等线" w:ascii="Arial" w:cs="Arial" w:hAnsi="Arial"/>
                <w:sz w:val="22"/>
              </w:rPr>
              <w:t>如25年Q4季度中甲方被直客挂接，则日均广告消耗为基于虚客身份产生的总消耗/虚客身份时长，即Q4季度日均广告消耗=（Q4直客挂接前的总虚客业绩）/(从2025年10月1日起到被直客挂接的前一天)；</w:t>
            </w:r>
          </w:p>
          <w:p>
            <w:pPr>
              <w:numPr>
                <w:numId w:val="67"/>
              </w:numPr>
              <w:spacing w:before="120" w:after="120" w:line="288" w:lineRule="auto"/>
              <w:ind w:left="0"/>
              <w:jc w:val="left"/>
            </w:pPr>
            <w:r>
              <w:rPr>
                <w:rFonts w:eastAsia="等线" w:ascii="Arial" w:cs="Arial" w:hAnsi="Arial"/>
                <w:sz w:val="22"/>
              </w:rPr>
              <w:t>以上数据及直客/虚客类型的判定最终以媒体确认为准。</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bl>
    <w:p>
      <w:pPr>
        <w:numPr>
          <w:numId w:val="68"/>
        </w:numPr>
        <w:spacing w:before="120" w:after="120" w:line="288" w:lineRule="auto"/>
        <w:ind w:left="0"/>
        <w:jc w:val="left"/>
      </w:pPr>
      <w:r>
        <w:rPr>
          <w:rFonts w:eastAsia="等线" w:ascii="Arial" w:cs="Arial" w:hAnsi="Arial"/>
          <w:sz w:val="22"/>
        </w:rPr>
        <w:t>甲方的消耗被媒体判断符合【Web-EC客户成长专项】标准的，则甲方满足标准的部分有机会可以额外获得如下返点奖励，返点金额最终以媒体判定为准：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Web-EC客户成长专项激励</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QoQ消耗增幅（R）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10%≤R≤30%</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69"/>
              </w:numPr>
              <w:spacing w:before="120" w:after="120" w:line="288" w:lineRule="auto"/>
              <w:ind w:left="0"/>
              <w:jc w:val="left"/>
            </w:pPr>
            <w:r>
              <w:rPr>
                <w:rFonts w:eastAsia="等线" w:ascii="Arial" w:cs="Arial" w:hAnsi="Arial"/>
                <w:sz w:val="22"/>
              </w:rPr>
              <w:t>本政策适用于Q2 Web-EC消耗&gt;$0、且QoQ增幅≥10%的客户；</w:t>
            </w:r>
          </w:p>
          <w:p>
            <w:pPr>
              <w:numPr>
                <w:numId w:val="70"/>
              </w:numPr>
              <w:spacing w:before="120" w:after="120" w:line="288" w:lineRule="auto"/>
              <w:ind w:left="0"/>
              <w:jc w:val="left"/>
            </w:pPr>
            <w:r>
              <w:rPr>
                <w:rFonts w:eastAsia="等线" w:ascii="Arial" w:cs="Arial" w:hAnsi="Arial"/>
                <w:sz w:val="22"/>
              </w:rPr>
              <w:t>QoQ增幅按照客户集团维度计算，返点比例作用于客户集团的QoQ业绩增量部分。</w:t>
            </w:r>
          </w:p>
          <w:p>
            <w:pPr>
              <w:numPr>
                <w:numId w:val="71"/>
              </w:numPr>
              <w:spacing w:before="120" w:after="120" w:line="288" w:lineRule="auto"/>
              <w:ind w:left="0"/>
              <w:jc w:val="left"/>
            </w:pPr>
            <w:r>
              <w:rPr>
                <w:rFonts w:eastAsia="等线" w:ascii="Arial" w:cs="Arial" w:hAnsi="Arial"/>
                <w:sz w:val="22"/>
              </w:rPr>
              <w:t>Web-EC客户的判定以媒体确认为准；</w:t>
            </w:r>
          </w:p>
          <w:p>
            <w:pPr>
              <w:numPr>
                <w:numId w:val="72"/>
              </w:numPr>
              <w:spacing w:before="120" w:after="120" w:line="288" w:lineRule="auto"/>
              <w:ind w:left="0"/>
              <w:jc w:val="left"/>
            </w:pPr>
            <w:r>
              <w:rPr>
                <w:rFonts w:eastAsia="等线" w:ascii="Arial" w:cs="Arial" w:hAnsi="Arial"/>
                <w:sz w:val="22"/>
              </w:rPr>
              <w:t>质检将在核算期间核实投广集团的投放对象，如发现存在不同广告主存在互相转移投放预算、或者冒充新客而骗取激励的行为，会取消该客户在此专项的激励。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甲方的消耗被媒体判断符合【Web-EC客户新开专项】标准的，则甲方满足标准的部分有机会可以额外获得如下返点奖励，返点金额最终以媒体判定为准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2025年Q4年度</w:t>
            </w:r>
          </w:p>
          <w:p>
            <w:pPr>
              <w:spacing w:before="120" w:after="120" w:line="288" w:lineRule="auto"/>
              <w:ind w:left="0"/>
              <w:jc w:val="center"/>
            </w:pPr>
            <w:r>
              <w:rPr>
                <w:rFonts w:eastAsia="等线" w:ascii="Arial" w:cs="Arial" w:hAnsi="Arial"/>
                <w:b w:val="true"/>
                <w:sz w:val="22"/>
              </w:rPr>
              <w:t>Web-EC客户新开专项</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73"/>
              </w:numPr>
              <w:spacing w:before="120" w:after="120" w:line="288" w:lineRule="auto"/>
              <w:ind w:left="0"/>
              <w:jc w:val="left"/>
            </w:pPr>
            <w:r>
              <w:rPr>
                <w:rFonts w:eastAsia="等线" w:ascii="Arial" w:cs="Arial" w:hAnsi="Arial"/>
                <w:sz w:val="22"/>
              </w:rPr>
              <w:t>本政策适用于首次产生消耗发生在本季度、且本季度Web-EC消耗不低于$1,000的客户；</w:t>
            </w:r>
          </w:p>
          <w:p>
            <w:pPr>
              <w:numPr>
                <w:numId w:val="74"/>
              </w:numPr>
              <w:spacing w:before="120" w:after="120" w:line="288" w:lineRule="auto"/>
              <w:ind w:left="0"/>
              <w:jc w:val="left"/>
            </w:pPr>
            <w:r>
              <w:rPr>
                <w:rFonts w:eastAsia="等线" w:ascii="Arial" w:cs="Arial" w:hAnsi="Arial"/>
                <w:sz w:val="22"/>
              </w:rPr>
              <w:t>Web-EC客户的判定以媒体确认为准；</w:t>
            </w:r>
          </w:p>
          <w:p>
            <w:pPr>
              <w:numPr>
                <w:numId w:val="75"/>
              </w:numPr>
              <w:spacing w:before="120" w:after="120" w:line="288" w:lineRule="auto"/>
              <w:ind w:left="0"/>
              <w:jc w:val="left"/>
            </w:pPr>
            <w:r>
              <w:rPr>
                <w:rFonts w:eastAsia="等线" w:ascii="Arial" w:cs="Arial" w:hAnsi="Arial"/>
                <w:sz w:val="22"/>
              </w:rPr>
              <w:t>返点比例作用于该新客户集团季度总现金消耗；并且每个客户集团本季度在媒体可获得的Web-EC新开激励金额不超过$3,000;</w:t>
            </w:r>
          </w:p>
          <w:p>
            <w:pPr>
              <w:numPr>
                <w:numId w:val="76"/>
              </w:numPr>
              <w:spacing w:before="120" w:after="120" w:line="288" w:lineRule="auto"/>
              <w:ind w:left="0"/>
              <w:jc w:val="left"/>
            </w:pPr>
            <w:r>
              <w:rPr>
                <w:rFonts w:eastAsia="等线" w:ascii="Arial" w:cs="Arial" w:hAnsi="Arial"/>
                <w:sz w:val="22"/>
              </w:rPr>
              <w:t>质检将在核算期间核实投广集团的投放对象，如发现存在不同广告主互相转移投放预算、或者冒充新客而骗取激励的行为，会取消该客户在此专项的激励。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77"/>
        </w:numPr>
        <w:spacing w:before="120" w:after="120" w:line="288" w:lineRule="auto"/>
        <w:ind w:left="0"/>
        <w:jc w:val="left"/>
      </w:pPr>
      <w:r>
        <w:rPr>
          <w:rFonts w:eastAsia="等线" w:ascii="Arial" w:cs="Arial" w:hAnsi="Arial"/>
          <w:sz w:val="22"/>
        </w:rPr>
        <w:t>甲方的消耗被媒体判断符合【优质素材专项】标准的，则甲方满足标准的部分有机会可以额外获得如下返点奖励，返点金额最终以媒体判定为准：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20"/>
        <w:gridCol w:w="42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 季度</w:t>
            </w:r>
          </w:p>
          <w:p>
            <w:pPr>
              <w:spacing w:before="120" w:after="120" w:line="288" w:lineRule="auto"/>
              <w:ind w:left="0"/>
              <w:jc w:val="center"/>
            </w:pPr>
            <w:r>
              <w:rPr>
                <w:rFonts w:eastAsia="等线" w:ascii="Arial" w:cs="Arial" w:hAnsi="Arial"/>
                <w:b w:val="true"/>
                <w:sz w:val="22"/>
              </w:rPr>
              <w:t>优质素材激励</w:t>
            </w:r>
          </w:p>
        </w:tc>
        <w:tc>
          <w:tcPr>
            <w:tcW w:w="4260" w:type="dxa"/>
            <w:hMerge w:val="continue"/>
            <w:tcMar>
              <w:top w:type="dxa" w:w="60"/>
              <w:left w:type="dxa" w:w="120"/>
              <w:bottom w:type="dxa" w:w="30"/>
              <w:right w:type="dxa" w:w="120"/>
            </w:tcMar>
          </w:tcPr>
          <w:p>
            <w:pPr>
              <w:spacing w:before="120" w:after="120" w:line="288" w:lineRule="auto"/>
              <w:ind w:left="0"/>
              <w:jc w:val="left"/>
            </w:pPr>
          </w:p>
        </w:tc>
      </w:tr>
      <w:tr>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c>
          <w:tcPr>
            <w:tcW w:w="4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特别说明</w:t>
            </w:r>
          </w:p>
        </w:tc>
        <w:tc>
          <w:tcPr>
            <w:tcW w:w="42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vMerge w:val="restart"/>
            <w:tcMar>
              <w:top w:type="dxa" w:w="60"/>
              <w:left w:type="dxa" w:w="120"/>
              <w:bottom w:type="dxa" w:w="30"/>
              <w:right w:type="dxa" w:w="120"/>
            </w:tcMar>
          </w:tcPr>
          <w:p>
            <w:pPr>
              <w:numPr>
                <w:numId w:val="78"/>
              </w:numPr>
              <w:spacing w:before="120" w:after="120" w:line="288" w:lineRule="auto"/>
              <w:ind w:left="0"/>
              <w:jc w:val="left"/>
            </w:pPr>
            <w:r>
              <w:rPr>
                <w:rFonts w:eastAsia="等线" w:ascii="Arial" w:cs="Arial" w:hAnsi="Arial"/>
                <w:sz w:val="22"/>
              </w:rPr>
              <w:t>本专项激励政策只针对符合代投标准且在广告账户中TikTok版位的消耗。</w:t>
            </w:r>
          </w:p>
          <w:p>
            <w:pPr>
              <w:numPr>
                <w:numId w:val="79"/>
              </w:numPr>
              <w:spacing w:before="120" w:after="120" w:line="288" w:lineRule="auto"/>
              <w:ind w:left="0"/>
              <w:jc w:val="left"/>
            </w:pPr>
            <w:r>
              <w:rPr>
                <w:rFonts w:eastAsia="等线" w:ascii="Arial" w:cs="Arial" w:hAnsi="Arial"/>
                <w:sz w:val="22"/>
              </w:rPr>
              <w:t>优质素材定义：</w:t>
            </w:r>
          </w:p>
          <w:p>
            <w:pPr>
              <w:numPr>
                <w:numId w:val="80"/>
              </w:numPr>
              <w:spacing w:before="120" w:after="120" w:line="288" w:lineRule="auto"/>
              <w:ind w:left="0"/>
              <w:jc w:val="left"/>
            </w:pPr>
            <w:r>
              <w:rPr>
                <w:rFonts w:eastAsia="等线" w:ascii="Arial" w:cs="Arial" w:hAnsi="Arial"/>
                <w:sz w:val="22"/>
              </w:rPr>
              <w:t>行业：闭环电商：</w:t>
            </w:r>
          </w:p>
          <w:p>
            <w:pPr>
              <w:spacing w:before="120" w:after="120" w:line="288" w:lineRule="auto"/>
              <w:ind w:left="0"/>
              <w:jc w:val="left"/>
            </w:pPr>
          </w:p>
          <w:p>
            <w:pPr>
              <w:numPr>
                <w:numId w:val="81"/>
              </w:numPr>
              <w:spacing w:before="120" w:after="120" w:line="288" w:lineRule="auto"/>
              <w:ind w:left="0"/>
              <w:jc w:val="left"/>
            </w:pPr>
            <w:r>
              <w:rPr>
                <w:rFonts w:eastAsia="等线" w:ascii="Arial" w:cs="Arial" w:hAnsi="Arial"/>
                <w:color w:val="d83931"/>
                <w:sz w:val="22"/>
              </w:rPr>
              <w:t>行业：非闭环电商</w:t>
            </w:r>
          </w:p>
          <w:p>
            <w:pPr>
              <w:spacing w:before="120" w:after="120" w:line="288" w:lineRule="auto"/>
              <w:ind w:left="0"/>
              <w:jc w:val="left"/>
            </w:pPr>
            <w:r>
              <w:rPr>
                <w:rFonts w:eastAsia="等线" w:ascii="Arial" w:cs="Arial" w:hAnsi="Arial"/>
                <w:sz w:val="22"/>
              </w:rPr>
              <w:t>CTR&gt;0.5%，素材季度消耗≥$100</w:t>
            </w:r>
          </w:p>
          <w:p>
            <w:pPr>
              <w:numPr>
                <w:numId w:val="82"/>
              </w:numPr>
              <w:spacing w:before="120" w:after="120" w:line="288" w:lineRule="auto"/>
              <w:ind w:left="0"/>
              <w:jc w:val="left"/>
            </w:pPr>
            <w:r>
              <w:rPr>
                <w:rFonts w:eastAsia="等线" w:ascii="Arial" w:cs="Arial" w:hAnsi="Arial"/>
                <w:color w:val="d83931"/>
                <w:sz w:val="22"/>
              </w:rPr>
              <w:t>行业：App-应用、游戏</w:t>
            </w:r>
          </w:p>
          <w:p>
            <w:pPr>
              <w:spacing w:before="120" w:after="120" w:line="288" w:lineRule="auto"/>
              <w:ind w:left="0"/>
              <w:jc w:val="left"/>
            </w:pPr>
            <w:r>
              <w:rPr>
                <w:rFonts w:eastAsia="等线" w:ascii="Arial" w:cs="Arial" w:hAnsi="Arial"/>
                <w:color w:val="d83931"/>
                <w:sz w:val="22"/>
              </w:rPr>
              <w:t>CTR&gt;0.3%，素材季度消耗≥$100</w:t>
            </w:r>
          </w:p>
          <w:p>
            <w:pPr>
              <w:numPr>
                <w:numId w:val="83"/>
              </w:numPr>
              <w:spacing w:before="120" w:after="120" w:line="288" w:lineRule="auto"/>
              <w:ind w:left="0"/>
              <w:jc w:val="left"/>
            </w:pPr>
            <w:r>
              <w:rPr>
                <w:rFonts w:eastAsia="等线" w:ascii="Arial" w:cs="Arial" w:hAnsi="Arial"/>
                <w:color w:val="d83931"/>
                <w:sz w:val="22"/>
              </w:rPr>
              <w:t>行业：Web-应用、游戏</w:t>
            </w:r>
          </w:p>
          <w:p>
            <w:pPr>
              <w:spacing w:before="120" w:after="120" w:line="288" w:lineRule="auto"/>
              <w:ind w:left="0"/>
              <w:jc w:val="left"/>
            </w:pPr>
            <w:r>
              <w:rPr>
                <w:rFonts w:eastAsia="等线" w:ascii="Arial" w:cs="Arial" w:hAnsi="Arial"/>
                <w:color w:val="d83931"/>
                <w:sz w:val="22"/>
              </w:rPr>
              <w:t>CTR&gt;0.6%，素材季度消耗≥$100</w:t>
            </w:r>
          </w:p>
          <w:p>
            <w:pPr>
              <w:spacing w:before="120" w:after="120" w:line="288" w:lineRule="auto"/>
              <w:ind w:left="0"/>
              <w:jc w:val="left"/>
            </w:pPr>
            <w:r>
              <w:rPr>
                <w:rFonts w:eastAsia="等线" w:ascii="Arial" w:cs="Arial" w:hAnsi="Arial"/>
                <w:color w:val="d83931"/>
                <w:sz w:val="22"/>
              </w:rPr>
              <w:t>*CTR定义：点击率，指促成目标页面点击的展示次数占总展示次数的百分比；</w:t>
            </w:r>
          </w:p>
          <w:p>
            <w:pPr>
              <w:spacing w:before="120" w:after="120" w:line="288" w:lineRule="auto"/>
              <w:ind w:left="0"/>
              <w:jc w:val="left"/>
            </w:pPr>
            <w:r>
              <w:rPr>
                <w:rFonts w:eastAsia="等线" w:ascii="Arial" w:cs="Arial" w:hAnsi="Arial"/>
                <w:color w:val="d83931"/>
                <w:sz w:val="22"/>
              </w:rPr>
              <w:t>以上数据、定义及行业划分，以媒体判定为准；</w:t>
            </w:r>
          </w:p>
          <w:p>
            <w:pPr>
              <w:numPr>
                <w:numId w:val="84"/>
              </w:numPr>
              <w:spacing w:before="120" w:after="120" w:line="288" w:lineRule="auto"/>
              <w:ind w:left="0"/>
              <w:jc w:val="left"/>
            </w:pPr>
            <w:r>
              <w:rPr>
                <w:rFonts w:eastAsia="等线" w:ascii="Arial" w:cs="Arial" w:hAnsi="Arial"/>
                <w:sz w:val="22"/>
              </w:rPr>
              <w:t>素材达标情况以媒体认定为准；</w:t>
            </w:r>
          </w:p>
          <w:p>
            <w:pPr>
              <w:numPr>
                <w:numId w:val="85"/>
              </w:numPr>
              <w:spacing w:before="120" w:after="120" w:line="288" w:lineRule="auto"/>
              <w:ind w:left="0"/>
              <w:jc w:val="left"/>
            </w:pPr>
            <w:r>
              <w:rPr>
                <w:rFonts w:eastAsia="等线" w:ascii="Arial" w:cs="Arial" w:hAnsi="Arial"/>
                <w:sz w:val="22"/>
              </w:rPr>
              <w:t>优质素材广告消耗：符合代投判定标准的广告账户，在25年Q4产生的，投放优质素材的广告消耗。</w:t>
            </w:r>
          </w:p>
          <w:p>
            <w:pPr>
              <w:numPr>
                <w:numId w:val="86"/>
              </w:numPr>
              <w:spacing w:before="120" w:after="120" w:line="288" w:lineRule="auto"/>
              <w:ind w:left="0"/>
              <w:jc w:val="left"/>
            </w:pPr>
            <w:r>
              <w:rPr>
                <w:rFonts w:eastAsia="等线" w:ascii="Arial" w:cs="Arial" w:hAnsi="Arial"/>
                <w:sz w:val="22"/>
              </w:rPr>
              <w:t>甲方应积极配合乙方进行申报及调整，以保证满足媒体关于优质素材的评判标准，若甲方拒绝调整或配合的，则无法取得相应返点激励。</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4260" w:type="dxa"/>
            <w:hMerge w:val="continue"/>
            <w:vMerge w:val="restart"/>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通用</w:t>
      </w:r>
      <w:bookmarkEnd w:id="3"/>
    </w:p>
    <w:p>
      <w:pPr>
        <w:numPr>
          <w:numId w:val="87"/>
        </w:numPr>
        <w:spacing w:before="120" w:after="120" w:line="288" w:lineRule="auto"/>
        <w:ind w:left="453"/>
        <w:jc w:val="left"/>
      </w:pPr>
      <w:r>
        <w:rPr>
          <w:rFonts w:eastAsia="等线" w:ascii="Arial" w:cs="Arial" w:hAnsi="Arial"/>
          <w:sz w:val="22"/>
        </w:rPr>
        <w:t>甲方向乙方支付全额广告发布金额并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支付完毕广告发布金额，也不参与返点。</w:t>
      </w:r>
    </w:p>
    <w:p>
      <w:pPr>
        <w:numPr>
          <w:numId w:val="88"/>
        </w:numPr>
        <w:spacing w:before="120" w:after="120" w:line="288" w:lineRule="auto"/>
        <w:ind w:left="453"/>
        <w:jc w:val="left"/>
      </w:pPr>
      <w:r>
        <w:rPr>
          <w:rFonts w:eastAsia="等线" w:ascii="Arial" w:cs="Arial" w:hAnsi="Arial"/>
          <w:sz w:val="22"/>
        </w:rPr>
        <w:t>同一客户的基础返点和专项返点如同时满足，可重复叠加，具体以乙方每季度确认的返点金额为准。</w:t>
      </w:r>
    </w:p>
    <w:p>
      <w:pPr>
        <w:numPr>
          <w:numId w:val="89"/>
        </w:numPr>
        <w:spacing w:before="120" w:after="120" w:line="288" w:lineRule="auto"/>
        <w:ind w:left="453"/>
        <w:jc w:val="left"/>
      </w:pPr>
      <w:r>
        <w:rPr>
          <w:rFonts w:eastAsia="等线" w:ascii="Arial" w:cs="Arial" w:hAnsi="Arial"/>
          <w:sz w:val="22"/>
        </w:rPr>
        <w:t>甲方已悉知针对TikTok不提供返点部分的消耗金额或因TikTok单方面决定不给予返点的，乙方也有权不向甲方提供任何返点，如乙方预先已提供的部分，则有权在下次结算时收回。</w:t>
      </w:r>
    </w:p>
    <w:p>
      <w:pPr>
        <w:numPr>
          <w:numId w:val="90"/>
        </w:numPr>
        <w:spacing w:before="120" w:after="120" w:line="288" w:lineRule="auto"/>
        <w:ind w:left="453"/>
        <w:jc w:val="left"/>
      </w:pPr>
      <w:r>
        <w:rPr>
          <w:rFonts w:eastAsia="等线" w:ascii="Arial" w:cs="Arial" w:hAnsi="Arial"/>
          <w:sz w:val="22"/>
        </w:rPr>
        <w:t>如甲方被媒体判定为违规投放，则乙方有权保留由于甲方违规而产生的媒体罚金的追究权利， 最终将以媒体判定为准。</w:t>
      </w:r>
    </w:p>
    <w:p>
      <w:pPr>
        <w:numPr>
          <w:numId w:val="91"/>
        </w:numPr>
        <w:spacing w:before="120" w:after="120" w:line="288" w:lineRule="auto"/>
        <w:ind w:left="453"/>
        <w:jc w:val="left"/>
      </w:pPr>
      <w:r>
        <w:rPr>
          <w:rFonts w:eastAsia="等线" w:ascii="Arial" w:cs="Arial" w:hAnsi="Arial"/>
          <w:sz w:val="22"/>
        </w:rPr>
        <w:t>甲方对返点金额的计算存在异议，应当在收到对账单之日起15个自然日内书面通知乙方，否则，视为甲方认可返点金额的计算方式。进一步的，如媒体判定需要返还返点的，则乙方有权在甲方账单中直接扣除，如金额不足的，乙方有权要求甲方在收到通知后30日全额返还。</w:t>
      </w:r>
    </w:p>
    <w:p>
      <w:pPr>
        <w:numPr>
          <w:numId w:val="92"/>
        </w:numPr>
        <w:spacing w:before="120" w:after="120" w:line="288" w:lineRule="auto"/>
        <w:ind w:left="453"/>
        <w:jc w:val="left"/>
      </w:pPr>
      <w:r>
        <w:rPr>
          <w:rFonts w:eastAsia="等线" w:ascii="Arial" w:cs="Arial" w:hAnsi="Arial"/>
          <w:sz w:val="22"/>
        </w:rPr>
        <w:t>甲方在TikTok for Business中投放目标受众国家为匈牙利的任何消耗，无返点。</w:t>
      </w:r>
    </w:p>
    <w:p>
      <w:pPr>
        <w:numPr>
          <w:numId w:val="93"/>
        </w:numPr>
        <w:spacing w:before="120" w:after="120" w:line="288" w:lineRule="auto"/>
        <w:ind w:left="453"/>
        <w:jc w:val="left"/>
      </w:pPr>
      <w:r>
        <w:rPr>
          <w:rFonts w:eastAsia="等线" w:ascii="Arial" w:cs="Arial" w:hAnsi="Arial"/>
          <w:sz w:val="22"/>
        </w:rPr>
        <w:t>若甲方为法国客户，则其在TikTok for Business中投放目标受众国家为法国的任何消耗均无返点。</w:t>
      </w:r>
    </w:p>
    <w:p>
      <w:pPr>
        <w:numPr>
          <w:numId w:val="94"/>
        </w:numPr>
        <w:spacing w:before="120" w:after="120" w:line="288" w:lineRule="auto"/>
        <w:ind w:left="453"/>
        <w:jc w:val="left"/>
      </w:pPr>
      <w:r>
        <w:rPr>
          <w:rFonts w:eastAsia="等线" w:ascii="Arial" w:cs="Arial" w:hAnsi="Arial"/>
          <w:sz w:val="22"/>
        </w:rPr>
        <w:t>甲方在TikTok for Business中投放目标受众国家为美国、加拿大、澳大利亚、新西兰的任何消耗，如使用非“中国大陆、香港、澳门”主体开户投放的，无任何返点。</w:t>
      </w:r>
    </w:p>
    <w:p>
      <w:pPr>
        <w:numPr>
          <w:numId w:val="95"/>
        </w:numPr>
        <w:spacing w:before="120" w:after="120" w:line="288" w:lineRule="auto"/>
        <w:ind w:left="453"/>
        <w:jc w:val="left"/>
      </w:pPr>
      <w:r>
        <w:rPr>
          <w:rFonts w:eastAsia="等线" w:ascii="Arial" w:cs="Arial" w:hAnsi="Arial"/>
          <w:sz w:val="22"/>
        </w:rPr>
        <w:t>任何在TikTok for Business投放项目中有关网红达人（KOL）的费用\Creator fee\Production fee\Copyright fee均不计入返点结算。</w:t>
      </w:r>
    </w:p>
    <w:p>
      <w:pPr>
        <w:numPr>
          <w:numId w:val="96"/>
        </w:numPr>
        <w:spacing w:before="120" w:after="120" w:line="288" w:lineRule="auto"/>
        <w:ind w:left="453"/>
        <w:jc w:val="left"/>
      </w:pPr>
      <w:r>
        <w:rPr>
          <w:rFonts w:eastAsia="等线" w:ascii="Arial" w:cs="Arial" w:hAnsi="Arial"/>
          <w:sz w:val="22"/>
        </w:rPr>
        <w:t>甲方属于Turkey, Pakistan, Morocco, Egypt, Cambodia, Argentina, Chilee, Ecuador, Uruguay, Guatemala, Costa Rica, Panama, Dominican Republic, Puerto Rico, Paraguay, and Bolivia, Colombia, Peru, Kazakhstan, South Africa, Taiwan, Kenya, Algeria, Azerbaijan, Sri Lanka, Baltics and Balkans countries地区的公司/集团，所产生的广告消耗一律不计返点。（如地区划分有调整，以最新GSE限定地区标准为准）</w:t>
      </w:r>
    </w:p>
    <w:p>
      <w:pPr>
        <w:numPr>
          <w:numId w:val="97"/>
        </w:numPr>
        <w:spacing w:before="120" w:after="120" w:line="288" w:lineRule="auto"/>
        <w:ind w:left="453"/>
        <w:jc w:val="left"/>
      </w:pPr>
      <w:r>
        <w:rPr>
          <w:rFonts w:eastAsia="等线" w:ascii="Arial" w:cs="Arial" w:hAnsi="Arial"/>
          <w:sz w:val="22"/>
        </w:rPr>
        <w:t>闭环电商广告消耗与TTS业绩含义相同，包含LSA、VSA、PSA、GMV Max等产品产生的消耗，具体定义以媒体约定为准。</w:t>
      </w:r>
    </w:p>
    <w:p>
      <w:pPr>
        <w:numPr>
          <w:numId w:val="98"/>
        </w:numPr>
        <w:spacing w:before="120" w:after="120" w:line="288" w:lineRule="auto"/>
        <w:ind w:left="453"/>
        <w:jc w:val="left"/>
      </w:pPr>
      <w:r>
        <w:rPr>
          <w:rFonts w:eastAsia="等线" w:ascii="Arial" w:cs="Arial" w:hAnsi="Arial"/>
          <w:sz w:val="22"/>
        </w:rPr>
        <w:t>"消耗"、"广告消耗"、"业绩"含义相同, 均指未被媒体内控判为违规的adv产生的业绩。</w:t>
      </w:r>
    </w:p>
    <w:p>
      <w:pPr>
        <w:numPr>
          <w:numId w:val="99"/>
        </w:numPr>
        <w:spacing w:before="120" w:after="120" w:line="288" w:lineRule="auto"/>
        <w:ind w:left="453"/>
        <w:jc w:val="left"/>
      </w:pPr>
      <w:r>
        <w:rPr>
          <w:rFonts w:eastAsia="等线" w:ascii="Arial" w:cs="Arial" w:hAnsi="Arial"/>
          <w:sz w:val="22"/>
        </w:rPr>
        <w:t>上述所有专项返点中，关于广告消耗区间，均为大于等于区间中的最小数，小于区间中的最大数。（例如 ”$1,000-2,000”，指大于等于$1,000，小于$2,000）</w:t>
      </w:r>
    </w:p>
    <w:p>
      <w:pPr>
        <w:numPr>
          <w:numId w:val="100"/>
        </w:numPr>
        <w:spacing w:before="120" w:after="120" w:line="288" w:lineRule="auto"/>
        <w:ind w:left="453"/>
        <w:jc w:val="left"/>
      </w:pPr>
      <w:r>
        <w:rPr>
          <w:rFonts w:eastAsia="等线" w:ascii="Arial" w:cs="Arial" w:hAnsi="Arial"/>
          <w:sz w:val="22"/>
        </w:rPr>
        <w:t>甲方应保证所有数据均为真实有效的，不存在作弊行为，最终数据判定均以媒体为准。</w:t>
      </w:r>
    </w:p>
    <w:p>
      <w:pPr>
        <w:numPr>
          <w:numId w:val="101"/>
        </w:numPr>
        <w:spacing w:before="120" w:after="120" w:line="288" w:lineRule="auto"/>
        <w:ind w:left="453"/>
        <w:jc w:val="left"/>
      </w:pPr>
      <w:r>
        <w:rPr>
          <w:rFonts w:eastAsia="等线" w:ascii="Arial" w:cs="Arial" w:hAnsi="Arial"/>
          <w:sz w:val="22"/>
        </w:rPr>
        <w:t>返点名额已满或超过该季度乙方在媒体处获得的返点上限的，即使甲方满足了上述条款约定的标准，则甲方也无法获得上述专项返点；如媒体的评判标准有任何修改的，均以媒体实时更新的为准。</w:t>
      </w:r>
    </w:p>
    <w:p>
      <w:pPr>
        <w:numPr>
          <w:numId w:val="102"/>
        </w:numPr>
        <w:spacing w:before="120" w:after="120" w:line="288" w:lineRule="auto"/>
        <w:ind w:left="453"/>
        <w:jc w:val="left"/>
      </w:pPr>
      <w:r>
        <w:rPr>
          <w:rFonts w:eastAsia="等线" w:ascii="Arial" w:cs="Arial" w:hAnsi="Arial"/>
          <w:sz w:val="22"/>
        </w:rPr>
        <w:t>本季度新开的US本本店铺（不包含ACCU，ACCU商家的政策以媒体后续通知为准）不适用上述全部返点政策（含基础返点和其他专项返点）。</w:t>
      </w:r>
    </w:p>
    <w:p>
      <w:pPr>
        <w:numPr>
          <w:numId w:val="103"/>
        </w:numPr>
        <w:spacing w:before="120" w:after="120" w:line="288" w:lineRule="auto"/>
        <w:ind w:left="453"/>
        <w:jc w:val="left"/>
      </w:pPr>
      <w:r>
        <w:rPr>
          <w:rFonts w:eastAsia="等线" w:ascii="Arial" w:cs="Arial" w:hAnsi="Arial"/>
          <w:sz w:val="22"/>
        </w:rPr>
        <w:t>本季度新开的SEA本本店铺是否参与本季度返点核算（含基础返点和其他专项返点）以是否达到TikTok for Business 评估的“优质新开”标准为准。TikTok for Business将在该店铺首销后的完整季度评估该店铺是否符合“优质新开”标准，最终判定结果以媒体公布为准。</w:t>
      </w:r>
    </w:p>
    <w:p>
      <w:pPr>
        <w:spacing w:before="120" w:after="120" w:line="288" w:lineRule="auto"/>
        <w:ind w:left="0" w:firstLine="0"/>
        <w:jc w:val="left"/>
      </w:pP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2.1 </w:t>
      </w:r>
      <w:r>
        <w:rPr>
          <w:rFonts w:eastAsia="等线" w:ascii="Arial" w:cs="Arial" w:hAnsi="Arial"/>
          <w:b w:val="true"/>
          <w:sz w:val="30"/>
        </w:rPr>
        <w:t>Kwai</w:t>
      </w:r>
      <w:bookmarkEnd w:id="4"/>
    </w:p>
    <w:p>
      <w:pPr>
        <w:spacing w:before="120" w:after="120" w:line="288" w:lineRule="auto"/>
        <w:ind w:left="0" w:firstLine="420"/>
        <w:jc w:val="left"/>
      </w:pPr>
      <w:r>
        <w:rPr>
          <w:rFonts w:eastAsia="等线" w:ascii="Arial" w:cs="Arial" w:hAnsi="Arial"/>
          <w:sz w:val="22"/>
        </w:rPr>
        <w:t>2.1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5" w:id="5"/>
      <w:r>
        <w:rPr>
          <w:rFonts w:eastAsia="等线" w:ascii="Arial" w:cs="Arial" w:hAnsi="Arial"/>
          <w:b w:val="true"/>
          <w:sz w:val="32"/>
        </w:rPr>
        <w:t>2.2 甲方投放行业为【A类】的广告，返点比例如下：</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4065"/>
        <w:gridCol w:w="1950"/>
      </w:tblGrid>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广告类型</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效果类（自投）</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创作者变现类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*A类行业：指一级行业为游戏、电商零售、消费品、生活服务、通信、金融、传媒社交、文体娱乐、汽车、旅游出行、商务服务、教育培训、房产/不动产、健康医疗、 社会公共和政府组织、化工及能源、工具。</w:t>
      </w:r>
    </w:p>
    <w:p>
      <w:pPr>
        <w:spacing w:before="120" w:after="120" w:line="288" w:lineRule="auto"/>
        <w:ind w:left="0" w:firstLine="420"/>
        <w:jc w:val="left"/>
      </w:pPr>
      <w:r>
        <w:rPr>
          <w:rFonts w:eastAsia="等线" w:ascii="Arial" w:cs="Arial" w:hAnsi="Arial"/>
          <w:sz w:val="22"/>
        </w:rPr>
        <w:t>*效果类：信息流广告（以实时竞价的方式在广告平台上竞争广告位）、快任务、品牌竞价。</w:t>
      </w:r>
    </w:p>
    <w:p>
      <w:pPr>
        <w:spacing w:before="120" w:after="120" w:line="288" w:lineRule="auto"/>
        <w:ind w:left="0" w:firstLine="420"/>
        <w:jc w:val="left"/>
      </w:pPr>
      <w:r>
        <w:rPr>
          <w:rFonts w:eastAsia="等线" w:ascii="Arial" w:cs="Arial" w:hAnsi="Arial"/>
          <w:sz w:val="22"/>
        </w:rPr>
        <w:t>*品牌类: 开屏广告 Eyemax、合约信息流 First Sight、Reach &amp; Frequncy、 TeleKwai、挑战赛广告 Hashtag Challenge、特殊招商项目-非标产品。</w:t>
      </w:r>
    </w:p>
    <w:p>
      <w:pPr>
        <w:spacing w:before="120" w:after="120" w:line="288" w:lineRule="auto"/>
        <w:ind w:left="0" w:firstLine="420"/>
        <w:jc w:val="left"/>
      </w:pPr>
      <w:r>
        <w:rPr>
          <w:rFonts w:eastAsia="等线" w:ascii="Arial" w:cs="Arial" w:hAnsi="Arial"/>
          <w:sz w:val="22"/>
        </w:rPr>
        <w:t>*创作者变现类：KCM。</w:t>
      </w:r>
    </w:p>
    <w:p>
      <w:pPr>
        <w:spacing w:before="120" w:after="120" w:line="288" w:lineRule="auto"/>
        <w:ind w:left="0" w:firstLine="420"/>
        <w:jc w:val="left"/>
      </w:pPr>
      <w:r>
        <w:rPr>
          <w:rFonts w:eastAsia="等线" w:ascii="Arial" w:cs="Arial" w:hAnsi="Arial"/>
          <w:sz w:val="22"/>
        </w:rPr>
        <w:t>2.3  甲方投放行业为【B类】的广告，且【取得牌照并在SIGAP系统名单内】的，返点比例如下：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950"/>
        <w:gridCol w:w="2835"/>
      </w:tblGrid>
      <w:tr>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950" w:type="dxa"/>
            <w:tcMar>
              <w:top w:type="dxa" w:w="60"/>
              <w:left w:type="dxa" w:w="120"/>
              <w:bottom w:type="dxa" w:w="30"/>
              <w:right w:type="dxa" w:w="120"/>
            </w:tcMar>
          </w:tcPr>
          <w:p>
            <w:pPr>
              <w:spacing w:before="120" w:after="120" w:line="288" w:lineRule="auto"/>
              <w:ind w:left="0"/>
              <w:jc w:val="left"/>
            </w:pP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*B类行业：指一级行业为除A类之外的行业。</w:t>
      </w:r>
    </w:p>
    <w:p>
      <w:pPr>
        <w:spacing w:before="120" w:after="120" w:line="288" w:lineRule="auto"/>
        <w:ind w:left="0" w:firstLine="420"/>
        <w:jc w:val="left"/>
      </w:pPr>
      <w:r>
        <w:rPr>
          <w:rFonts w:eastAsia="等线" w:ascii="Arial" w:cs="Arial" w:hAnsi="Arial"/>
          <w:sz w:val="22"/>
        </w:rPr>
        <w:t>2.4  行业判定：具体行业判定，依据甲方主体下落地页/应用/账户的推广情况综合判定且行业分类会实时更新，最终均以Kwai媒体判定为准。</w:t>
      </w:r>
    </w:p>
    <w:p>
      <w:pPr>
        <w:spacing w:before="120" w:after="120" w:line="288" w:lineRule="auto"/>
        <w:ind w:left="0" w:firstLine="420"/>
        <w:jc w:val="left"/>
      </w:pPr>
      <w:r>
        <w:rPr>
          <w:rFonts w:eastAsia="等线" w:ascii="Arial" w:cs="Arial" w:hAnsi="Arial"/>
          <w:sz w:val="22"/>
        </w:rPr>
        <w:t>2.5  SIGAP系统名单内判定：均以Kwai媒体审核判定为准。</w:t>
      </w:r>
    </w:p>
    <w:p>
      <w:pPr>
        <w:spacing w:before="120" w:after="120" w:line="288" w:lineRule="auto"/>
        <w:ind w:left="0" w:firstLine="420"/>
        <w:jc w:val="left"/>
      </w:pPr>
      <w:r>
        <w:rPr>
          <w:rFonts w:eastAsia="等线" w:ascii="Arial" w:cs="Arial" w:hAnsi="Arial"/>
          <w:sz w:val="22"/>
        </w:rPr>
        <w:t>2.6  广告类型判定：均以Kwai媒体判定为准。</w:t>
      </w:r>
    </w:p>
    <w:p>
      <w:pPr>
        <w:spacing w:before="120" w:after="120" w:line="288" w:lineRule="auto"/>
        <w:ind w:left="0" w:firstLine="420"/>
        <w:jc w:val="left"/>
      </w:pPr>
      <w:r>
        <w:rPr>
          <w:rFonts w:eastAsia="等线" w:ascii="Arial" w:cs="Arial" w:hAnsi="Arial"/>
          <w:sz w:val="22"/>
        </w:rPr>
        <w:t>2.7 甲方应该严格按照行业类型开设账户并投放广告，如甲方违反上述规则（例如开设A类账户投放B类行业的广告），则媒体或/和乙方有权对甲方进行处罚，包括但不限于扣除罚金，取消返点，冻结账户等；如不足以弥补乙方损失的，乙方有权向甲方继续追偿。</w:t>
      </w:r>
    </w:p>
    <w:p>
      <w:pPr>
        <w:spacing w:before="120" w:after="120" w:line="288" w:lineRule="auto"/>
        <w:ind w:left="0" w:firstLine="420"/>
        <w:jc w:val="left"/>
      </w:pP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2.2 </w:t>
      </w:r>
      <w:r>
        <w:rPr>
          <w:rFonts w:eastAsia="等线" w:ascii="Arial" w:cs="Arial" w:hAnsi="Arial"/>
          <w:b w:val="true"/>
          <w:sz w:val="30"/>
        </w:rPr>
        <w:t>LinkedIn</w:t>
      </w:r>
      <w:bookmarkEnd w:id="6"/>
    </w:p>
    <w:p>
      <w:pPr>
        <w:spacing w:before="120" w:after="120" w:line="288" w:lineRule="auto"/>
        <w:ind w:left="0" w:firstLine="420"/>
        <w:jc w:val="left"/>
      </w:pPr>
      <w:r>
        <w:rPr>
          <w:rFonts w:eastAsia="等线" w:ascii="Arial" w:cs="Arial" w:hAnsi="Arial"/>
          <w:sz w:val="22"/>
        </w:rPr>
        <w:t>3.1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7" w:id="7"/>
      <w:r>
        <w:rPr>
          <w:rFonts w:eastAsia="等线" w:ascii="Arial" w:cs="Arial" w:hAnsi="Arial"/>
          <w:b w:val="true"/>
          <w:sz w:val="32"/>
        </w:rPr>
        <w:t>3.2返点比例如下：</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3.3 如甲方选择预付合作方式，则乙方将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3.4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3.5 甲方悉知，LinkedIn媒体投放需缴纳税费。如甲方选择预付合作方式，则税费在充值时直接扣减；如甲方选择后付合作方式，则税费合并计算至当月账单中。进一步的，税费均不参与返点计算。</w:t>
      </w:r>
    </w:p>
    <w:p>
      <w:pPr>
        <w:spacing w:before="120" w:after="120" w:line="288" w:lineRule="auto"/>
        <w:ind w:left="0" w:firstLine="420"/>
        <w:jc w:val="left"/>
      </w:pPr>
      <w:r>
        <w:rPr>
          <w:rFonts w:eastAsia="等线" w:ascii="Arial" w:cs="Arial" w:hAnsi="Arial"/>
          <w:sz w:val="22"/>
        </w:rPr>
        <w:t>3.6 上述5.2条款约定的返点比例政策仅截止至2025年6月30日，即双方应以补充协议的形式另行签署自2025年7月1日起适用的LinkedIn新返点政策，否则乙方有权拒绝按照上述条款约定的返点比例向甲方支付返点，并不承担任何违约责任。</w:t>
      </w:r>
    </w:p>
    <w:p>
      <w:pPr>
        <w:spacing w:before="120" w:after="120" w:line="288" w:lineRule="auto"/>
        <w:ind w:left="0" w:firstLine="420"/>
        <w:jc w:val="left"/>
      </w:pP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2.3 </w:t>
      </w:r>
      <w:r>
        <w:rPr>
          <w:rFonts w:eastAsia="等线" w:ascii="Arial" w:cs="Arial" w:hAnsi="Arial"/>
          <w:b w:val="true"/>
          <w:sz w:val="30"/>
        </w:rPr>
        <w:t>Twitter（X）\Outbrain\Moloco等其他小媒体</w:t>
      </w:r>
      <w:bookmarkEnd w:id="8"/>
    </w:p>
    <w:p>
      <w:pPr>
        <w:spacing w:before="120" w:after="120" w:line="288" w:lineRule="auto"/>
        <w:ind w:left="0" w:firstLine="420"/>
        <w:jc w:val="left"/>
      </w:pPr>
      <w:r>
        <w:rPr>
          <w:rFonts w:eastAsia="等线" w:ascii="Arial" w:cs="Arial" w:hAnsi="Arial"/>
          <w:sz w:val="22"/>
        </w:rPr>
        <w:t>4.1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9" w:id="9"/>
      <w:r>
        <w:rPr>
          <w:rFonts w:eastAsia="等线" w:ascii="Arial" w:cs="Arial" w:hAnsi="Arial"/>
          <w:b w:val="true"/>
          <w:sz w:val="32"/>
        </w:rPr>
        <w:t>4.2返点比例如下：</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4.3 甲方确认，在Outbrain媒体投放社交聚合类(social aggregator) 和套利/搜索类 （Search/SERP）的广告，不参与返点。</w:t>
      </w:r>
    </w:p>
    <w:p>
      <w:pPr>
        <w:spacing w:before="120" w:after="120" w:line="288" w:lineRule="auto"/>
        <w:ind w:left="0" w:firstLine="420"/>
        <w:jc w:val="left"/>
      </w:pPr>
    </w:p>
    <w:p>
      <w:pPr>
        <w:numPr>
          <w:numId w:val="104"/>
        </w:numPr>
        <w:spacing w:before="120" w:after="120" w:line="288" w:lineRule="auto"/>
        <w:ind w:left="0"/>
        <w:jc w:val="left"/>
      </w:pPr>
      <w:r>
        <w:rPr>
          <w:rFonts w:eastAsia="等线" w:ascii="Arial" w:cs="Arial" w:hAnsi="Arial"/>
          <w:b w:val="true"/>
          <w:sz w:val="22"/>
        </w:rPr>
        <w:t>TTD， YAHOO-日本，REDDIT，SEEDAPP，LINE</w:t>
      </w:r>
      <w:r>
        <w:rPr>
          <w:rFonts w:eastAsia="等线" w:ascii="Arial" w:cs="Arial" w:hAnsi="Arial"/>
          <w:sz w:val="22"/>
        </w:rPr>
        <w:t xml:space="preserve"> </w:t>
      </w:r>
      <w:r>
        <w:rPr>
          <w:rFonts w:eastAsia="等线" w:ascii="Arial" w:cs="Arial" w:hAnsi="Arial"/>
          <w:b w:val="true"/>
          <w:sz w:val="22"/>
        </w:rPr>
        <w:t>，BlueTurbo DSP等其他小媒体</w:t>
      </w:r>
    </w:p>
    <w:p>
      <w:pPr>
        <w:spacing w:before="120" w:after="120" w:line="288" w:lineRule="auto"/>
        <w:ind w:left="0" w:firstLine="420"/>
        <w:jc w:val="left"/>
      </w:pPr>
      <w:r>
        <w:rPr>
          <w:rFonts w:eastAsia="等线" w:ascii="Arial" w:cs="Arial" w:hAnsi="Arial"/>
          <w:sz w:val="22"/>
        </w:rPr>
        <w:t>5.1 甲方在【】媒体进行广告投放的，所涉及的消耗均无任何返点，且甲方需要向乙方额外支付当月广告投放总消耗金额的【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5.2  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5.3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2.4 </w:t>
      </w:r>
      <w:r>
        <w:rPr>
          <w:rFonts w:eastAsia="等线" w:ascii="Arial" w:cs="Arial" w:hAnsi="Arial"/>
          <w:b w:val="true"/>
          <w:sz w:val="30"/>
        </w:rPr>
        <w:t>Microsoft advertising(Bing)</w:t>
      </w:r>
      <w:bookmarkEnd w:id="10"/>
    </w:p>
    <w:p>
      <w:pPr>
        <w:spacing w:before="120" w:after="120" w:line="288" w:lineRule="auto"/>
        <w:ind w:left="0" w:firstLine="420"/>
        <w:jc w:val="left"/>
      </w:pPr>
      <w:r>
        <w:rPr>
          <w:rFonts w:eastAsia="等线" w:ascii="Arial" w:cs="Arial" w:hAnsi="Arial"/>
          <w:sz w:val="22"/>
        </w:rPr>
        <w:t>6.1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6.2 【2025年7月1日】至【2026年6月30日】期间，双方确认按照如下返点计算：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3495"/>
        <w:gridCol w:w="2550"/>
      </w:tblGrid>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p>
            <w:pPr>
              <w:spacing w:before="120" w:after="120" w:line="288" w:lineRule="auto"/>
              <w:ind w:left="0"/>
              <w:jc w:val="center"/>
            </w:pPr>
            <w:r>
              <w:rPr>
                <w:rFonts w:eastAsia="等线" w:ascii="Arial" w:cs="Arial" w:hAnsi="Arial"/>
                <w:sz w:val="22"/>
              </w:rPr>
              <w:t>（单一客户XID）</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考核指标</w:t>
            </w:r>
          </w:p>
          <w:p>
            <w:pPr>
              <w:spacing w:before="120" w:after="120" w:line="288" w:lineRule="auto"/>
              <w:ind w:left="0"/>
              <w:jc w:val="center"/>
            </w:pPr>
            <w:r>
              <w:rPr>
                <w:rFonts w:eastAsia="等线" w:ascii="Arial" w:cs="Arial" w:hAnsi="Arial"/>
                <w:sz w:val="22"/>
              </w:rPr>
              <w:t>（X为广告消耗金额/每季度）</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基础返点</w:t>
            </w:r>
          </w:p>
          <w:p>
            <w:pPr>
              <w:spacing w:before="120" w:after="120" w:line="288" w:lineRule="auto"/>
              <w:ind w:left="0"/>
              <w:jc w:val="center"/>
            </w:pPr>
            <w:r>
              <w:rPr>
                <w:rFonts w:eastAsia="等线" w:ascii="Arial" w:cs="Arial" w:hAnsi="Arial"/>
                <w:sz w:val="22"/>
              </w:rPr>
              <w:t>base rebate</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X&gt;0美金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新客返点</w:t>
            </w:r>
          </w:p>
          <w:p>
            <w:pPr>
              <w:spacing w:before="120" w:after="120" w:line="288" w:lineRule="auto"/>
              <w:ind w:left="0"/>
              <w:jc w:val="center"/>
            </w:pPr>
            <w:r>
              <w:rPr>
                <w:rFonts w:eastAsia="等线" w:ascii="Arial" w:cs="Arial" w:hAnsi="Arial"/>
                <w:sz w:val="22"/>
              </w:rPr>
              <w:t>new acquisition</w:t>
            </w:r>
          </w:p>
        </w:tc>
        <w:tc>
          <w:tcPr>
            <w:tcW w:w="34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0＜X＜3000美金</w:t>
            </w:r>
          </w:p>
        </w:tc>
        <w:tc>
          <w:tcPr>
            <w:tcW w:w="25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vMerge w:val="continue"/>
            <w:tcMar>
              <w:top w:type="dxa" w:w="60"/>
              <w:left w:type="dxa" w:w="120"/>
              <w:bottom w:type="dxa" w:w="30"/>
              <w:right w:type="dxa" w:w="120"/>
            </w:tcMar>
          </w:tcPr>
          <w:p>
            <w:pPr>
              <w:spacing w:before="120" w:after="120" w:line="288" w:lineRule="auto"/>
              <w:ind w:left="0"/>
              <w:jc w:val="left"/>
            </w:pPr>
          </w:p>
        </w:tc>
        <w:tc>
          <w:tcPr>
            <w:tcW w:w="2550" w:type="dxa"/>
            <w:vMerge w:val="continue"/>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高质量新客返点</w:t>
            </w:r>
          </w:p>
          <w:p>
            <w:pPr>
              <w:spacing w:before="120" w:after="120" w:line="288" w:lineRule="auto"/>
              <w:ind w:left="0"/>
              <w:jc w:val="center"/>
            </w:pPr>
            <w:r>
              <w:rPr>
                <w:rFonts w:eastAsia="等线" w:ascii="Arial" w:cs="Arial" w:hAnsi="Arial"/>
                <w:sz w:val="22"/>
              </w:rPr>
              <w:t>High Quality</w:t>
            </w:r>
          </w:p>
          <w:p>
            <w:pPr>
              <w:spacing w:before="120" w:after="120" w:line="288" w:lineRule="auto"/>
              <w:ind w:left="0"/>
              <w:jc w:val="center"/>
            </w:pPr>
            <w:r>
              <w:rPr>
                <w:rFonts w:eastAsia="等线" w:ascii="Arial" w:cs="Arial" w:hAnsi="Arial"/>
                <w:sz w:val="22"/>
              </w:rPr>
              <w:t>new acquisition</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%（额外返点）</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额外激励</w:t>
            </w:r>
          </w:p>
          <w:p>
            <w:pPr>
              <w:spacing w:before="120" w:after="120" w:line="288" w:lineRule="auto"/>
              <w:ind w:left="0"/>
              <w:jc w:val="center"/>
            </w:pPr>
            <w:r>
              <w:rPr>
                <w:rFonts w:eastAsia="等线" w:ascii="Arial" w:cs="Arial" w:hAnsi="Arial"/>
                <w:sz w:val="22"/>
              </w:rPr>
              <w:t>Incentives</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X≥【200,000】美金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X≥【500,000】美金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6.2.1 单一客户：一般情况指一个XID为一个单一客户主体，除直客以外。</w:t>
      </w:r>
    </w:p>
    <w:p>
      <w:pPr>
        <w:spacing w:before="120" w:after="120" w:line="288" w:lineRule="auto"/>
        <w:ind w:left="0" w:firstLine="420"/>
        <w:jc w:val="left"/>
      </w:pPr>
      <w:r>
        <w:rPr>
          <w:rFonts w:eastAsia="等线" w:ascii="Arial" w:cs="Arial" w:hAnsi="Arial"/>
          <w:sz w:val="22"/>
        </w:rPr>
        <w:t>6.2.2 新客：新创建的XID，新的Domain，非套利及联盟账户，且在过去半年没有消耗过的账户，可被媒体可判定为新客。</w:t>
      </w:r>
    </w:p>
    <w:p>
      <w:pPr>
        <w:spacing w:before="120" w:after="120" w:line="288" w:lineRule="auto"/>
        <w:ind w:left="0" w:firstLine="420"/>
        <w:jc w:val="left"/>
      </w:pPr>
      <w:r>
        <w:rPr>
          <w:rFonts w:eastAsia="等线" w:ascii="Arial" w:cs="Arial" w:hAnsi="Arial"/>
          <w:sz w:val="22"/>
        </w:rPr>
        <w:t>6.2.3 高质量新客：被媒体判定为新客，且在前3个月内消耗超过3000美金的。</w:t>
      </w:r>
    </w:p>
    <w:p>
      <w:pPr>
        <w:spacing w:before="120" w:after="120" w:line="288" w:lineRule="auto"/>
        <w:ind w:left="0" w:firstLine="420"/>
        <w:jc w:val="left"/>
      </w:pPr>
      <w:r>
        <w:rPr>
          <w:rFonts w:eastAsia="等线" w:ascii="Arial" w:cs="Arial" w:hAnsi="Arial"/>
          <w:sz w:val="22"/>
        </w:rPr>
        <w:t>6.2.4 直客：由Microsoft advertising(Bing)媒体直接管理的客户，具体以媒体确定的名单为准。</w:t>
      </w:r>
    </w:p>
    <w:p>
      <w:pPr>
        <w:spacing w:before="120" w:after="120" w:line="288" w:lineRule="auto"/>
        <w:ind w:left="0" w:firstLine="420"/>
        <w:jc w:val="left"/>
      </w:pPr>
      <w:r>
        <w:rPr>
          <w:rFonts w:eastAsia="等线" w:ascii="Arial" w:cs="Arial" w:hAnsi="Arial"/>
          <w:sz w:val="22"/>
        </w:rPr>
        <w:t>6.2.5 CID：Manager account经理账户。</w:t>
      </w:r>
    </w:p>
    <w:p>
      <w:pPr>
        <w:spacing w:before="120" w:after="120" w:line="288" w:lineRule="auto"/>
        <w:ind w:left="0" w:firstLine="420"/>
        <w:jc w:val="left"/>
      </w:pPr>
      <w:r>
        <w:rPr>
          <w:rFonts w:eastAsia="等线" w:ascii="Arial" w:cs="Arial" w:hAnsi="Arial"/>
          <w:sz w:val="22"/>
        </w:rPr>
        <w:t>6.2.6 XID：Account经理账户下的独立子账户。</w:t>
      </w:r>
    </w:p>
    <w:p>
      <w:pPr>
        <w:spacing w:before="120" w:after="120" w:line="288" w:lineRule="auto"/>
        <w:ind w:left="0" w:firstLine="420"/>
        <w:jc w:val="left"/>
      </w:pPr>
      <w:r>
        <w:rPr>
          <w:rFonts w:eastAsia="等线" w:ascii="Arial" w:cs="Arial" w:hAnsi="Arial"/>
          <w:sz w:val="22"/>
        </w:rPr>
        <w:t>6.2.7 Domain：广告投放链接。</w:t>
      </w:r>
    </w:p>
    <w:p>
      <w:pPr>
        <w:spacing w:before="120" w:after="120" w:line="288" w:lineRule="auto"/>
        <w:ind w:left="0" w:firstLine="420"/>
        <w:jc w:val="left"/>
      </w:pPr>
      <w:r>
        <w:rPr>
          <w:rFonts w:eastAsia="等线" w:ascii="Arial" w:cs="Arial" w:hAnsi="Arial"/>
          <w:sz w:val="22"/>
        </w:rPr>
        <w:t>6.3 套利及联盟账户Affiliate Account: 指通过代理购买微软广告服务的客户，其目的是为了推广或营销他人的产品或服务，具体账户的判定以媒体不时更新的为准。</w:t>
      </w:r>
    </w:p>
    <w:p>
      <w:pPr>
        <w:spacing w:before="120" w:after="120" w:line="288" w:lineRule="auto"/>
        <w:ind w:left="0" w:firstLine="420"/>
        <w:jc w:val="left"/>
      </w:pPr>
      <w:r>
        <w:rPr>
          <w:rFonts w:eastAsia="等线" w:ascii="Arial" w:cs="Arial" w:hAnsi="Arial"/>
          <w:sz w:val="22"/>
        </w:rPr>
        <w:t>6.4如甲方在任何一个月出现违规消耗导致账户被封或者被媒体判定为低质量广告的，则该XID整年均无返点。</w:t>
      </w:r>
    </w:p>
    <w:p>
      <w:pPr>
        <w:spacing w:before="120" w:after="120" w:line="288" w:lineRule="auto"/>
        <w:ind w:left="0" w:firstLine="420"/>
        <w:jc w:val="left"/>
      </w:pPr>
      <w:r>
        <w:rPr>
          <w:rFonts w:eastAsia="等线" w:ascii="Arial" w:cs="Arial" w:hAnsi="Arial"/>
          <w:sz w:val="22"/>
        </w:rPr>
        <w:t>6.5如甲方已在其它代理处开设XID，后续又在乙方处开设新的XID，如两个XID投放的Domain一致，则甲方在乙方处无法获得新客返点。</w:t>
      </w:r>
    </w:p>
    <w:p>
      <w:pPr>
        <w:spacing w:before="120" w:after="120" w:line="288" w:lineRule="auto"/>
        <w:ind w:left="0" w:firstLine="420"/>
        <w:jc w:val="left"/>
      </w:pPr>
      <w:r>
        <w:rPr>
          <w:rFonts w:eastAsia="等线" w:ascii="Arial" w:cs="Arial" w:hAnsi="Arial"/>
          <w:sz w:val="22"/>
        </w:rPr>
        <w:t>6.6基础返点、新客返点、高质量新客返点和额外激励可叠加取得。甲方被媒体认定为新客的返点最多可以领取一年；如甲方被认定为高质量新客的，则可以在新客返点的基础上叠加额外返点，但该额外返点最多只能领取半年。</w:t>
      </w:r>
    </w:p>
    <w:p>
      <w:pPr>
        <w:spacing w:before="120" w:after="120" w:line="288" w:lineRule="auto"/>
        <w:ind w:left="0" w:firstLine="420"/>
        <w:jc w:val="left"/>
      </w:pP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2.5 </w:t>
      </w:r>
      <w:r>
        <w:rPr>
          <w:rFonts w:eastAsia="等线" w:ascii="Arial" w:cs="Arial" w:hAnsi="Arial"/>
          <w:b w:val="true"/>
          <w:sz w:val="30"/>
        </w:rPr>
        <w:t>Amazon</w:t>
      </w:r>
      <w:bookmarkEnd w:id="11"/>
    </w:p>
    <w:p>
      <w:pPr>
        <w:spacing w:before="120" w:after="120" w:line="288" w:lineRule="auto"/>
        <w:ind w:left="0" w:firstLine="420"/>
        <w:jc w:val="left"/>
      </w:pPr>
      <w:r>
        <w:rPr>
          <w:rFonts w:eastAsia="等线" w:ascii="Arial" w:cs="Arial" w:hAnsi="Arial"/>
          <w:sz w:val="22"/>
        </w:rPr>
        <w:t>7.1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7.2双方确认按照如下返点计算：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805"/>
        <w:gridCol w:w="2655"/>
      </w:tblGrid>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投放地区</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Self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7.2.1 Self Service：指可以通过DSP后台投出去的广告形式，其中包括但不限于Prime video\Twitch\Fire Tablet中的部分广告类型。</w:t>
      </w:r>
    </w:p>
    <w:p>
      <w:pPr>
        <w:spacing w:before="120" w:after="120" w:line="288" w:lineRule="auto"/>
        <w:ind w:left="0" w:firstLine="420"/>
        <w:jc w:val="left"/>
      </w:pPr>
      <w:r>
        <w:rPr>
          <w:rFonts w:eastAsia="等线" w:ascii="Arial" w:cs="Arial" w:hAnsi="Arial"/>
          <w:sz w:val="22"/>
        </w:rPr>
        <w:t>7.2.2 Managed Service：指除Self Service类型以外的广告形式。</w:t>
      </w:r>
    </w:p>
    <w:p>
      <w:pPr>
        <w:spacing w:before="120" w:after="120" w:line="288" w:lineRule="auto"/>
        <w:ind w:left="0" w:firstLine="420"/>
        <w:jc w:val="left"/>
      </w:pPr>
      <w:r>
        <w:rPr>
          <w:rFonts w:eastAsia="等线" w:ascii="Arial" w:cs="Arial" w:hAnsi="Arial"/>
          <w:sz w:val="22"/>
        </w:rPr>
        <w:t>7.3 甲方确认，如甲方在媒体的Block list（大型客户名单）中，则无任何返点奖励。</w:t>
      </w:r>
    </w:p>
    <w:p>
      <w:pPr>
        <w:spacing w:before="120" w:after="120" w:line="288" w:lineRule="auto"/>
        <w:ind w:left="0" w:firstLine="420"/>
        <w:jc w:val="left"/>
      </w:pPr>
      <w:r>
        <w:rPr>
          <w:rFonts w:eastAsia="等线" w:ascii="Arial" w:cs="Arial" w:hAnsi="Arial"/>
          <w:sz w:val="22"/>
        </w:rPr>
        <w:t>7.4 上述广告类型/形式以及Block list的具体判定，会实时更新，最终均以Amazon媒体判定为准。</w:t>
      </w:r>
    </w:p>
    <w:p>
      <w:pPr>
        <w:spacing w:before="120" w:after="120" w:line="288" w:lineRule="auto"/>
        <w:ind w:left="0" w:firstLine="420"/>
        <w:jc w:val="left"/>
      </w:pPr>
      <w:r>
        <w:rPr>
          <w:rFonts w:eastAsia="等线" w:ascii="Arial" w:cs="Arial" w:hAnsi="Arial"/>
          <w:sz w:val="22"/>
        </w:rPr>
        <w:t>7.5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2.6 </w:t>
      </w:r>
      <w:r>
        <w:rPr>
          <w:rFonts w:eastAsia="等线" w:ascii="Arial" w:cs="Arial" w:hAnsi="Arial"/>
          <w:b w:val="true"/>
          <w:sz w:val="30"/>
        </w:rPr>
        <w:t>Applovin</w:t>
      </w:r>
      <w:bookmarkEnd w:id="12"/>
    </w:p>
    <w:p>
      <w:pPr>
        <w:spacing w:before="120" w:after="120" w:line="288" w:lineRule="auto"/>
        <w:ind w:left="0" w:firstLine="420"/>
        <w:jc w:val="left"/>
      </w:pPr>
      <w:r>
        <w:rPr>
          <w:rFonts w:eastAsia="等线" w:ascii="Arial" w:cs="Arial" w:hAnsi="Arial"/>
          <w:sz w:val="22"/>
        </w:rPr>
        <w:t>8.1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8.2 如甲方选择自投，则双方确认按照如下返点计算：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8.3 如甲方选择代投，则双方确认按照如下服务费计算：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服务费比例(%)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8.4 甲方需要向乙方额外支付当月广告投放总消耗金额的【 】%作为服务费，该服务费用与当月广告消耗费用按约定账期一同结算。</w:t>
      </w:r>
    </w:p>
    <w:p>
      <w:pPr>
        <w:spacing w:before="120" w:after="120" w:line="288" w:lineRule="auto"/>
        <w:ind w:left="0" w:firstLine="420"/>
        <w:jc w:val="left"/>
      </w:pPr>
      <w:r>
        <w:rPr>
          <w:rFonts w:eastAsia="等线" w:ascii="Arial" w:cs="Arial" w:hAnsi="Arial"/>
          <w:sz w:val="22"/>
        </w:rPr>
        <w:t>8.5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420"/>
        <w:jc w:val="left"/>
      </w:pPr>
      <w:r>
        <w:rPr>
          <w:rFonts w:eastAsia="等线" w:ascii="Arial" w:cs="Arial" w:hAnsi="Arial"/>
          <w:sz w:val="22"/>
        </w:rPr>
        <w:t>8.6如甲方选择代投方式，则甲方无权使用和操作代投广告账户，否则该账户因此导致的所有费用或消耗，均需由甲方自行承担。</w:t>
      </w:r>
    </w:p>
    <w:p>
      <w:pPr>
        <w:spacing w:before="120" w:after="120" w:line="288" w:lineRule="auto"/>
        <w:ind w:left="0" w:firstLine="420"/>
        <w:jc w:val="left"/>
      </w:pPr>
      <w:r>
        <w:rPr>
          <w:rFonts w:eastAsia="等线" w:ascii="Arial" w:cs="Arial" w:hAnsi="Arial"/>
          <w:sz w:val="22"/>
        </w:rPr>
        <w:t>8.7 甲方明确并同意，媒体给予的任何折扣、优惠券、Coupon等，均不享受返点。</w:t>
      </w:r>
    </w:p>
    <w:p>
      <w:pPr>
        <w:spacing w:before="120" w:after="120" w:line="288" w:lineRule="auto"/>
        <w:ind w:left="0" w:firstLine="420"/>
        <w:jc w:val="left"/>
      </w:pPr>
      <w:r>
        <w:rPr>
          <w:rFonts w:eastAsia="等线" w:ascii="Arial" w:cs="Arial" w:hAnsi="Arial"/>
          <w:sz w:val="22"/>
        </w:rPr>
        <w:t>8.8 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2.7 </w:t>
      </w:r>
      <w:r>
        <w:rPr>
          <w:rFonts w:eastAsia="等线" w:ascii="Arial" w:cs="Arial" w:hAnsi="Arial"/>
          <w:b w:val="true"/>
          <w:sz w:val="30"/>
        </w:rPr>
        <w:t>Pinterest</w:t>
      </w:r>
      <w:bookmarkEnd w:id="13"/>
    </w:p>
    <w:p>
      <w:pPr>
        <w:spacing w:before="120" w:after="120" w:line="288" w:lineRule="auto"/>
        <w:ind w:left="0" w:firstLine="420"/>
        <w:jc w:val="left"/>
      </w:pPr>
      <w:r>
        <w:rPr>
          <w:rFonts w:eastAsia="等线" w:ascii="Arial" w:cs="Arial" w:hAnsi="Arial"/>
          <w:sz w:val="22"/>
        </w:rPr>
        <w:t>9.1 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420"/>
        <w:jc w:val="left"/>
      </w:pPr>
      <w:r>
        <w:rPr>
          <w:rFonts w:eastAsia="等线" w:ascii="Arial" w:cs="Arial" w:hAnsi="Arial"/>
          <w:sz w:val="22"/>
        </w:rPr>
        <w:t>9.2 如甲方选择投放如下地区/国家的，则双方确认按照如下返点计算：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80"/>
        <w:gridCol w:w="1500"/>
      </w:tblGrid>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地区/国家</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美国、阿根廷, 澳大利亚, 奥地利, 比利时, 巴西, 加拿大, 智利, 哥伦比亚, 丹麦, 芬兰, 法国, 德国, 爱尔兰, 意大利, 日本, 卢森堡, 墨西哥, 荷兰, 新西兰, 挪威, 葡萄牙, 西班牙, 瑞典, 瑞士, 英国</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阿尔及利亚、巴林、保加利亚、哥斯达黎加、克罗地亚、塞浦路斯、捷克、多米尼加共和国、厄瓜多尔、埃及、爱沙尼亚、希腊、危地马拉、中国香港、匈牙利、印度、印度尼西亚、伊拉克、以色列、科威特、拉脱维亚、立陶宛、马来西亚、马耳他、摩洛哥、尼日利亚、北马其顿共和国、阿曼、巴基斯坦、秘鲁、菲律宾、波兰、波多黎各、卡塔尔、罗马尼亚、沙特阿拉伯、塞尔维亚、新加坡、斯洛伐克、南非、韩国、中国台湾、泰国、土耳其、阿拉伯联合酋长国、越南</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9.3以上地区/国家的划分、返点金额比例及媒体政策要求，最终以Pinterest实时更新的为准。</w:t>
      </w:r>
    </w:p>
    <w:p>
      <w:pPr>
        <w:pStyle w:val="3"/>
        <w:spacing w:before="300" w:after="120" w:line="288" w:lineRule="auto"/>
        <w:ind w:left="0"/>
        <w:jc w:val="left"/>
        <w:outlineLvl w:val="2"/>
      </w:pPr>
      <w:bookmarkStart w:name="heading_14" w:id="14"/>
      <w:r>
        <w:rPr>
          <w:rFonts w:eastAsia="等线" w:ascii="Arial" w:cs="Arial" w:hAnsi="Arial"/>
          <w:b w:val="true"/>
          <w:sz w:val="30"/>
        </w:rPr>
        <w:t>9.4甲方已悉知针对Pinterest不提供返点部分的消耗金额或因Pinterest单方面决定不给予返点的，乙方也有权不向甲方提供任何返点，如乙方预先已提供的部分，则有权在下次结算时收回。</w:t>
      </w:r>
      <w:bookmarkEnd w:id="14"/>
    </w:p>
    <w:p>
      <w:pPr>
        <w:spacing w:before="120" w:after="120" w:line="288" w:lineRule="auto"/>
        <w:ind w:left="0" w:firstLine="0"/>
        <w:jc w:val="left"/>
      </w:pPr>
    </w:p>
    <w:p>
      <w:pPr>
        <w:pStyle w:val="4"/>
        <w:spacing w:before="260" w:after="120" w:line="288" w:lineRule="auto"/>
        <w:ind w:left="0"/>
        <w:jc w:val="left"/>
        <w:outlineLvl w:val="3"/>
      </w:pPr>
      <w:bookmarkStart w:name="heading_15" w:id="15"/>
      <w:r>
        <w:rPr>
          <w:rFonts w:eastAsia="等线" w:ascii="Arial" w:cs="Arial" w:hAnsi="Arial"/>
          <w:b w:val="true"/>
          <w:sz w:val="28"/>
        </w:rPr>
        <w:t>四、新增媒体平台代投政策</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1. 如甲方委托乙方在媒体平台代投广告的，甲方每月应额外向乙方支付的代投服务费情况如下：</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90"/>
        <w:gridCol w:w="4590"/>
      </w:tblGrid>
      <w:tr>
        <w:tc>
          <w:tcPr>
            <w:tcW w:w="3690" w:type="dxa"/>
            <w:tcMar>
              <w:top w:type="dxa" w:w="60"/>
              <w:left w:type="dxa" w:w="120"/>
              <w:bottom w:type="dxa" w:w="30"/>
              <w:right w:type="dxa" w:w="120"/>
            </w:tcMar>
          </w:tcPr>
          <w:p>
            <w:pPr>
              <w:pStyle w:val="4"/>
              <w:spacing w:before="260" w:after="120" w:line="288" w:lineRule="auto"/>
              <w:ind w:left="0"/>
              <w:jc w:val="center"/>
              <w:outlineLvl w:val="3"/>
            </w:pPr>
            <w:bookmarkStart w:name="heading_17" w:id="17"/>
            <w:r>
              <w:rPr>
                <w:rFonts w:eastAsia="等线" w:ascii="Arial" w:cs="Arial" w:hAnsi="Arial"/>
                <w:b w:val="true"/>
                <w:sz w:val="28"/>
              </w:rPr>
              <w:t>媒体</w:t>
            </w:r>
            <w:bookmarkEnd w:id="17"/>
          </w:p>
        </w:tc>
        <w:tc>
          <w:tcPr>
            <w:tcW w:w="4590" w:type="dxa"/>
            <w:tcMar>
              <w:top w:type="dxa" w:w="60"/>
              <w:left w:type="dxa" w:w="120"/>
              <w:bottom w:type="dxa" w:w="30"/>
              <w:right w:type="dxa" w:w="120"/>
            </w:tcMar>
          </w:tcPr>
          <w:p>
            <w:pPr>
              <w:pStyle w:val="4"/>
              <w:spacing w:before="260" w:after="120" w:line="288" w:lineRule="auto"/>
              <w:ind w:left="0"/>
              <w:jc w:val="center"/>
              <w:outlineLvl w:val="3"/>
            </w:pPr>
            <w:bookmarkStart w:name="heading_18" w:id="18"/>
            <w:r>
              <w:rPr>
                <w:rFonts w:eastAsia="等线" w:ascii="Arial" w:cs="Arial" w:hAnsi="Arial"/>
                <w:b w:val="true"/>
                <w:sz w:val="28"/>
              </w:rPr>
              <w:t>代投服务费比例(%)</w:t>
            </w:r>
            <w:bookmarkEnd w:id="18"/>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19" w:id="19"/>
            <w:bookmarkEnd w:id="19"/>
          </w:p>
        </w:tc>
        <w:tc>
          <w:tcPr>
            <w:tcW w:w="4590" w:type="dxa"/>
            <w:vMerge w:val="restart"/>
            <w:tcMar>
              <w:top w:type="dxa" w:w="60"/>
              <w:left w:type="dxa" w:w="120"/>
              <w:bottom w:type="dxa" w:w="30"/>
              <w:right w:type="dxa" w:w="120"/>
            </w:tcMar>
          </w:tcPr>
          <w:p>
            <w:pPr>
              <w:pStyle w:val="4"/>
              <w:spacing w:before="260" w:after="120" w:line="288" w:lineRule="auto"/>
              <w:ind w:left="0"/>
              <w:jc w:val="left"/>
              <w:outlineLvl w:val="3"/>
            </w:pPr>
            <w:bookmarkStart w:name="heading_20" w:id="20"/>
            <w:bookmarkEnd w:id="20"/>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21" w:id="21"/>
            <w:bookmarkEnd w:id="21"/>
          </w:p>
        </w:tc>
        <w:tc>
          <w:tcPr>
            <w:tcW w:w="4590" w:type="dxa"/>
            <w:vMerge w:val="continue"/>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22" w:id="22"/>
      <w:r>
        <w:rPr>
          <w:rFonts w:eastAsia="等线" w:ascii="Arial" w:cs="Arial" w:hAnsi="Arial"/>
          <w:color w:val="3370ff"/>
          <w:sz w:val="28"/>
        </w:rPr>
        <w:t xml:space="preserve">2.7.1 </w:t>
      </w:r>
      <w:r>
        <w:rPr>
          <w:rFonts w:eastAsia="等线" w:ascii="Arial" w:cs="Arial" w:hAnsi="Arial"/>
          <w:b w:val="true"/>
          <w:sz w:val="28"/>
        </w:rPr>
        <w:t>代投服务费的最低标准为每月【2500】美元。代投服务费可按固定金额或投放金额比例计算，若两者金额不一致，则以较高者为准。若按比例计算结果低于【2500】美元，则乙方有权按最低标准收取代投服务费。</w:t>
      </w:r>
      <w:bookmarkEnd w:id="22"/>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2.7.2 </w:t>
      </w:r>
      <w:r>
        <w:rPr>
          <w:rFonts w:eastAsia="等线" w:ascii="Arial" w:cs="Arial" w:hAnsi="Arial"/>
          <w:b w:val="true"/>
          <w:sz w:val="28"/>
        </w:rPr>
        <w:t>代投服务费独立于本合同项下的返点政策，与甲方是否取得返点及返点金额无关。返点为媒体激励返还，代投服务费为乙方提供广告优化、投放及账户管理等服务的对价，二者可并行执行。</w:t>
      </w:r>
      <w:bookmarkEnd w:id="23"/>
    </w:p>
    <w:p>
      <w:pPr>
        <w:pStyle w:val="4"/>
        <w:spacing w:before="260" w:after="120" w:line="288" w:lineRule="auto"/>
        <w:ind w:left="0"/>
        <w:jc w:val="left"/>
        <w:outlineLvl w:val="3"/>
      </w:pPr>
      <w:bookmarkStart w:name="heading_24" w:id="24"/>
      <w:bookmarkEnd w:id="24"/>
    </w:p>
    <w:p>
      <w:pPr>
        <w:pStyle w:val="4"/>
        <w:spacing w:before="260" w:after="120" w:line="288" w:lineRule="auto"/>
        <w:ind w:left="0"/>
        <w:jc w:val="left"/>
        <w:outlineLvl w:val="3"/>
      </w:pPr>
      <w:bookmarkStart w:name="heading_25" w:id="25"/>
      <w:r>
        <w:rPr>
          <w:rFonts w:eastAsia="等线" w:ascii="Arial" w:cs="Arial" w:hAnsi="Arial"/>
          <w:b w:val="true"/>
          <w:sz w:val="28"/>
        </w:rPr>
        <w:t>五、新增媒体平台结算方式</w:t>
      </w:r>
      <w:bookmarkEnd w:id="25"/>
    </w:p>
    <w:p>
      <w:pPr>
        <w:pStyle w:val="4"/>
        <w:spacing w:before="260" w:after="120" w:line="288" w:lineRule="auto"/>
        <w:ind w:left="0"/>
        <w:jc w:val="left"/>
        <w:outlineLvl w:val="3"/>
      </w:pPr>
      <w:bookmarkStart w:name="heading_26" w:id="26"/>
      <w:r>
        <w:rPr>
          <w:rFonts w:eastAsia="等线" w:ascii="Arial" w:cs="Arial" w:hAnsi="Arial"/>
          <w:b w:val="true"/>
          <w:sz w:val="28"/>
        </w:rPr>
        <w:t>1. 广告发布费用和服务费的结算方式</w:t>
      </w:r>
      <w:bookmarkEnd w:id="26"/>
    </w:p>
    <w:p>
      <w:pPr>
        <w:pStyle w:val="4"/>
        <w:spacing w:before="260" w:after="120" w:line="288" w:lineRule="auto"/>
        <w:ind w:left="0"/>
        <w:jc w:val="left"/>
        <w:outlineLvl w:val="3"/>
      </w:pPr>
      <w:bookmarkStart w:name="heading_27" w:id="27"/>
      <w:r>
        <w:rPr>
          <w:rFonts w:eastAsia="等线" w:ascii="Arial" w:cs="Arial" w:hAnsi="Arial"/>
          <w:b w:val="true"/>
          <w:sz w:val="28"/>
        </w:rPr>
        <w:t>1.1.甲方同意按照如下第【】种方式支付广告发布费用和服务费用</w:t>
      </w:r>
      <w:bookmarkEnd w:id="27"/>
    </w:p>
    <w:p>
      <w:pPr>
        <w:numPr>
          <w:numId w:val="105"/>
        </w:numPr>
        <w:spacing w:before="120" w:after="120" w:line="288" w:lineRule="auto"/>
        <w:ind w:left="0"/>
        <w:jc w:val="left"/>
      </w:pPr>
      <w:r>
        <w:rPr>
          <w:rFonts w:eastAsia="等线" w:ascii="Arial" w:cs="Arial" w:hAnsi="Arial"/>
          <w:sz w:val="22"/>
          <w:u w:val="single"/>
        </w:rPr>
        <w:t>预付费</w:t>
      </w:r>
    </w:p>
    <w:p>
      <w:pPr>
        <w:spacing w:before="120" w:after="120" w:line="288" w:lineRule="auto"/>
        <w:ind w:left="0" w:firstLine="420"/>
        <w:jc w:val="left"/>
      </w:pPr>
      <w:r>
        <w:rPr>
          <w:rFonts w:eastAsia="等线" w:ascii="Arial" w:cs="Arial" w:hAnsi="Arial"/>
          <w:sz w:val="22"/>
        </w:rPr>
        <w:t>甲方应按照双方约定的时间将费用（该费用包含服务费用）支付至乙方指定账户，乙方为甲方开具同等金额的invoice。乙方收到费用后为甲方提供合同约定的服务并按照自然月向甲方确认当月消耗金额。乙方将甲方在各媒体平台上投放的结算金额及税费明细提供给甲方后，甲方应在收到后24小时内回复，若甲方未在上述时间内回复视为甲方确认结算金额及税费明细的内容（具体结算金额及税费明细以乙方向甲方提供的邮件/其他书面文件上的内容为准）。因媒体平台或系统操作或甲方自行操作等问题，导致甲方投放费用高于实际预付款项的，双方应以每月实际消耗金额为准进行对账，超出预付款金额的部分，甲方需要在乙方发出通知后的5个工作日内全额支付。</w:t>
      </w:r>
    </w:p>
    <w:p>
      <w:pPr>
        <w:numPr>
          <w:numId w:val="106"/>
        </w:numPr>
        <w:spacing w:before="120" w:after="120" w:line="288" w:lineRule="auto"/>
        <w:ind w:left="453"/>
        <w:jc w:val="left"/>
      </w:pPr>
      <w:r>
        <w:rPr>
          <w:rFonts w:eastAsia="等线" w:ascii="Arial" w:cs="Arial" w:hAnsi="Arial"/>
          <w:sz w:val="22"/>
          <w:u w:val="single"/>
        </w:rPr>
        <w:t>后付费</w:t>
      </w:r>
    </w:p>
    <w:p>
      <w:pPr>
        <w:spacing w:before="120" w:after="120" w:line="288" w:lineRule="auto"/>
        <w:ind w:left="0" w:firstLine="420"/>
        <w:jc w:val="left"/>
      </w:pPr>
      <w:r>
        <w:rPr>
          <w:rFonts w:eastAsia="等线" w:ascii="Arial" w:cs="Arial" w:hAnsi="Arial"/>
          <w:sz w:val="22"/>
        </w:rPr>
        <w:t>乙方在每自然月结束后的10个自然日内将该自然月甲方在各媒体平台上投放的结算金额及税费明细提供给甲方。甲方应在收到后24小时内回复，若甲方未在上述时间内回复视为甲方确认结算金额及税费明细的内容（具体结算金额及税费明细以乙方向甲方提供的邮件/其他书面文件上的内容为准）。乙方将根据实际结算费用向甲方提供相应的invoice。</w:t>
      </w:r>
    </w:p>
    <w:p>
      <w:pPr>
        <w:spacing w:before="120" w:after="120" w:line="288" w:lineRule="auto"/>
        <w:ind w:left="0" w:firstLine="420"/>
        <w:jc w:val="left"/>
      </w:pPr>
      <w:r>
        <w:rPr>
          <w:rFonts w:eastAsia="等线" w:ascii="Arial" w:cs="Arial" w:hAnsi="Arial"/>
          <w:b w:val="true"/>
          <w:sz w:val="22"/>
        </w:rPr>
        <w:t>账期：甲方在【】媒体平台进行的广告投放，甲方应于每自然月结束后的【】个自然日内将该自然月的结算费用汇入乙方指定账户，甲方支付的上述广告费用及服务费用应包含所有税费、手续费、各项代扣代缴税费等。</w:t>
      </w:r>
    </w:p>
    <w:p>
      <w:pPr>
        <w:numPr>
          <w:numId w:val="107"/>
        </w:numPr>
        <w:spacing w:before="120" w:after="120" w:line="288" w:lineRule="auto"/>
        <w:ind w:left="453"/>
        <w:jc w:val="left"/>
      </w:pPr>
      <w:r>
        <w:rPr>
          <w:rFonts w:eastAsia="等线" w:ascii="Arial" w:cs="Arial" w:hAnsi="Arial"/>
          <w:sz w:val="22"/>
          <w:u w:val="single"/>
        </w:rPr>
        <w:t>预付费+后付费</w:t>
      </w:r>
    </w:p>
    <w:p>
      <w:pPr>
        <w:numPr>
          <w:numId w:val="108"/>
        </w:numPr>
        <w:spacing w:before="120" w:after="120" w:line="288" w:lineRule="auto"/>
        <w:ind w:left="907"/>
        <w:jc w:val="left"/>
      </w:pPr>
      <w:r>
        <w:rPr>
          <w:rFonts w:eastAsia="等线" w:ascii="Arial" w:cs="Arial" w:hAnsi="Arial"/>
          <w:sz w:val="22"/>
        </w:rPr>
        <w:t>甲方在【Yahoo-非日本、Naver、BING、Mytarget、Kakao、Google-海外账户】媒体平台进行的广告投放的应按照上述“a) 预付费”条款约定的对账方式和相关内容，预先将广告费用支付给乙方指定账户。</w:t>
      </w:r>
    </w:p>
    <w:p>
      <w:pPr>
        <w:numPr>
          <w:numId w:val="109"/>
        </w:numPr>
        <w:spacing w:before="120" w:after="120" w:line="288" w:lineRule="auto"/>
        <w:ind w:left="907"/>
        <w:jc w:val="left"/>
      </w:pPr>
      <w:r>
        <w:rPr>
          <w:rFonts w:eastAsia="等线" w:ascii="Arial" w:cs="Arial" w:hAnsi="Arial"/>
          <w:b w:val="true"/>
          <w:sz w:val="22"/>
        </w:rPr>
        <w:t>账期：甲方在【】媒体平台进行的广告投放的，应按照上述“b) 后付费”条款约定的对账方式和相关内容支付广告费用。甲方应于每自然月结束后的【】个自然日内将该自然月的结算费用汇入乙方指定账户，甲方支付的上述广告费用及服务费用应包含所有税费、手续费、各项代扣代缴税费等。</w:t>
      </w:r>
    </w:p>
    <w:p>
      <w:pPr>
        <w:pStyle w:val="4"/>
        <w:spacing w:before="260" w:after="120" w:line="288" w:lineRule="auto"/>
        <w:ind w:left="0"/>
        <w:jc w:val="left"/>
        <w:outlineLvl w:val="3"/>
      </w:pPr>
      <w:bookmarkStart w:name="heading_28" w:id="28"/>
      <w:r>
        <w:rPr>
          <w:rFonts w:eastAsia="等线" w:ascii="Arial" w:cs="Arial" w:hAnsi="Arial"/>
          <w:b w:val="true"/>
          <w:sz w:val="28"/>
        </w:rPr>
        <w:t>1.2. 如甲方在按月付款期间平均日消耗低于1500美元／天，乙方有权要求甲方从次月开按照预付款方式结算费用。甲方延迟付款的，乙方有权暂停、终止投放，由此产生的一切法律责任及损失由甲方自行承担。</w:t>
      </w:r>
      <w:bookmarkEnd w:id="28"/>
    </w:p>
    <w:p>
      <w:pPr>
        <w:pStyle w:val="4"/>
        <w:spacing w:before="260" w:after="120" w:line="288" w:lineRule="auto"/>
        <w:ind w:left="0"/>
        <w:jc w:val="left"/>
        <w:outlineLvl w:val="3"/>
      </w:pPr>
      <w:bookmarkStart w:name="heading_29" w:id="29"/>
      <w:bookmarkEnd w:id="29"/>
    </w:p>
    <w:p>
      <w:pPr>
        <w:pStyle w:val="4"/>
        <w:spacing w:before="260" w:after="120" w:line="288" w:lineRule="auto"/>
        <w:ind w:left="0"/>
        <w:jc w:val="left"/>
        <w:outlineLvl w:val="3"/>
      </w:pPr>
      <w:bookmarkStart w:name="heading_30" w:id="30"/>
      <w:r>
        <w:rPr>
          <w:rFonts w:eastAsia="等线" w:ascii="Arial" w:cs="Arial" w:hAnsi="Arial"/>
          <w:b w:val="true"/>
          <w:sz w:val="28"/>
        </w:rPr>
        <w:t>2. 返点结算方式</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1. 双方同意按照如下第【】种方式支付返点金额：</w:t>
      </w:r>
      <w:bookmarkEnd w:id="31"/>
    </w:p>
    <w:p>
      <w:pPr>
        <w:pStyle w:val="4"/>
        <w:spacing w:before="260" w:after="120" w:line="288" w:lineRule="auto"/>
        <w:ind w:left="0"/>
        <w:jc w:val="left"/>
        <w:outlineLvl w:val="3"/>
      </w:pPr>
      <w:bookmarkStart w:name="heading_32" w:id="32"/>
      <w:r>
        <w:rPr>
          <w:rFonts w:eastAsia="等线" w:ascii="Arial" w:cs="Arial" w:hAnsi="Arial"/>
          <w:b w:val="true"/>
          <w:sz w:val="28"/>
        </w:rPr>
        <w:t>1).返点金额支付至甲方银行账号</w:t>
      </w:r>
      <w:bookmarkEnd w:id="32"/>
    </w:p>
    <w:p>
      <w:pPr>
        <w:spacing w:before="120" w:after="120" w:line="288" w:lineRule="auto"/>
        <w:ind w:left="0" w:firstLine="420"/>
        <w:jc w:val="left"/>
      </w:pPr>
      <w:r>
        <w:rPr>
          <w:rFonts w:eastAsia="等线" w:ascii="Arial" w:cs="Arial" w:hAnsi="Arial"/>
          <w:sz w:val="22"/>
        </w:rPr>
        <w:t>甲方的银行账户信息如下：</w:t>
      </w:r>
    </w:p>
    <w:p>
      <w:pPr>
        <w:spacing w:before="120" w:after="120" w:line="288" w:lineRule="auto"/>
        <w:ind w:left="0" w:firstLine="420"/>
        <w:jc w:val="left"/>
      </w:pPr>
      <w:r>
        <w:rPr>
          <w:rFonts w:eastAsia="等线" w:ascii="Arial" w:cs="Arial" w:hAnsi="Arial"/>
          <w:sz w:val="22"/>
        </w:rPr>
        <w:t>户 名：</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开户行：</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银行地址：</w:t>
      </w:r>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此种返点结算方式适用于年度返点媒体，包含本次合同约定的【 】媒体投放。</w:t>
      </w:r>
    </w:p>
    <w:p>
      <w:pPr>
        <w:pStyle w:val="4"/>
        <w:spacing w:before="260" w:after="120" w:line="288" w:lineRule="auto"/>
        <w:ind w:left="0"/>
        <w:jc w:val="left"/>
        <w:outlineLvl w:val="3"/>
      </w:pPr>
      <w:bookmarkStart w:name="heading_33" w:id="33"/>
      <w:r>
        <w:rPr>
          <w:rFonts w:eastAsia="等线" w:ascii="Arial" w:cs="Arial" w:hAnsi="Arial"/>
          <w:b w:val="true"/>
          <w:sz w:val="28"/>
        </w:rPr>
        <w:t>2).返点金额支付至甲方媒体账户</w:t>
      </w:r>
      <w:bookmarkEnd w:id="33"/>
    </w:p>
    <w:p>
      <w:pPr>
        <w:spacing w:before="120" w:after="120" w:line="288" w:lineRule="auto"/>
        <w:ind w:left="0" w:firstLine="420"/>
        <w:jc w:val="left"/>
      </w:pPr>
      <w:r>
        <w:rPr>
          <w:rFonts w:eastAsia="等线" w:ascii="Arial" w:cs="Arial" w:hAnsi="Arial"/>
          <w:sz w:val="22"/>
        </w:rPr>
        <w:t>a. 返点金额按季度结算。返点金额经双方核对确认无误后，乙方收到甲方交付的合规有效的Invoice之日起【】个工作日内支付返点金额到甲方的媒体账户中，甲方应负责因此发生的转账手续费用。包含本次合同约定的【 】媒体投放。</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支付至甲方的媒体账户中。此种返点结算方式适用于年度返点媒体，包含本次合同约定的【 】媒体投放</w:t>
      </w:r>
    </w:p>
    <w:p>
      <w:pPr>
        <w:pStyle w:val="4"/>
        <w:spacing w:before="260" w:after="120" w:line="288" w:lineRule="auto"/>
        <w:ind w:left="0"/>
        <w:jc w:val="left"/>
        <w:outlineLvl w:val="3"/>
      </w:pPr>
      <w:bookmarkStart w:name="heading_34" w:id="34"/>
      <w:r>
        <w:rPr>
          <w:rFonts w:eastAsia="等线" w:ascii="Arial" w:cs="Arial" w:hAnsi="Arial"/>
          <w:b w:val="true"/>
          <w:sz w:val="28"/>
        </w:rPr>
        <w:t>3). 返点金额在账单中进行抵扣结算</w:t>
      </w:r>
      <w:bookmarkEnd w:id="34"/>
    </w:p>
    <w:p>
      <w:pPr>
        <w:spacing w:before="120" w:after="120" w:line="288" w:lineRule="auto"/>
        <w:ind w:left="0" w:firstLine="420"/>
        <w:jc w:val="left"/>
      </w:pPr>
      <w:r>
        <w:rPr>
          <w:rFonts w:eastAsia="等线" w:ascii="Arial" w:cs="Arial" w:hAnsi="Arial"/>
          <w:sz w:val="22"/>
        </w:rPr>
        <w:t xml:space="preserve"> a.甲方返点金额在应付乙方的广告款中直接扣减。返点金额按季度结算，该季度返点金额于该季度返点确认完成后的首个账单中抵扣，包含本次合同约定的【 】媒体投放。</w:t>
      </w:r>
    </w:p>
    <w:p>
      <w:pPr>
        <w:spacing w:before="120" w:after="120" w:line="288" w:lineRule="auto"/>
        <w:ind w:left="0" w:firstLine="420"/>
        <w:jc w:val="left"/>
      </w:pPr>
      <w:r>
        <w:rPr>
          <w:rFonts w:eastAsia="等线" w:ascii="Arial" w:cs="Arial" w:hAnsi="Arial"/>
          <w:sz w:val="22"/>
        </w:rPr>
        <w:t>b. 乙方应在自然年度结束并收到媒体返点报告后，与甲方进行合同期间内产生的返点消耗进行核对。待双方数据确认后，乙方将返点金额汇入甲方银行账户或抵扣在次年度合作账单中。此种返点结算方式适用于年度返点媒体，包含本次合同约定的【 】媒体投放。</w:t>
      </w:r>
    </w:p>
    <w:p>
      <w:pPr>
        <w:spacing w:before="120" w:after="120" w:line="288" w:lineRule="auto"/>
        <w:ind w:left="0" w:firstLine="420"/>
        <w:jc w:val="left"/>
      </w:pPr>
      <w:r>
        <w:rPr>
          <w:rFonts w:eastAsia="等线" w:ascii="Arial" w:cs="Arial" w:hAnsi="Arial"/>
          <w:sz w:val="22"/>
        </w:rPr>
        <w:t>2. 返点结算时，甲方应向乙方交付正规的、符合乙方财务制度要求的Invoice。甲方交付的Invoice不符合要求的，乙方有权拒绝或延迟支付/扣减返点金额，直至收到有效Invoice为止，并且不承担逾期付款违约责任。</w:t>
      </w:r>
    </w:p>
    <w:p>
      <w:pPr>
        <w:spacing w:before="120" w:after="120" w:line="288" w:lineRule="auto"/>
        <w:ind w:left="0" w:firstLine="420"/>
        <w:jc w:val="left"/>
      </w:pPr>
      <w:r>
        <w:rPr>
          <w:rFonts w:eastAsia="等线" w:ascii="Arial" w:cs="Arial" w:hAnsi="Arial"/>
          <w:sz w:val="22"/>
        </w:rPr>
        <w:t>3. 在甲方选择后付广告费用的情形下，甲方明确知悉并同意：如甲方在该季度内任一笔款项未能按时且足额付款的，则乙方有权扣除该季度甲方应得全部返点；在此情形下若经协商乙方同意给予部分返点，则乙方有权将双方确认后的返点金额于次季度第三个月的账单进行抵扣或按照本条适用的其他支付方式进行支付。</w:t>
      </w:r>
    </w:p>
    <w:p>
      <w:pPr>
        <w:spacing w:before="120" w:after="120" w:line="288" w:lineRule="auto"/>
        <w:ind w:left="0" w:firstLine="420"/>
        <w:jc w:val="left"/>
      </w:pPr>
      <w:r>
        <w:rPr>
          <w:rFonts w:eastAsia="等线" w:ascii="Arial" w:cs="Arial" w:hAnsi="Arial"/>
          <w:sz w:val="22"/>
        </w:rPr>
        <w:t>4. 甲方对返点的计算和金额存在异议的，应当在收到返点对账单之日起15个自然日内书面通知乙方，否则视为甲方认可该笔返点的计算方式和金额。</w:t>
      </w:r>
    </w:p>
    <w:p>
      <w:pPr>
        <w:spacing w:before="120" w:after="120" w:line="288" w:lineRule="auto"/>
        <w:ind w:left="0" w:firstLine="420"/>
        <w:jc w:val="left"/>
      </w:pPr>
      <w:r>
        <w:rPr>
          <w:rFonts w:eastAsia="等线" w:ascii="Arial" w:cs="Arial" w:hAnsi="Arial"/>
          <w:sz w:val="22"/>
        </w:rPr>
        <w:t>5. 乙方在收到媒体支付的返点款项后，按照双方约定的返点结算方式与甲方进行结算。若媒体延迟支付返点款项，则乙方有权顺延与甲方进行返点结算的时间，直至收到该笔返点款项为止。</w:t>
      </w:r>
    </w:p>
    <w:p>
      <w:pPr>
        <w:spacing w:before="120" w:after="120" w:line="288" w:lineRule="auto"/>
        <w:ind w:left="0" w:firstLine="420"/>
        <w:jc w:val="left"/>
      </w:pPr>
    </w:p>
    <w:p>
      <w:pPr>
        <w:pStyle w:val="5"/>
        <w:spacing w:before="240" w:after="120" w:line="288" w:lineRule="auto"/>
        <w:ind w:left="0"/>
        <w:jc w:val="left"/>
        <w:outlineLvl w:val="4"/>
      </w:pPr>
      <w:bookmarkStart w:name="heading_35" w:id="35"/>
      <w:r>
        <w:rPr>
          <w:rFonts w:eastAsia="等线" w:ascii="Arial" w:cs="Arial" w:hAnsi="Arial"/>
          <w:b w:val="true"/>
          <w:sz w:val="24"/>
        </w:rPr>
        <w:t>六、政策调整</w:t>
      </w:r>
      <w:bookmarkEnd w:id="35"/>
    </w:p>
    <w:p>
      <w:pPr>
        <w:spacing w:before="120" w:after="120" w:line="288" w:lineRule="auto"/>
        <w:ind w:left="0" w:firstLine="420"/>
        <w:jc w:val="left"/>
      </w:pPr>
      <w:r>
        <w:rPr>
          <w:rFonts w:eastAsia="等线" w:ascii="Arial" w:cs="Arial" w:hAnsi="Arial"/>
          <w:sz w:val="22"/>
        </w:rPr>
        <w:t>1. 合作期限内，因媒体平台相关政策调整的，乙方有权相应调整给予甲方的返点比例。</w:t>
      </w:r>
    </w:p>
    <w:p>
      <w:pPr>
        <w:spacing w:before="120" w:after="120" w:line="288" w:lineRule="auto"/>
        <w:ind w:left="0" w:firstLine="420"/>
        <w:jc w:val="left"/>
      </w:pPr>
      <w:r>
        <w:rPr>
          <w:rFonts w:eastAsia="等线" w:ascii="Arial" w:cs="Arial" w:hAnsi="Arial"/>
          <w:sz w:val="22"/>
        </w:rPr>
        <w:t>2. 每季度或年度媒体给予乙方返点比例确定时，若媒体给予乙方的返点比例低于乙方给予甲方的返点比例，则乙方有权调整乙方给予甲方的返点比例。</w:t>
      </w:r>
    </w:p>
    <w:p>
      <w:pPr>
        <w:spacing w:before="120" w:after="120" w:line="288" w:lineRule="auto"/>
        <w:ind w:left="0" w:firstLine="420"/>
        <w:jc w:val="left"/>
      </w:pPr>
      <w:r>
        <w:rPr>
          <w:rFonts w:eastAsia="等线" w:ascii="Arial" w:cs="Arial" w:hAnsi="Arial"/>
          <w:sz w:val="22"/>
        </w:rPr>
        <w:t>3. 乙方向甲方提供的返点报告的数据以媒体提供为准，媒体数据报告为最终双方的计算依据。</w:t>
      </w:r>
    </w:p>
    <w:p>
      <w:pPr>
        <w:spacing w:before="120" w:after="120" w:line="288" w:lineRule="auto"/>
        <w:ind w:left="0" w:firstLine="0"/>
        <w:jc w:val="left"/>
      </w:pPr>
      <w:r>
        <w:rPr>
          <w:rFonts w:eastAsia="等线" w:ascii="Arial" w:cs="Arial" w:hAnsi="Arial"/>
          <w:b w:val="true"/>
          <w:sz w:val="22"/>
        </w:rPr>
        <w:t xml:space="preserve">七、原合同约定的其它内容不变，任何未尽事宜，以原合同约定为准，并本协议自甲、乙双方盖章完毕之日起生效。 </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sz w:val="22"/>
        </w:rPr>
        <w:t>八、本协议一式二份，双方各执一份，具有同等法律效力。</w:t>
      </w:r>
    </w:p>
    <w:p>
      <w:pPr>
        <w:spacing w:before="120" w:after="120" w:line="288" w:lineRule="auto"/>
        <w:ind w:left="0" w:firstLine="0"/>
        <w:jc w:val="left"/>
      </w:pPr>
      <w:r>
        <w:rPr>
          <w:rFonts w:eastAsia="等线" w:ascii="Arial" w:cs="Arial" w:hAnsi="Arial"/>
          <w:sz w:val="22"/>
        </w:rPr>
        <w:t>（以下无正文，为签字盖章页）</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甲方（签字/盖章：）                     乙方（签字/盖章：）</w:t>
      </w:r>
    </w:p>
    <w:p>
      <w:pPr>
        <w:spacing w:before="120" w:after="120" w:line="288" w:lineRule="auto"/>
        <w:ind w:left="0" w:firstLine="420"/>
        <w:jc w:val="left"/>
      </w:pP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签订日期：                             签订日期：</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9055">
    <w:lvl>
      <w:start w:val="1"/>
      <w:numFmt w:val="lowerLetter"/>
      <w:suff w:val="tab"/>
      <w:lvlText w:val="%1."/>
      <w:rPr>
        <w:color w:val="3370ff"/>
      </w:rPr>
    </w:lvl>
  </w:abstractNum>
  <w:abstractNum w:abstractNumId="889056">
    <w:lvl>
      <w:start w:val="2"/>
      <w:numFmt w:val="lowerLetter"/>
      <w:suff w:val="tab"/>
      <w:lvlText w:val="%1."/>
      <w:rPr>
        <w:color w:val="3370ff"/>
      </w:rPr>
    </w:lvl>
  </w:abstractNum>
  <w:abstractNum w:abstractNumId="889057">
    <w:lvl>
      <w:start w:val="1"/>
      <w:numFmt w:val="decimal"/>
      <w:suff w:val="tab"/>
      <w:lvlText w:val="%1."/>
      <w:rPr>
        <w:color w:val="3370ff"/>
      </w:rPr>
    </w:lvl>
  </w:abstractNum>
  <w:abstractNum w:abstractNumId="889058">
    <w:lvl>
      <w:start w:val="2"/>
      <w:numFmt w:val="decimal"/>
      <w:suff w:val="tab"/>
      <w:lvlText w:val="%1."/>
      <w:rPr>
        <w:color w:val="3370ff"/>
      </w:rPr>
    </w:lvl>
  </w:abstractNum>
  <w:abstractNum w:abstractNumId="889059">
    <w:lvl>
      <w:start w:val="3"/>
      <w:numFmt w:val="decimal"/>
      <w:suff w:val="tab"/>
      <w:lvlText w:val="%1."/>
      <w:rPr>
        <w:color w:val="3370ff"/>
      </w:rPr>
    </w:lvl>
  </w:abstractNum>
  <w:abstractNum w:abstractNumId="889060">
    <w:lvl>
      <w:start w:val="4"/>
      <w:numFmt w:val="decimal"/>
      <w:suff w:val="tab"/>
      <w:lvlText w:val="%1."/>
      <w:rPr>
        <w:color w:val="3370ff"/>
      </w:rPr>
    </w:lvl>
  </w:abstractNum>
  <w:abstractNum w:abstractNumId="889061">
    <w:lvl>
      <w:start w:val="5"/>
      <w:numFmt w:val="decimal"/>
      <w:suff w:val="tab"/>
      <w:lvlText w:val="%1."/>
      <w:rPr>
        <w:color w:val="3370ff"/>
      </w:rPr>
    </w:lvl>
  </w:abstractNum>
  <w:abstractNum w:abstractNumId="889062">
    <w:lvl>
      <w:start w:val="6"/>
      <w:numFmt w:val="decimal"/>
      <w:suff w:val="tab"/>
      <w:lvlText w:val="%1."/>
      <w:rPr>
        <w:color w:val="3370ff"/>
      </w:rPr>
    </w:lvl>
  </w:abstractNum>
  <w:abstractNum w:abstractNumId="889063">
    <w:lvl>
      <w:start w:val="7"/>
      <w:numFmt w:val="decimal"/>
      <w:suff w:val="tab"/>
      <w:lvlText w:val="%1."/>
      <w:rPr>
        <w:color w:val="3370ff"/>
      </w:rPr>
    </w:lvl>
  </w:abstractNum>
  <w:abstractNum w:abstractNumId="889064">
    <w:lvl>
      <w:start w:val="8"/>
      <w:numFmt w:val="decimal"/>
      <w:suff w:val="tab"/>
      <w:lvlText w:val="%1."/>
      <w:rPr>
        <w:color w:val="3370ff"/>
      </w:rPr>
    </w:lvl>
  </w:abstractNum>
  <w:abstractNum w:abstractNumId="889065">
    <w:lvl>
      <w:start w:val="1"/>
      <w:numFmt w:val="decimal"/>
      <w:suff w:val="tab"/>
      <w:lvlText w:val="%1."/>
      <w:rPr>
        <w:color w:val="3370ff"/>
      </w:rPr>
    </w:lvl>
  </w:abstractNum>
  <w:abstractNum w:abstractNumId="889066">
    <w:lvl>
      <w:start w:val="1"/>
      <w:numFmt w:val="lowerLetter"/>
      <w:suff w:val="tab"/>
      <w:lvlText w:val="%1."/>
      <w:rPr>
        <w:color w:val="3370ff"/>
      </w:rPr>
    </w:lvl>
  </w:abstractNum>
  <w:abstractNum w:abstractNumId="889067">
    <w:lvl>
      <w:start w:val="1"/>
      <w:numFmt w:val="decimal"/>
      <w:suff w:val="tab"/>
      <w:lvlText w:val="%1."/>
      <w:rPr>
        <w:color w:val="3370ff"/>
      </w:rPr>
    </w:lvl>
  </w:abstractNum>
  <w:abstractNum w:abstractNumId="889068">
    <w:lvl>
      <w:start w:val="2"/>
      <w:numFmt w:val="decimal"/>
      <w:suff w:val="tab"/>
      <w:lvlText w:val="%1."/>
      <w:rPr>
        <w:color w:val="3370ff"/>
      </w:rPr>
    </w:lvl>
  </w:abstractNum>
  <w:abstractNum w:abstractNumId="889069">
    <w:lvl>
      <w:start w:val="2"/>
      <w:numFmt w:val="lowerLetter"/>
      <w:suff w:val="tab"/>
      <w:lvlText w:val="%1."/>
      <w:rPr>
        <w:color w:val="3370ff"/>
      </w:rPr>
    </w:lvl>
  </w:abstractNum>
  <w:abstractNum w:abstractNumId="889070">
    <w:lvl>
      <w:start w:val="3"/>
      <w:numFmt w:val="lowerLetter"/>
      <w:suff w:val="tab"/>
      <w:lvlText w:val="%1."/>
      <w:rPr>
        <w:color w:val="3370ff"/>
      </w:rPr>
    </w:lvl>
  </w:abstractNum>
  <w:abstractNum w:abstractNumId="889071">
    <w:lvl>
      <w:start w:val="1"/>
      <w:numFmt w:val="decimal"/>
      <w:suff w:val="tab"/>
      <w:lvlText w:val="%1."/>
      <w:rPr>
        <w:color w:val="3370ff"/>
      </w:rPr>
    </w:lvl>
  </w:abstractNum>
  <w:abstractNum w:abstractNumId="889072">
    <w:lvl>
      <w:start w:val="2"/>
      <w:numFmt w:val="decimal"/>
      <w:suff w:val="tab"/>
      <w:lvlText w:val="%1."/>
      <w:rPr>
        <w:color w:val="3370ff"/>
      </w:rPr>
    </w:lvl>
  </w:abstractNum>
  <w:abstractNum w:abstractNumId="889073">
    <w:lvl>
      <w:start w:val="3"/>
      <w:numFmt w:val="decimal"/>
      <w:suff w:val="tab"/>
      <w:lvlText w:val="%1."/>
      <w:rPr>
        <w:color w:val="3370ff"/>
      </w:rPr>
    </w:lvl>
  </w:abstractNum>
  <w:abstractNum w:abstractNumId="889074">
    <w:lvl>
      <w:start w:val="4"/>
      <w:numFmt w:val="decimal"/>
      <w:suff w:val="tab"/>
      <w:lvlText w:val="%1."/>
      <w:rPr>
        <w:color w:val="3370ff"/>
      </w:rPr>
    </w:lvl>
  </w:abstractNum>
  <w:abstractNum w:abstractNumId="889075">
    <w:lvl>
      <w:start w:val="2"/>
      <w:numFmt w:val="decimal"/>
      <w:suff w:val="tab"/>
      <w:lvlText w:val="%1."/>
      <w:rPr>
        <w:color w:val="3370ff"/>
      </w:rPr>
    </w:lvl>
  </w:abstractNum>
  <w:abstractNum w:abstractNumId="889076">
    <w:lvl>
      <w:start w:val="1"/>
      <w:numFmt w:val="decimal"/>
      <w:suff w:val="tab"/>
      <w:lvlText w:val="%1."/>
      <w:rPr>
        <w:color w:val="3370ff"/>
      </w:rPr>
    </w:lvl>
  </w:abstractNum>
  <w:abstractNum w:abstractNumId="889077">
    <w:lvl>
      <w:start w:val="1"/>
      <w:numFmt w:val="decimal"/>
      <w:suff w:val="tab"/>
      <w:lvlText w:val="%1."/>
      <w:rPr>
        <w:color w:val="3370ff"/>
      </w:rPr>
    </w:lvl>
  </w:abstractNum>
  <w:abstractNum w:abstractNumId="889078">
    <w:lvl>
      <w:start w:val="2"/>
      <w:numFmt w:val="decimal"/>
      <w:suff w:val="tab"/>
      <w:lvlText w:val="%1."/>
      <w:rPr>
        <w:color w:val="3370ff"/>
      </w:rPr>
    </w:lvl>
  </w:abstractNum>
  <w:abstractNum w:abstractNumId="889079">
    <w:lvl>
      <w:start w:val="3"/>
      <w:numFmt w:val="decimal"/>
      <w:suff w:val="tab"/>
      <w:lvlText w:val="%1."/>
      <w:rPr>
        <w:color w:val="3370ff"/>
      </w:rPr>
    </w:lvl>
  </w:abstractNum>
  <w:abstractNum w:abstractNumId="889080">
    <w:lvl>
      <w:start w:val="4"/>
      <w:numFmt w:val="decimal"/>
      <w:suff w:val="tab"/>
      <w:lvlText w:val="%1."/>
      <w:rPr>
        <w:color w:val="3370ff"/>
      </w:rPr>
    </w:lvl>
  </w:abstractNum>
  <w:abstractNum w:abstractNumId="889081">
    <w:lvl>
      <w:start w:val="5"/>
      <w:numFmt w:val="decimal"/>
      <w:suff w:val="tab"/>
      <w:lvlText w:val="%1."/>
      <w:rPr>
        <w:color w:val="3370ff"/>
      </w:rPr>
    </w:lvl>
  </w:abstractNum>
  <w:abstractNum w:abstractNumId="889082">
    <w:lvl>
      <w:start w:val="6"/>
      <w:numFmt w:val="decimal"/>
      <w:suff w:val="tab"/>
      <w:lvlText w:val="%1."/>
      <w:rPr>
        <w:color w:val="3370ff"/>
      </w:rPr>
    </w:lvl>
  </w:abstractNum>
  <w:abstractNum w:abstractNumId="889083">
    <w:lvl>
      <w:start w:val="7"/>
      <w:numFmt w:val="decimal"/>
      <w:suff w:val="tab"/>
      <w:lvlText w:val="%1."/>
      <w:rPr>
        <w:color w:val="3370ff"/>
      </w:rPr>
    </w:lvl>
  </w:abstractNum>
  <w:abstractNum w:abstractNumId="889084">
    <w:lvl>
      <w:start w:val="2"/>
      <w:numFmt w:val="decimal"/>
      <w:suff w:val="tab"/>
      <w:lvlText w:val="%1."/>
      <w:rPr>
        <w:color w:val="3370ff"/>
      </w:rPr>
    </w:lvl>
  </w:abstractNum>
  <w:abstractNum w:abstractNumId="889085">
    <w:lvl>
      <w:start w:val="1"/>
      <w:numFmt w:val="decimal"/>
      <w:suff w:val="tab"/>
      <w:lvlText w:val="%1."/>
      <w:rPr>
        <w:color w:val="3370ff"/>
      </w:rPr>
    </w:lvl>
  </w:abstractNum>
  <w:abstractNum w:abstractNumId="889086">
    <w:lvl>
      <w:start w:val="2"/>
      <w:numFmt w:val="decimal"/>
      <w:suff w:val="tab"/>
      <w:lvlText w:val="%1."/>
      <w:rPr>
        <w:color w:val="3370ff"/>
      </w:rPr>
    </w:lvl>
  </w:abstractNum>
  <w:abstractNum w:abstractNumId="889087">
    <w:lvl>
      <w:start w:val="3"/>
      <w:numFmt w:val="decimal"/>
      <w:suff w:val="tab"/>
      <w:lvlText w:val="%1."/>
      <w:rPr>
        <w:color w:val="3370ff"/>
      </w:rPr>
    </w:lvl>
  </w:abstractNum>
  <w:abstractNum w:abstractNumId="889088">
    <w:lvl>
      <w:start w:val="4"/>
      <w:numFmt w:val="decimal"/>
      <w:suff w:val="tab"/>
      <w:lvlText w:val="%1."/>
      <w:rPr>
        <w:color w:val="3370ff"/>
      </w:rPr>
    </w:lvl>
  </w:abstractNum>
  <w:abstractNum w:abstractNumId="889089">
    <w:lvl>
      <w:start w:val="1"/>
      <w:numFmt w:val="decimal"/>
      <w:suff w:val="tab"/>
      <w:lvlText w:val="%1."/>
      <w:rPr>
        <w:color w:val="3370ff"/>
      </w:rPr>
    </w:lvl>
  </w:abstractNum>
  <w:abstractNum w:abstractNumId="889090">
    <w:lvl>
      <w:start w:val="2"/>
      <w:numFmt w:val="decimal"/>
      <w:suff w:val="tab"/>
      <w:lvlText w:val="%1."/>
      <w:rPr>
        <w:color w:val="3370ff"/>
      </w:rPr>
    </w:lvl>
  </w:abstractNum>
  <w:abstractNum w:abstractNumId="889091">
    <w:lvl>
      <w:start w:val="3"/>
      <w:numFmt w:val="decimal"/>
      <w:suff w:val="tab"/>
      <w:lvlText w:val="%1."/>
      <w:rPr>
        <w:color w:val="3370ff"/>
      </w:rPr>
    </w:lvl>
  </w:abstractNum>
  <w:abstractNum w:abstractNumId="889092">
    <w:lvl>
      <w:start w:val="4"/>
      <w:numFmt w:val="decimal"/>
      <w:suff w:val="tab"/>
      <w:lvlText w:val="%1."/>
      <w:rPr>
        <w:color w:val="3370ff"/>
      </w:rPr>
    </w:lvl>
  </w:abstractNum>
  <w:abstractNum w:abstractNumId="889093">
    <w:lvl>
      <w:start w:val="3"/>
      <w:numFmt w:val="decimal"/>
      <w:suff w:val="tab"/>
      <w:lvlText w:val="%1."/>
      <w:rPr>
        <w:color w:val="3370ff"/>
      </w:rPr>
    </w:lvl>
  </w:abstractNum>
  <w:abstractNum w:abstractNumId="889094">
    <w:lvl>
      <w:start w:val="1"/>
      <w:numFmt w:val="decimal"/>
      <w:suff w:val="tab"/>
      <w:lvlText w:val="%1."/>
      <w:rPr>
        <w:color w:val="3370ff"/>
      </w:rPr>
    </w:lvl>
  </w:abstractNum>
  <w:abstractNum w:abstractNumId="889095">
    <w:lvl>
      <w:start w:val="2"/>
      <w:numFmt w:val="decimal"/>
      <w:suff w:val="tab"/>
      <w:lvlText w:val="%1."/>
      <w:rPr>
        <w:color w:val="3370ff"/>
      </w:rPr>
    </w:lvl>
  </w:abstractNum>
  <w:abstractNum w:abstractNumId="889096">
    <w:lvl>
      <w:start w:val="3"/>
      <w:numFmt w:val="decimal"/>
      <w:suff w:val="tab"/>
      <w:lvlText w:val="%1."/>
      <w:rPr>
        <w:color w:val="3370ff"/>
      </w:rPr>
    </w:lvl>
  </w:abstractNum>
  <w:abstractNum w:abstractNumId="889097">
    <w:lvl>
      <w:start w:val="4"/>
      <w:numFmt w:val="decimal"/>
      <w:suff w:val="tab"/>
      <w:lvlText w:val="%1."/>
      <w:rPr>
        <w:color w:val="3370ff"/>
      </w:rPr>
    </w:lvl>
  </w:abstractNum>
  <w:abstractNum w:abstractNumId="889098">
    <w:lvl>
      <w:start w:val="4"/>
      <w:numFmt w:val="decimal"/>
      <w:suff w:val="tab"/>
      <w:lvlText w:val="%1."/>
      <w:rPr>
        <w:color w:val="3370ff"/>
      </w:rPr>
    </w:lvl>
  </w:abstractNum>
  <w:abstractNum w:abstractNumId="889099">
    <w:lvl>
      <w:start w:val="1"/>
      <w:numFmt w:val="decimal"/>
      <w:suff w:val="tab"/>
      <w:lvlText w:val="%1."/>
      <w:rPr>
        <w:color w:val="3370ff"/>
      </w:rPr>
    </w:lvl>
  </w:abstractNum>
  <w:abstractNum w:abstractNumId="889100">
    <w:lvl>
      <w:start w:val="2"/>
      <w:numFmt w:val="decimal"/>
      <w:suff w:val="tab"/>
      <w:lvlText w:val="%1."/>
      <w:rPr>
        <w:color w:val="3370ff"/>
      </w:rPr>
    </w:lvl>
  </w:abstractNum>
  <w:abstractNum w:abstractNumId="889101">
    <w:lvl>
      <w:start w:val="3"/>
      <w:numFmt w:val="decimal"/>
      <w:suff w:val="tab"/>
      <w:lvlText w:val="%1."/>
      <w:rPr>
        <w:color w:val="3370ff"/>
      </w:rPr>
    </w:lvl>
  </w:abstractNum>
  <w:abstractNum w:abstractNumId="889102">
    <w:lvl>
      <w:start w:val="4"/>
      <w:numFmt w:val="decimal"/>
      <w:suff w:val="tab"/>
      <w:lvlText w:val="%1."/>
      <w:rPr>
        <w:color w:val="3370ff"/>
      </w:rPr>
    </w:lvl>
  </w:abstractNum>
  <w:abstractNum w:abstractNumId="889103">
    <w:lvl>
      <w:start w:val="5"/>
      <w:numFmt w:val="decimal"/>
      <w:suff w:val="tab"/>
      <w:lvlText w:val="%1."/>
      <w:rPr>
        <w:color w:val="3370ff"/>
      </w:rPr>
    </w:lvl>
  </w:abstractNum>
  <w:abstractNum w:abstractNumId="889104">
    <w:lvl>
      <w:start w:val="1"/>
      <w:numFmt w:val="decimal"/>
      <w:suff w:val="tab"/>
      <w:lvlText w:val="%1."/>
      <w:rPr>
        <w:color w:val="3370ff"/>
      </w:rPr>
    </w:lvl>
  </w:abstractNum>
  <w:abstractNum w:abstractNumId="889105">
    <w:lvl>
      <w:start w:val="2"/>
      <w:numFmt w:val="decimal"/>
      <w:suff w:val="tab"/>
      <w:lvlText w:val="%1."/>
      <w:rPr>
        <w:color w:val="3370ff"/>
      </w:rPr>
    </w:lvl>
  </w:abstractNum>
  <w:abstractNum w:abstractNumId="889106">
    <w:lvl>
      <w:start w:val="3"/>
      <w:numFmt w:val="decimal"/>
      <w:suff w:val="tab"/>
      <w:lvlText w:val="%1."/>
      <w:rPr>
        <w:color w:val="3370ff"/>
      </w:rPr>
    </w:lvl>
  </w:abstractNum>
  <w:abstractNum w:abstractNumId="889107">
    <w:lvl>
      <w:start w:val="4"/>
      <w:numFmt w:val="decimal"/>
      <w:suff w:val="tab"/>
      <w:lvlText w:val="%1."/>
      <w:rPr>
        <w:color w:val="3370ff"/>
      </w:rPr>
    </w:lvl>
  </w:abstractNum>
  <w:abstractNum w:abstractNumId="889108">
    <w:lvl>
      <w:start w:val="6"/>
      <w:numFmt w:val="decimal"/>
      <w:suff w:val="tab"/>
      <w:lvlText w:val="%1."/>
      <w:rPr>
        <w:color w:val="3370ff"/>
      </w:rPr>
    </w:lvl>
  </w:abstractNum>
  <w:abstractNum w:abstractNumId="889109">
    <w:lvl>
      <w:start w:val="1"/>
      <w:numFmt w:val="decimal"/>
      <w:suff w:val="tab"/>
      <w:lvlText w:val="%1."/>
      <w:rPr>
        <w:color w:val="3370ff"/>
      </w:rPr>
    </w:lvl>
  </w:abstractNum>
  <w:abstractNum w:abstractNumId="889110">
    <w:lvl>
      <w:start w:val="2"/>
      <w:numFmt w:val="decimal"/>
      <w:suff w:val="tab"/>
      <w:lvlText w:val="%1."/>
      <w:rPr>
        <w:color w:val="3370ff"/>
      </w:rPr>
    </w:lvl>
  </w:abstractNum>
  <w:abstractNum w:abstractNumId="889111">
    <w:lvl>
      <w:start w:val="7"/>
      <w:numFmt w:val="decimal"/>
      <w:suff w:val="tab"/>
      <w:lvlText w:val="%1."/>
      <w:rPr>
        <w:color w:val="3370ff"/>
      </w:rPr>
    </w:lvl>
  </w:abstractNum>
  <w:abstractNum w:abstractNumId="889112">
    <w:lvl>
      <w:start w:val="1"/>
      <w:numFmt w:val="decimal"/>
      <w:suff w:val="tab"/>
      <w:lvlText w:val="%1."/>
      <w:rPr>
        <w:color w:val="3370ff"/>
      </w:rPr>
    </w:lvl>
  </w:abstractNum>
  <w:abstractNum w:abstractNumId="889113">
    <w:lvl>
      <w:start w:val="2"/>
      <w:numFmt w:val="decimal"/>
      <w:suff w:val="tab"/>
      <w:lvlText w:val="%1."/>
      <w:rPr>
        <w:color w:val="3370ff"/>
      </w:rPr>
    </w:lvl>
  </w:abstractNum>
  <w:abstractNum w:abstractNumId="889114">
    <w:lvl>
      <w:start w:val="3"/>
      <w:numFmt w:val="decimal"/>
      <w:suff w:val="tab"/>
      <w:lvlText w:val="%1."/>
      <w:rPr>
        <w:color w:val="3370ff"/>
      </w:rPr>
    </w:lvl>
  </w:abstractNum>
  <w:abstractNum w:abstractNumId="889115">
    <w:lvl>
      <w:start w:val="4"/>
      <w:numFmt w:val="decimal"/>
      <w:suff w:val="tab"/>
      <w:lvlText w:val="%1."/>
      <w:rPr>
        <w:color w:val="3370ff"/>
      </w:rPr>
    </w:lvl>
  </w:abstractNum>
  <w:abstractNum w:abstractNumId="889116">
    <w:lvl>
      <w:start w:val="5"/>
      <w:numFmt w:val="decimal"/>
      <w:suff w:val="tab"/>
      <w:lvlText w:val="%1."/>
      <w:rPr>
        <w:color w:val="3370ff"/>
      </w:rPr>
    </w:lvl>
  </w:abstractNum>
  <w:abstractNum w:abstractNumId="889117">
    <w:lvl>
      <w:start w:val="8"/>
      <w:numFmt w:val="decimal"/>
      <w:suff w:val="tab"/>
      <w:lvlText w:val="%1."/>
      <w:rPr>
        <w:color w:val="3370ff"/>
      </w:rPr>
    </w:lvl>
  </w:abstractNum>
  <w:abstractNum w:abstractNumId="889118">
    <w:lvl>
      <w:start w:val="1"/>
      <w:numFmt w:val="decimal"/>
      <w:suff w:val="tab"/>
      <w:lvlText w:val="%1."/>
      <w:rPr>
        <w:color w:val="3370ff"/>
      </w:rPr>
    </w:lvl>
  </w:abstractNum>
  <w:abstractNum w:abstractNumId="889119">
    <w:lvl>
      <w:start w:val="2"/>
      <w:numFmt w:val="decimal"/>
      <w:suff w:val="tab"/>
      <w:lvlText w:val="%1."/>
      <w:rPr>
        <w:color w:val="3370ff"/>
      </w:rPr>
    </w:lvl>
  </w:abstractNum>
  <w:abstractNum w:abstractNumId="889120">
    <w:lvl>
      <w:start w:val="3"/>
      <w:numFmt w:val="decimal"/>
      <w:suff w:val="tab"/>
      <w:lvlText w:val="%1."/>
      <w:rPr>
        <w:color w:val="3370ff"/>
      </w:rPr>
    </w:lvl>
  </w:abstractNum>
  <w:abstractNum w:abstractNumId="889121">
    <w:lvl>
      <w:start w:val="4"/>
      <w:numFmt w:val="decimal"/>
      <w:suff w:val="tab"/>
      <w:lvlText w:val="%1."/>
      <w:rPr>
        <w:color w:val="3370ff"/>
      </w:rPr>
    </w:lvl>
  </w:abstractNum>
  <w:abstractNum w:abstractNumId="889122">
    <w:lvl>
      <w:start w:val="9"/>
      <w:numFmt w:val="decimal"/>
      <w:suff w:val="tab"/>
      <w:lvlText w:val="%1."/>
      <w:rPr>
        <w:color w:val="3370ff"/>
      </w:rPr>
    </w:lvl>
  </w:abstractNum>
  <w:abstractNum w:abstractNumId="889123">
    <w:lvl>
      <w:start w:val="1"/>
      <w:numFmt w:val="decimal"/>
      <w:suff w:val="tab"/>
      <w:lvlText w:val="%1."/>
      <w:rPr>
        <w:color w:val="3370ff"/>
      </w:rPr>
    </w:lvl>
  </w:abstractNum>
  <w:abstractNum w:abstractNumId="889124">
    <w:lvl>
      <w:start w:val="2"/>
      <w:numFmt w:val="decimal"/>
      <w:suff w:val="tab"/>
      <w:lvlText w:val="%1."/>
      <w:rPr>
        <w:color w:val="3370ff"/>
      </w:rPr>
    </w:lvl>
  </w:abstractNum>
  <w:abstractNum w:abstractNumId="889125">
    <w:lvl>
      <w:start w:val="3"/>
      <w:numFmt w:val="decimal"/>
      <w:suff w:val="tab"/>
      <w:lvlText w:val="%1."/>
      <w:rPr>
        <w:color w:val="3370ff"/>
      </w:rPr>
    </w:lvl>
  </w:abstractNum>
  <w:abstractNum w:abstractNumId="889126">
    <w:lvl>
      <w:start w:val="4"/>
      <w:numFmt w:val="decimal"/>
      <w:suff w:val="tab"/>
      <w:lvlText w:val="%1."/>
      <w:rPr>
        <w:color w:val="3370ff"/>
      </w:rPr>
    </w:lvl>
  </w:abstractNum>
  <w:abstractNum w:abstractNumId="889127">
    <w:lvl>
      <w:start w:val="1"/>
      <w:numFmt w:val="decimal"/>
      <w:suff w:val="tab"/>
      <w:lvlText w:val="%1."/>
      <w:rPr>
        <w:color w:val="3370ff"/>
      </w:rPr>
    </w:lvl>
  </w:abstractNum>
  <w:abstractNum w:abstractNumId="889128">
    <w:lvl>
      <w:start w:val="2"/>
      <w:numFmt w:val="decimal"/>
      <w:suff w:val="tab"/>
      <w:lvlText w:val="%1."/>
      <w:rPr>
        <w:color w:val="3370ff"/>
      </w:rPr>
    </w:lvl>
  </w:abstractNum>
  <w:abstractNum w:abstractNumId="889129">
    <w:lvl>
      <w:start w:val="3"/>
      <w:numFmt w:val="decimal"/>
      <w:suff w:val="tab"/>
      <w:lvlText w:val="%1."/>
      <w:rPr>
        <w:color w:val="3370ff"/>
      </w:rPr>
    </w:lvl>
  </w:abstractNum>
  <w:abstractNum w:abstractNumId="889130">
    <w:lvl>
      <w:start w:val="4"/>
      <w:numFmt w:val="decimal"/>
      <w:suff w:val="tab"/>
      <w:lvlText w:val="%1."/>
      <w:rPr>
        <w:color w:val="3370ff"/>
      </w:rPr>
    </w:lvl>
  </w:abstractNum>
  <w:abstractNum w:abstractNumId="889131">
    <w:lvl>
      <w:start w:val="10"/>
      <w:numFmt w:val="decimal"/>
      <w:suff w:val="tab"/>
      <w:lvlText w:val="%1."/>
      <w:rPr>
        <w:color w:val="3370ff"/>
      </w:rPr>
    </w:lvl>
  </w:abstractNum>
  <w:abstractNum w:abstractNumId="889132">
    <w:lvl>
      <w:start w:val="1"/>
      <w:numFmt w:val="decimal"/>
      <w:suff w:val="tab"/>
      <w:lvlText w:val="%1."/>
      <w:rPr>
        <w:color w:val="3370ff"/>
      </w:rPr>
    </w:lvl>
  </w:abstractNum>
  <w:abstractNum w:abstractNumId="889133">
    <w:lvl>
      <w:start w:val="2"/>
      <w:numFmt w:val="decimal"/>
      <w:suff w:val="tab"/>
      <w:lvlText w:val="%1."/>
      <w:rPr>
        <w:color w:val="3370ff"/>
      </w:rPr>
    </w:lvl>
  </w:abstractNum>
  <w:abstractNum w:abstractNumId="889134">
    <w:lvl>
      <w:numFmt w:val="bullet"/>
      <w:suff w:val="tab"/>
      <w:lvlText w:val="•"/>
      <w:rPr>
        <w:color w:val="3370ff"/>
      </w:rPr>
    </w:lvl>
  </w:abstractNum>
  <w:abstractNum w:abstractNumId="889135">
    <w:lvl>
      <w:numFmt w:val="bullet"/>
      <w:suff w:val="tab"/>
      <w:lvlText w:val="•"/>
      <w:rPr>
        <w:color w:val="3370ff"/>
      </w:rPr>
    </w:lvl>
  </w:abstractNum>
  <w:abstractNum w:abstractNumId="889136">
    <w:lvl>
      <w:numFmt w:val="bullet"/>
      <w:suff w:val="tab"/>
      <w:lvlText w:val="•"/>
      <w:rPr>
        <w:color w:val="3370ff"/>
      </w:rPr>
    </w:lvl>
  </w:abstractNum>
  <w:abstractNum w:abstractNumId="889137">
    <w:lvl>
      <w:numFmt w:val="bullet"/>
      <w:suff w:val="tab"/>
      <w:lvlText w:val="•"/>
      <w:rPr>
        <w:color w:val="3370ff"/>
      </w:rPr>
    </w:lvl>
  </w:abstractNum>
  <w:abstractNum w:abstractNumId="889138">
    <w:lvl>
      <w:start w:val="3"/>
      <w:numFmt w:val="decimal"/>
      <w:suff w:val="tab"/>
      <w:lvlText w:val="%1."/>
      <w:rPr>
        <w:color w:val="3370ff"/>
      </w:rPr>
    </w:lvl>
  </w:abstractNum>
  <w:abstractNum w:abstractNumId="889139">
    <w:lvl>
      <w:start w:val="4"/>
      <w:numFmt w:val="decimal"/>
      <w:suff w:val="tab"/>
      <w:lvlText w:val="%1."/>
      <w:rPr>
        <w:color w:val="3370ff"/>
      </w:rPr>
    </w:lvl>
  </w:abstractNum>
  <w:abstractNum w:abstractNumId="889140">
    <w:lvl>
      <w:start w:val="5"/>
      <w:numFmt w:val="decimal"/>
      <w:suff w:val="tab"/>
      <w:lvlText w:val="%1."/>
      <w:rPr>
        <w:color w:val="3370ff"/>
      </w:rPr>
    </w:lvl>
  </w:abstractNum>
  <w:abstractNum w:abstractNumId="889141">
    <w:lvl>
      <w:start w:val="1"/>
      <w:numFmt w:val="lowerLetter"/>
      <w:suff w:val="tab"/>
      <w:lvlText w:val="%1."/>
      <w:rPr>
        <w:color w:val="3370ff"/>
      </w:rPr>
    </w:lvl>
  </w:abstractNum>
  <w:abstractNum w:abstractNumId="889142">
    <w:lvl>
      <w:start w:val="2"/>
      <w:numFmt w:val="lowerLetter"/>
      <w:suff w:val="tab"/>
      <w:lvlText w:val="%1."/>
      <w:rPr>
        <w:color w:val="3370ff"/>
      </w:rPr>
    </w:lvl>
  </w:abstractNum>
  <w:abstractNum w:abstractNumId="889143">
    <w:lvl>
      <w:start w:val="3"/>
      <w:numFmt w:val="lowerLetter"/>
      <w:suff w:val="tab"/>
      <w:lvlText w:val="%1."/>
      <w:rPr>
        <w:color w:val="3370ff"/>
      </w:rPr>
    </w:lvl>
  </w:abstractNum>
  <w:abstractNum w:abstractNumId="889144">
    <w:lvl>
      <w:start w:val="4"/>
      <w:numFmt w:val="lowerLetter"/>
      <w:suff w:val="tab"/>
      <w:lvlText w:val="%1."/>
      <w:rPr>
        <w:color w:val="3370ff"/>
      </w:rPr>
    </w:lvl>
  </w:abstractNum>
  <w:abstractNum w:abstractNumId="889145">
    <w:lvl>
      <w:start w:val="5"/>
      <w:numFmt w:val="lowerLetter"/>
      <w:suff w:val="tab"/>
      <w:lvlText w:val="%1."/>
      <w:rPr>
        <w:color w:val="3370ff"/>
      </w:rPr>
    </w:lvl>
  </w:abstractNum>
  <w:abstractNum w:abstractNumId="889146">
    <w:lvl>
      <w:start w:val="6"/>
      <w:numFmt w:val="lowerLetter"/>
      <w:suff w:val="tab"/>
      <w:lvlText w:val="%1."/>
      <w:rPr>
        <w:color w:val="3370ff"/>
      </w:rPr>
    </w:lvl>
  </w:abstractNum>
  <w:abstractNum w:abstractNumId="889147">
    <w:lvl>
      <w:start w:val="7"/>
      <w:numFmt w:val="lowerLetter"/>
      <w:suff w:val="tab"/>
      <w:lvlText w:val="%1."/>
      <w:rPr>
        <w:color w:val="3370ff"/>
      </w:rPr>
    </w:lvl>
  </w:abstractNum>
  <w:abstractNum w:abstractNumId="889148">
    <w:lvl>
      <w:start w:val="8"/>
      <w:numFmt w:val="lowerLetter"/>
      <w:suff w:val="tab"/>
      <w:lvlText w:val="%1."/>
      <w:rPr>
        <w:color w:val="3370ff"/>
      </w:rPr>
    </w:lvl>
  </w:abstractNum>
  <w:abstractNum w:abstractNumId="889149">
    <w:lvl>
      <w:start w:val="9"/>
      <w:numFmt w:val="lowerLetter"/>
      <w:suff w:val="tab"/>
      <w:lvlText w:val="%1."/>
      <w:rPr>
        <w:color w:val="3370ff"/>
      </w:rPr>
    </w:lvl>
  </w:abstractNum>
  <w:abstractNum w:abstractNumId="889150">
    <w:lvl>
      <w:start w:val="10"/>
      <w:numFmt w:val="lowerLetter"/>
      <w:suff w:val="tab"/>
      <w:lvlText w:val="%1."/>
      <w:rPr>
        <w:color w:val="3370ff"/>
      </w:rPr>
    </w:lvl>
  </w:abstractNum>
  <w:abstractNum w:abstractNumId="889151">
    <w:lvl>
      <w:start w:val="11"/>
      <w:numFmt w:val="lowerLetter"/>
      <w:suff w:val="tab"/>
      <w:lvlText w:val="%1."/>
      <w:rPr>
        <w:color w:val="3370ff"/>
      </w:rPr>
    </w:lvl>
  </w:abstractNum>
  <w:abstractNum w:abstractNumId="889152">
    <w:lvl>
      <w:start w:val="12"/>
      <w:numFmt w:val="lowerLetter"/>
      <w:suff w:val="tab"/>
      <w:lvlText w:val="%1."/>
      <w:rPr>
        <w:color w:val="3370ff"/>
      </w:rPr>
    </w:lvl>
  </w:abstractNum>
  <w:abstractNum w:abstractNumId="889153">
    <w:lvl>
      <w:start w:val="13"/>
      <w:numFmt w:val="lowerLetter"/>
      <w:suff w:val="tab"/>
      <w:lvlText w:val="%1."/>
      <w:rPr>
        <w:color w:val="3370ff"/>
      </w:rPr>
    </w:lvl>
  </w:abstractNum>
  <w:abstractNum w:abstractNumId="889154">
    <w:lvl>
      <w:start w:val="14"/>
      <w:numFmt w:val="lowerLetter"/>
      <w:suff w:val="tab"/>
      <w:lvlText w:val="%1."/>
      <w:rPr>
        <w:color w:val="3370ff"/>
      </w:rPr>
    </w:lvl>
  </w:abstractNum>
  <w:abstractNum w:abstractNumId="889155">
    <w:lvl>
      <w:start w:val="15"/>
      <w:numFmt w:val="lowerLetter"/>
      <w:suff w:val="tab"/>
      <w:lvlText w:val="%1."/>
      <w:rPr>
        <w:color w:val="3370ff"/>
      </w:rPr>
    </w:lvl>
  </w:abstractNum>
  <w:abstractNum w:abstractNumId="889156">
    <w:lvl>
      <w:start w:val="16"/>
      <w:numFmt w:val="lowerLetter"/>
      <w:suff w:val="tab"/>
      <w:lvlText w:val="%1."/>
      <w:rPr>
        <w:color w:val="3370ff"/>
      </w:rPr>
    </w:lvl>
  </w:abstractNum>
  <w:abstractNum w:abstractNumId="889157">
    <w:lvl>
      <w:start w:val="17"/>
      <w:numFmt w:val="lowerLetter"/>
      <w:suff w:val="tab"/>
      <w:lvlText w:val="%1."/>
      <w:rPr>
        <w:color w:val="3370ff"/>
      </w:rPr>
    </w:lvl>
  </w:abstractNum>
  <w:abstractNum w:abstractNumId="889158">
    <w:lvl>
      <w:start w:val="5"/>
      <w:numFmt w:val="decimal"/>
      <w:suff w:val="tab"/>
      <w:lvlText w:val="%1."/>
      <w:rPr>
        <w:color w:val="3370ff"/>
      </w:rPr>
    </w:lvl>
  </w:abstractNum>
  <w:abstractNum w:abstractNumId="889159">
    <w:lvl>
      <w:start w:val="1"/>
      <w:numFmt w:val="decimal"/>
      <w:suff w:val="tab"/>
      <w:lvlText w:val="%1."/>
      <w:rPr>
        <w:color w:val="3370ff"/>
      </w:rPr>
    </w:lvl>
  </w:abstractNum>
  <w:abstractNum w:abstractNumId="889160">
    <w:lvl>
      <w:start w:val="2"/>
      <w:numFmt w:val="lowerLetter"/>
      <w:suff w:val="tab"/>
      <w:lvlText w:val="%1."/>
      <w:rPr>
        <w:color w:val="3370ff"/>
      </w:rPr>
    </w:lvl>
  </w:abstractNum>
  <w:abstractNum w:abstractNumId="889161">
    <w:lvl>
      <w:start w:val="3"/>
      <w:numFmt w:val="lowerLetter"/>
      <w:suff w:val="tab"/>
      <w:lvlText w:val="%1."/>
      <w:rPr>
        <w:color w:val="3370ff"/>
      </w:rPr>
    </w:lvl>
  </w:abstractNum>
  <w:abstractNum w:abstractNumId="889162">
    <w:lvl>
      <w:start w:val="1"/>
      <w:numFmt w:val="lowerRoman"/>
      <w:suff w:val="tab"/>
      <w:lvlText w:val="%1."/>
      <w:rPr>
        <w:color w:val="3370ff"/>
      </w:rPr>
    </w:lvl>
  </w:abstractNum>
  <w:abstractNum w:abstractNumId="889163">
    <w:lvl>
      <w:start w:val="2"/>
      <w:numFmt w:val="lowerRoman"/>
      <w:suff w:val="tab"/>
      <w:lvlText w:val="%1."/>
      <w:rPr>
        <w:color w:val="3370ff"/>
      </w:rPr>
    </w:lvl>
  </w:abstractNum>
  <w:num w:numId="1">
    <w:abstractNumId w:val="889055"/>
  </w:num>
  <w:num w:numId="2">
    <w:abstractNumId w:val="889056"/>
  </w:num>
  <w:num w:numId="3">
    <w:abstractNumId w:val="889057"/>
  </w:num>
  <w:num w:numId="4">
    <w:abstractNumId w:val="889058"/>
  </w:num>
  <w:num w:numId="5">
    <w:abstractNumId w:val="889059"/>
  </w:num>
  <w:num w:numId="6">
    <w:abstractNumId w:val="889060"/>
  </w:num>
  <w:num w:numId="7">
    <w:abstractNumId w:val="889061"/>
  </w:num>
  <w:num w:numId="8">
    <w:abstractNumId w:val="889062"/>
  </w:num>
  <w:num w:numId="9">
    <w:abstractNumId w:val="889063"/>
  </w:num>
  <w:num w:numId="10">
    <w:abstractNumId w:val="889064"/>
  </w:num>
  <w:num w:numId="11">
    <w:abstractNumId w:val="889065"/>
  </w:num>
  <w:num w:numId="12">
    <w:abstractNumId w:val="889066"/>
  </w:num>
  <w:num w:numId="13">
    <w:abstractNumId w:val="889067"/>
  </w:num>
  <w:num w:numId="14">
    <w:abstractNumId w:val="889068"/>
  </w:num>
  <w:num w:numId="15">
    <w:abstractNumId w:val="889069"/>
  </w:num>
  <w:num w:numId="16">
    <w:abstractNumId w:val="889070"/>
  </w:num>
  <w:num w:numId="17">
    <w:abstractNumId w:val="889071"/>
  </w:num>
  <w:num w:numId="18">
    <w:abstractNumId w:val="889072"/>
  </w:num>
  <w:num w:numId="19">
    <w:abstractNumId w:val="889073"/>
  </w:num>
  <w:num w:numId="20">
    <w:abstractNumId w:val="889074"/>
  </w:num>
  <w:num w:numId="21">
    <w:abstractNumId w:val="889075"/>
  </w:num>
  <w:num w:numId="22">
    <w:abstractNumId w:val="889076"/>
  </w:num>
  <w:num w:numId="23">
    <w:abstractNumId w:val="889077"/>
  </w:num>
  <w:num w:numId="24">
    <w:abstractNumId w:val="889078"/>
  </w:num>
  <w:num w:numId="25">
    <w:abstractNumId w:val="889079"/>
  </w:num>
  <w:num w:numId="26">
    <w:abstractNumId w:val="889080"/>
  </w:num>
  <w:num w:numId="27">
    <w:abstractNumId w:val="889081"/>
  </w:num>
  <w:num w:numId="28">
    <w:abstractNumId w:val="889082"/>
  </w:num>
  <w:num w:numId="29">
    <w:abstractNumId w:val="889083"/>
  </w:num>
  <w:num w:numId="30">
    <w:abstractNumId w:val="889084"/>
  </w:num>
  <w:num w:numId="31">
    <w:abstractNumId w:val="889085"/>
  </w:num>
  <w:num w:numId="32">
    <w:abstractNumId w:val="889086"/>
  </w:num>
  <w:num w:numId="33">
    <w:abstractNumId w:val="889087"/>
  </w:num>
  <w:num w:numId="34">
    <w:abstractNumId w:val="889088"/>
  </w:num>
  <w:num w:numId="35">
    <w:abstractNumId w:val="889089"/>
  </w:num>
  <w:num w:numId="36">
    <w:abstractNumId w:val="889090"/>
  </w:num>
  <w:num w:numId="37">
    <w:abstractNumId w:val="889091"/>
  </w:num>
  <w:num w:numId="38">
    <w:abstractNumId w:val="889092"/>
  </w:num>
  <w:num w:numId="39">
    <w:abstractNumId w:val="889093"/>
  </w:num>
  <w:num w:numId="40">
    <w:abstractNumId w:val="889094"/>
  </w:num>
  <w:num w:numId="41">
    <w:abstractNumId w:val="889095"/>
  </w:num>
  <w:num w:numId="42">
    <w:abstractNumId w:val="889096"/>
  </w:num>
  <w:num w:numId="43">
    <w:abstractNumId w:val="889097"/>
  </w:num>
  <w:num w:numId="44">
    <w:abstractNumId w:val="889098"/>
  </w:num>
  <w:num w:numId="45">
    <w:abstractNumId w:val="889099"/>
  </w:num>
  <w:num w:numId="46">
    <w:abstractNumId w:val="889100"/>
  </w:num>
  <w:num w:numId="47">
    <w:abstractNumId w:val="889101"/>
  </w:num>
  <w:num w:numId="48">
    <w:abstractNumId w:val="889102"/>
  </w:num>
  <w:num w:numId="49">
    <w:abstractNumId w:val="889103"/>
  </w:num>
  <w:num w:numId="50">
    <w:abstractNumId w:val="889104"/>
  </w:num>
  <w:num w:numId="51">
    <w:abstractNumId w:val="889105"/>
  </w:num>
  <w:num w:numId="52">
    <w:abstractNumId w:val="889106"/>
  </w:num>
  <w:num w:numId="53">
    <w:abstractNumId w:val="889107"/>
  </w:num>
  <w:num w:numId="54">
    <w:abstractNumId w:val="889108"/>
  </w:num>
  <w:num w:numId="55">
    <w:abstractNumId w:val="889109"/>
  </w:num>
  <w:num w:numId="56">
    <w:abstractNumId w:val="889110"/>
  </w:num>
  <w:num w:numId="57">
    <w:abstractNumId w:val="889111"/>
  </w:num>
  <w:num w:numId="58">
    <w:abstractNumId w:val="889112"/>
  </w:num>
  <w:num w:numId="59">
    <w:abstractNumId w:val="889113"/>
  </w:num>
  <w:num w:numId="60">
    <w:abstractNumId w:val="889114"/>
  </w:num>
  <w:num w:numId="61">
    <w:abstractNumId w:val="889115"/>
  </w:num>
  <w:num w:numId="62">
    <w:abstractNumId w:val="889116"/>
  </w:num>
  <w:num w:numId="63">
    <w:abstractNumId w:val="889117"/>
  </w:num>
  <w:num w:numId="64">
    <w:abstractNumId w:val="889118"/>
  </w:num>
  <w:num w:numId="65">
    <w:abstractNumId w:val="889119"/>
  </w:num>
  <w:num w:numId="66">
    <w:abstractNumId w:val="889120"/>
  </w:num>
  <w:num w:numId="67">
    <w:abstractNumId w:val="889121"/>
  </w:num>
  <w:num w:numId="68">
    <w:abstractNumId w:val="889122"/>
  </w:num>
  <w:num w:numId="69">
    <w:abstractNumId w:val="889123"/>
  </w:num>
  <w:num w:numId="70">
    <w:abstractNumId w:val="889124"/>
  </w:num>
  <w:num w:numId="71">
    <w:abstractNumId w:val="889125"/>
  </w:num>
  <w:num w:numId="72">
    <w:abstractNumId w:val="889126"/>
  </w:num>
  <w:num w:numId="73">
    <w:abstractNumId w:val="889127"/>
  </w:num>
  <w:num w:numId="74">
    <w:abstractNumId w:val="889128"/>
  </w:num>
  <w:num w:numId="75">
    <w:abstractNumId w:val="889129"/>
  </w:num>
  <w:num w:numId="76">
    <w:abstractNumId w:val="889130"/>
  </w:num>
  <w:num w:numId="77">
    <w:abstractNumId w:val="889131"/>
  </w:num>
  <w:num w:numId="78">
    <w:abstractNumId w:val="889132"/>
  </w:num>
  <w:num w:numId="79">
    <w:abstractNumId w:val="889133"/>
  </w:num>
  <w:num w:numId="80">
    <w:abstractNumId w:val="889134"/>
  </w:num>
  <w:num w:numId="81">
    <w:abstractNumId w:val="889135"/>
  </w:num>
  <w:num w:numId="82">
    <w:abstractNumId w:val="889136"/>
  </w:num>
  <w:num w:numId="83">
    <w:abstractNumId w:val="889137"/>
  </w:num>
  <w:num w:numId="84">
    <w:abstractNumId w:val="889138"/>
  </w:num>
  <w:num w:numId="85">
    <w:abstractNumId w:val="889139"/>
  </w:num>
  <w:num w:numId="86">
    <w:abstractNumId w:val="889140"/>
  </w:num>
  <w:num w:numId="87">
    <w:abstractNumId w:val="889141"/>
  </w:num>
  <w:num w:numId="88">
    <w:abstractNumId w:val="889142"/>
  </w:num>
  <w:num w:numId="89">
    <w:abstractNumId w:val="889143"/>
  </w:num>
  <w:num w:numId="90">
    <w:abstractNumId w:val="889144"/>
  </w:num>
  <w:num w:numId="91">
    <w:abstractNumId w:val="889145"/>
  </w:num>
  <w:num w:numId="92">
    <w:abstractNumId w:val="889146"/>
  </w:num>
  <w:num w:numId="93">
    <w:abstractNumId w:val="889147"/>
  </w:num>
  <w:num w:numId="94">
    <w:abstractNumId w:val="889148"/>
  </w:num>
  <w:num w:numId="95">
    <w:abstractNumId w:val="889149"/>
  </w:num>
  <w:num w:numId="96">
    <w:abstractNumId w:val="889150"/>
  </w:num>
  <w:num w:numId="97">
    <w:abstractNumId w:val="889151"/>
  </w:num>
  <w:num w:numId="98">
    <w:abstractNumId w:val="889152"/>
  </w:num>
  <w:num w:numId="99">
    <w:abstractNumId w:val="889153"/>
  </w:num>
  <w:num w:numId="100">
    <w:abstractNumId w:val="889154"/>
  </w:num>
  <w:num w:numId="101">
    <w:abstractNumId w:val="889155"/>
  </w:num>
  <w:num w:numId="102">
    <w:abstractNumId w:val="889156"/>
  </w:num>
  <w:num w:numId="103">
    <w:abstractNumId w:val="889157"/>
  </w:num>
  <w:num w:numId="104">
    <w:abstractNumId w:val="889158"/>
  </w:num>
  <w:num w:numId="105">
    <w:abstractNumId w:val="889159"/>
  </w:num>
  <w:num w:numId="106">
    <w:abstractNumId w:val="889160"/>
  </w:num>
  <w:num w:numId="107">
    <w:abstractNumId w:val="889161"/>
  </w:num>
  <w:num w:numId="108">
    <w:abstractNumId w:val="889162"/>
  </w:num>
  <w:num w:numId="109">
    <w:abstractNumId w:val="88916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ads.TikTok.com/help/article?aid=9550"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2025-12-10T07:50:03Z</dcterms:created>
  <dc:creator>Apache POI</dc:creator>
</cp:coreProperties>
</file>