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V1112-2025-广告发布合同补充协议（追加新媒体）-美金-中英文</w:t>
      </w:r>
    </w:p>
    <w:p>
      <w:pPr>
        <w:spacing w:before="120" w:after="120" w:line="288" w:lineRule="auto"/>
        <w:ind w:left="0" w:firstLine="0"/>
        <w:jc w:val="center"/>
      </w:pPr>
      <w:r>
        <w:rPr>
          <w:rFonts w:eastAsia="等线" w:ascii="Arial" w:cs="Arial" w:hAnsi="Arial"/>
          <w:b w:val="true"/>
          <w:sz w:val="22"/>
        </w:rPr>
        <w:t>《广告发布合同》补充协议</w:t>
      </w:r>
    </w:p>
    <w:p>
      <w:pPr>
        <w:spacing w:before="120" w:after="120" w:line="288" w:lineRule="auto"/>
        <w:ind w:left="0" w:firstLine="0"/>
        <w:jc w:val="center"/>
      </w:pPr>
      <w:r>
        <w:rPr>
          <w:rFonts w:eastAsia="等线" w:ascii="Arial" w:cs="Arial" w:hAnsi="Arial"/>
          <w:b w:val="true"/>
          <w:sz w:val="22"/>
        </w:rPr>
        <w:t>Supplementary Agreement of the Advertisement Placement Contract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p>
    <w:p>
      <w:pPr>
        <w:spacing w:before="120" w:after="120" w:line="288" w:lineRule="auto"/>
        <w:ind w:left="0" w:firstLine="0"/>
        <w:jc w:val="left"/>
      </w:pPr>
      <w:r>
        <w:rPr>
          <w:rFonts w:eastAsia="等线" w:ascii="Arial" w:cs="Arial" w:hAnsi="Arial"/>
          <w:b w:val="true"/>
          <w:sz w:val="22"/>
        </w:rPr>
        <w:t>Party A:</w:t>
      </w:r>
    </w:p>
    <w:p>
      <w:pPr>
        <w:spacing w:before="120" w:after="120" w:line="288" w:lineRule="auto"/>
        <w:ind w:left="0" w:firstLine="0"/>
        <w:jc w:val="left"/>
      </w:pPr>
      <w:r>
        <w:rPr>
          <w:rFonts w:eastAsia="等线" w:ascii="Arial" w:cs="Arial" w:hAnsi="Arial"/>
          <w:b w:val="true"/>
          <w:sz w:val="22"/>
        </w:rPr>
        <w:t>地址：</w:t>
      </w:r>
    </w:p>
    <w:p>
      <w:pPr>
        <w:spacing w:before="120" w:after="120" w:line="288" w:lineRule="auto"/>
        <w:ind w:left="0" w:firstLine="0"/>
        <w:jc w:val="left"/>
      </w:pPr>
      <w:r>
        <w:rPr>
          <w:rFonts w:eastAsia="等线" w:ascii="Arial" w:cs="Arial" w:hAnsi="Arial"/>
          <w:b w:val="true"/>
          <w:sz w:val="22"/>
        </w:rPr>
        <w:t xml:space="preserve">Address: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乙方：</w:t>
      </w:r>
    </w:p>
    <w:p>
      <w:pPr>
        <w:spacing w:before="120" w:after="120" w:line="288" w:lineRule="auto"/>
        <w:ind w:left="0" w:firstLine="0"/>
        <w:jc w:val="left"/>
      </w:pPr>
      <w:r>
        <w:rPr>
          <w:rFonts w:eastAsia="等线" w:ascii="Arial" w:cs="Arial" w:hAnsi="Arial"/>
          <w:b w:val="true"/>
          <w:sz w:val="22"/>
        </w:rPr>
        <w:t>Party B:</w:t>
      </w:r>
    </w:p>
    <w:p>
      <w:pPr>
        <w:spacing w:before="120" w:after="120" w:line="288" w:lineRule="auto"/>
        <w:ind w:left="0" w:firstLine="0"/>
        <w:jc w:val="left"/>
      </w:pPr>
      <w:r>
        <w:rPr>
          <w:rFonts w:eastAsia="等线" w:ascii="Arial" w:cs="Arial" w:hAnsi="Arial"/>
          <w:b w:val="true"/>
          <w:sz w:val="22"/>
        </w:rPr>
        <w:t>地址：</w:t>
      </w:r>
    </w:p>
    <w:p>
      <w:pPr>
        <w:spacing w:before="120" w:after="120" w:line="288" w:lineRule="auto"/>
        <w:ind w:left="0" w:firstLine="0"/>
        <w:jc w:val="left"/>
      </w:pPr>
      <w:r>
        <w:rPr>
          <w:rFonts w:eastAsia="等线" w:ascii="Arial" w:cs="Arial" w:hAnsi="Arial"/>
          <w:b w:val="true"/>
          <w:sz w:val="22"/>
        </w:rPr>
        <w:t xml:space="preserve">Address: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鉴于：【】年【】月【】日，甲乙双方签署了《广告发布合同》及相关条款与政策，（下称“原合同”），原合同约定甲方委托乙方在【】平台进行广告发布服务。合同期限为自【】年【】月【】日起至【】年【】月【】日止。</w:t>
      </w:r>
    </w:p>
    <w:p>
      <w:pPr>
        <w:spacing w:before="120" w:after="120" w:line="288" w:lineRule="auto"/>
        <w:ind w:left="0" w:firstLine="0"/>
        <w:jc w:val="left"/>
      </w:pPr>
      <w:r>
        <w:rPr>
          <w:rFonts w:eastAsia="等线" w:ascii="Arial" w:cs="Arial" w:hAnsi="Arial"/>
          <w:sz w:val="22"/>
        </w:rPr>
        <w:t xml:space="preserve">Whereas: Party A and Party B has entered into the Advertisement Placement Contract on 【(day)  (month)  (year)】 (collectively as the “Original Contract”), which specifies that the Party A shall provide advertisement placement service on the platform (the "media") of 【】. Cooperation period: from  (day)   (month)  (year) to   (day)   (month)   (year). </w:t>
      </w:r>
    </w:p>
    <w:p>
      <w:pPr>
        <w:spacing w:before="120" w:after="120" w:line="288" w:lineRule="auto"/>
        <w:ind w:left="0" w:firstLine="0"/>
        <w:jc w:val="left"/>
      </w:pPr>
    </w:p>
    <w:p>
      <w:pPr>
        <w:numPr>
          <w:numId w:val="1"/>
        </w:numPr>
        <w:spacing w:before="120" w:after="120" w:line="288" w:lineRule="auto"/>
        <w:ind w:left="0"/>
        <w:jc w:val="left"/>
      </w:pPr>
      <w:r>
        <w:rPr>
          <w:rFonts w:eastAsia="等线" w:ascii="Arial" w:cs="Arial" w:hAnsi="Arial"/>
          <w:b w:val="true"/>
          <w:sz w:val="22"/>
        </w:rPr>
        <w:t>现应甲方要求，双方变更原合同中关于“广告投放媒体平台”的相关条款，具体内容如下：</w:t>
      </w:r>
    </w:p>
    <w:p>
      <w:pPr>
        <w:spacing w:before="120" w:after="120" w:line="288" w:lineRule="auto"/>
        <w:ind w:left="0" w:firstLine="420"/>
        <w:jc w:val="left"/>
      </w:pPr>
      <w:r>
        <w:rPr>
          <w:rFonts w:eastAsia="等线" w:ascii="Arial" w:cs="Arial" w:hAnsi="Arial"/>
          <w:sz w:val="22"/>
        </w:rPr>
        <w:t>At the request of Party A, the parties hereby modify the relevant terms of "Advertising media platform" in the Original Contract, which are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95"/>
        <w:gridCol w:w="4185"/>
      </w:tblGrid>
      <w:tr>
        <w:tc>
          <w:tcPr>
            <w:tcW w:w="40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原投放媒体平台</w:t>
            </w:r>
          </w:p>
          <w:p>
            <w:pPr>
              <w:spacing w:before="120" w:after="120" w:line="288" w:lineRule="auto"/>
              <w:ind w:left="0"/>
              <w:jc w:val="center"/>
            </w:pPr>
            <w:r>
              <w:rPr>
                <w:rFonts w:eastAsia="等线" w:ascii="Arial" w:cs="Arial" w:hAnsi="Arial"/>
                <w:b w:val="true"/>
                <w:sz w:val="22"/>
              </w:rPr>
              <w:t>The original advertising serving platforms</w:t>
            </w: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新增投放媒体平台</w:t>
            </w:r>
          </w:p>
          <w:p>
            <w:pPr>
              <w:spacing w:before="120" w:after="120" w:line="288" w:lineRule="auto"/>
              <w:ind w:left="0"/>
              <w:jc w:val="center"/>
            </w:pPr>
            <w:r>
              <w:rPr>
                <w:rFonts w:eastAsia="等线" w:ascii="Arial" w:cs="Arial" w:hAnsi="Arial"/>
                <w:b w:val="true"/>
                <w:sz w:val="22"/>
              </w:rPr>
              <w:t>Addition of advertising serving platforms</w:t>
            </w:r>
          </w:p>
        </w:tc>
      </w:tr>
      <w:tr>
        <w:tc>
          <w:tcPr>
            <w:tcW w:w="40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Meta（Facebook）、Google</w:t>
            </w: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Twitter（X）</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TikTok</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Outbrain</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Kwai</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Microsoft advertising(Bing)</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Amazon</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Applovin</w:t>
            </w:r>
          </w:p>
        </w:tc>
      </w:tr>
      <w:tr>
        <w:tc>
          <w:tcPr>
            <w:tcW w:w="4095" w:type="dxa"/>
            <w:vMerge w:val="continue"/>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Pinterest</w:t>
            </w:r>
          </w:p>
        </w:tc>
      </w:tr>
    </w:tbl>
    <w:p>
      <w:pPr>
        <w:spacing w:before="120" w:after="120" w:line="288" w:lineRule="auto"/>
        <w:ind w:left="0" w:firstLine="0"/>
        <w:jc w:val="left"/>
      </w:pPr>
    </w:p>
    <w:p>
      <w:pPr>
        <w:spacing w:before="120" w:after="120" w:line="288" w:lineRule="auto"/>
        <w:ind w:left="0" w:firstLine="0"/>
        <w:jc w:val="left"/>
      </w:pPr>
    </w:p>
    <w:p>
      <w:pPr>
        <w:numPr>
          <w:numId w:val="2"/>
        </w:numPr>
        <w:spacing w:before="120" w:after="120" w:line="288" w:lineRule="auto"/>
        <w:ind w:left="0"/>
        <w:jc w:val="left"/>
      </w:pPr>
      <w:r>
        <w:rPr>
          <w:rFonts w:eastAsia="等线" w:ascii="Arial" w:cs="Arial" w:hAnsi="Arial"/>
          <w:b w:val="true"/>
          <w:sz w:val="22"/>
        </w:rPr>
        <w:t>新增媒体平台投放政策：</w:t>
      </w:r>
    </w:p>
    <w:p>
      <w:pPr>
        <w:spacing w:before="120" w:after="120" w:line="288" w:lineRule="auto"/>
        <w:ind w:left="0" w:firstLine="420"/>
        <w:jc w:val="left"/>
      </w:pPr>
      <w:r>
        <w:rPr>
          <w:rFonts w:eastAsia="等线" w:ascii="Arial" w:cs="Arial" w:hAnsi="Arial"/>
          <w:b w:val="true"/>
          <w:sz w:val="22"/>
        </w:rPr>
        <w:t>Addition of media platform policy:</w:t>
      </w:r>
    </w:p>
    <w:p>
      <w:pPr>
        <w:numPr>
          <w:numId w:val="3"/>
        </w:numPr>
        <w:spacing w:before="120" w:after="120" w:line="288" w:lineRule="auto"/>
        <w:ind w:left="0"/>
        <w:jc w:val="left"/>
      </w:pPr>
      <w:r>
        <w:rPr>
          <w:rFonts w:eastAsia="等线" w:ascii="Arial" w:cs="Arial" w:hAnsi="Arial"/>
          <w:b w:val="true"/>
          <w:sz w:val="22"/>
        </w:rPr>
        <w:t>Twitter（X）</w:t>
      </w:r>
    </w:p>
    <w:p>
      <w:pPr>
        <w:spacing w:before="120" w:after="120" w:line="288" w:lineRule="auto"/>
        <w:ind w:left="0" w:firstLine="420"/>
        <w:jc w:val="left"/>
      </w:pPr>
      <w:r>
        <w:rPr>
          <w:rFonts w:eastAsia="等线" w:ascii="Arial" w:cs="Arial" w:hAnsi="Arial"/>
          <w:sz w:val="22"/>
        </w:rPr>
        <w:t>甲方认可因媒体回滚造成的广告费用，甲方需按照媒体账单支付广告费用。</w:t>
      </w:r>
    </w:p>
    <w:p>
      <w:pPr>
        <w:spacing w:before="120" w:after="120" w:line="288" w:lineRule="auto"/>
        <w:ind w:left="0" w:firstLine="420"/>
        <w:jc w:val="left"/>
      </w:pPr>
      <w:r>
        <w:rPr>
          <w:rFonts w:eastAsia="等线" w:ascii="Arial" w:cs="Arial" w:hAnsi="Arial"/>
          <w:sz w:val="22"/>
        </w:rPr>
        <w:t>Party A agrees to pay for the advertising costs caused by the media roll-back display. Party A shall pay the advertising costs based on the media’ s bill.</w:t>
      </w:r>
    </w:p>
    <w:p>
      <w:pPr>
        <w:numPr>
          <w:numId w:val="4"/>
        </w:numPr>
        <w:spacing w:before="120" w:after="120" w:line="288" w:lineRule="auto"/>
        <w:ind w:left="0"/>
        <w:jc w:val="left"/>
      </w:pPr>
      <w:r>
        <w:rPr>
          <w:rFonts w:eastAsia="等线" w:ascii="Arial" w:cs="Arial" w:hAnsi="Arial"/>
          <w:b w:val="true"/>
          <w:sz w:val="22"/>
        </w:rPr>
        <w:t>TikTok</w:t>
      </w:r>
    </w:p>
    <w:p>
      <w:pPr>
        <w:spacing w:before="120" w:after="120" w:line="288" w:lineRule="auto"/>
        <w:ind w:left="0" w:firstLine="420"/>
        <w:jc w:val="left"/>
      </w:pPr>
      <w:r>
        <w:rPr>
          <w:rFonts w:eastAsia="等线" w:ascii="Arial" w:cs="Arial" w:hAnsi="Arial"/>
          <w:sz w:val="22"/>
        </w:rPr>
        <w:t>2.1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420"/>
        <w:jc w:val="left"/>
      </w:pPr>
      <w:r>
        <w:rPr>
          <w:rFonts w:eastAsia="等线" w:ascii="Arial" w:cs="Arial" w:hAnsi="Arial"/>
          <w:sz w:val="22"/>
        </w:rPr>
        <w:t>Party A shall abide by the media advertising policies（including but not limited &lt;TikTok Advertising Policies &gt; which website is https://ads.TikTok.com/help/article?aid=9550）, and Party B shall have the right to supervise and inspect Party A's advertising. Party A shall be obliged to implement its advertising placement in accordance with the media policies provided by Party B. Otherwise, Party A shall bear the losses incurred due to violation of media policies.</w:t>
      </w:r>
    </w:p>
    <w:p>
      <w:pPr>
        <w:spacing w:before="120" w:after="120" w:line="288" w:lineRule="auto"/>
        <w:ind w:left="0" w:firstLine="420"/>
        <w:jc w:val="left"/>
      </w:pPr>
      <w:r>
        <w:rPr>
          <w:rFonts w:eastAsia="等线" w:ascii="Arial" w:cs="Arial" w:hAnsi="Arial"/>
          <w:sz w:val="22"/>
        </w:rPr>
        <w:t>2.2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420"/>
        <w:jc w:val="left"/>
      </w:pPr>
      <w:r>
        <w:rPr>
          <w:rFonts w:eastAsia="等线" w:ascii="Arial" w:cs="Arial" w:hAnsi="Arial"/>
          <w:sz w:val="22"/>
        </w:rPr>
        <w:t>If Party A publish an advertisement that is prohibited by law , or may lead to the risk of violation of laws and regulations, or may seriously violate public order and customs, or break the relevant rules of TikTok’s policy, TikTok shall have the right, including but not limited to take the advertising offline , close the advertising account, cancel the rebates, non-refund of all advertising account balances, penalties for liquidated damage, etc.</w:t>
      </w:r>
    </w:p>
    <w:p>
      <w:pPr>
        <w:spacing w:before="120" w:after="120" w:line="288" w:lineRule="auto"/>
        <w:ind w:left="0" w:firstLine="420"/>
        <w:jc w:val="left"/>
      </w:pPr>
      <w:r>
        <w:rPr>
          <w:rFonts w:eastAsia="等线" w:ascii="Arial" w:cs="Arial" w:hAnsi="Arial"/>
          <w:sz w:val="22"/>
        </w:rPr>
        <w:t>2.3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420"/>
        <w:jc w:val="left"/>
      </w:pPr>
      <w:r>
        <w:rPr>
          <w:rFonts w:eastAsia="等线" w:ascii="Arial" w:cs="Arial" w:hAnsi="Arial"/>
          <w:sz w:val="22"/>
        </w:rPr>
        <w:t>Party A shall bear independently the adverse consequences of the above-mentioned penalty if Party A violates the rules and regulations. If Party A’s serious actions result in additional fines by TikTok, Party A shall bear such additional fines on its own. Party B shall have the right to claim from Party A losses caused by any policy update. In the event of any above-mentioned case, Party B shall have the right to deduct the corresponding fine from Party A's account, or to request Party A to pay the fine to the designated account of Party B within 10 working days from the date Party B sending out email notifying fines due to breaching advertisement placement.</w:t>
      </w:r>
    </w:p>
    <w:p>
      <w:pPr>
        <w:numPr>
          <w:numId w:val="5"/>
        </w:numPr>
        <w:spacing w:before="120" w:after="120" w:line="288" w:lineRule="auto"/>
        <w:ind w:left="0"/>
        <w:jc w:val="left"/>
      </w:pPr>
      <w:r>
        <w:rPr>
          <w:rFonts w:eastAsia="等线" w:ascii="Arial" w:cs="Arial" w:hAnsi="Arial"/>
          <w:sz w:val="22"/>
        </w:rPr>
        <w:t>Outbrain</w:t>
      </w:r>
    </w:p>
    <w:p>
      <w:pPr>
        <w:spacing w:before="120" w:after="120" w:line="288" w:lineRule="auto"/>
        <w:ind w:left="0" w:firstLine="420"/>
        <w:jc w:val="left"/>
      </w:pPr>
      <w:r>
        <w:rPr>
          <w:rFonts w:eastAsia="等线" w:ascii="Arial" w:cs="Arial" w:hAnsi="Arial"/>
          <w:sz w:val="22"/>
        </w:rPr>
        <w:t>以Outbrain媒体的政策为准</w:t>
      </w:r>
    </w:p>
    <w:p>
      <w:pPr>
        <w:spacing w:before="120" w:after="120" w:line="288" w:lineRule="auto"/>
        <w:ind w:left="0" w:firstLine="420"/>
        <w:jc w:val="left"/>
      </w:pPr>
      <w:r>
        <w:rPr>
          <w:rFonts w:eastAsia="等线" w:ascii="Arial" w:cs="Arial" w:hAnsi="Arial"/>
          <w:sz w:val="22"/>
        </w:rPr>
        <w:t>Outbrain media's policies shall govern.</w:t>
      </w:r>
    </w:p>
    <w:p>
      <w:pPr>
        <w:numPr>
          <w:numId w:val="6"/>
        </w:numPr>
        <w:spacing w:before="120" w:after="120" w:line="288" w:lineRule="auto"/>
        <w:ind w:left="0"/>
        <w:jc w:val="left"/>
      </w:pPr>
      <w:r>
        <w:rPr>
          <w:rFonts w:eastAsia="等线" w:ascii="Arial" w:cs="Arial" w:hAnsi="Arial"/>
          <w:sz w:val="22"/>
        </w:rPr>
        <w:t>快手Kwai</w:t>
      </w:r>
    </w:p>
    <w:p>
      <w:pPr>
        <w:spacing w:before="120" w:after="120" w:line="288" w:lineRule="auto"/>
        <w:ind w:left="0" w:firstLine="420"/>
        <w:jc w:val="left"/>
      </w:pPr>
      <w:r>
        <w:rPr>
          <w:rFonts w:eastAsia="等线" w:ascii="Arial" w:cs="Arial" w:hAnsi="Arial"/>
          <w:sz w:val="22"/>
        </w:rPr>
        <w:t>以快手Kwai媒体的政策为准。</w:t>
      </w:r>
    </w:p>
    <w:p>
      <w:pPr>
        <w:spacing w:before="120" w:after="120" w:line="288" w:lineRule="auto"/>
        <w:ind w:left="0" w:firstLine="420"/>
        <w:jc w:val="left"/>
      </w:pPr>
      <w:r>
        <w:rPr>
          <w:rFonts w:eastAsia="等线" w:ascii="Arial" w:cs="Arial" w:hAnsi="Arial"/>
          <w:sz w:val="22"/>
        </w:rPr>
        <w:t>Kwai media's policies shall govern.</w:t>
      </w:r>
    </w:p>
    <w:p>
      <w:pPr>
        <w:numPr>
          <w:numId w:val="7"/>
        </w:numPr>
        <w:spacing w:before="120" w:after="120" w:line="288" w:lineRule="auto"/>
        <w:ind w:left="0"/>
        <w:jc w:val="left"/>
      </w:pPr>
      <w:r>
        <w:rPr>
          <w:rFonts w:eastAsia="等线" w:ascii="Arial" w:cs="Arial" w:hAnsi="Arial"/>
          <w:sz w:val="22"/>
        </w:rPr>
        <w:t>Microsoft advertising(Bing)</w:t>
      </w:r>
    </w:p>
    <w:p>
      <w:pPr>
        <w:spacing w:before="120" w:after="120" w:line="288" w:lineRule="auto"/>
        <w:ind w:left="0" w:firstLine="420"/>
        <w:jc w:val="left"/>
      </w:pPr>
      <w:r>
        <w:rPr>
          <w:rFonts w:eastAsia="等线" w:ascii="Arial" w:cs="Arial" w:hAnsi="Arial"/>
          <w:sz w:val="22"/>
        </w:rPr>
        <w:t>以Microsoft advertising(Bing)媒体的政策为准。</w:t>
      </w:r>
    </w:p>
    <w:p>
      <w:pPr>
        <w:spacing w:before="120" w:after="120" w:line="288" w:lineRule="auto"/>
        <w:ind w:left="0" w:firstLine="420"/>
        <w:jc w:val="left"/>
      </w:pPr>
      <w:r>
        <w:rPr>
          <w:rFonts w:eastAsia="等线" w:ascii="Arial" w:cs="Arial" w:hAnsi="Arial"/>
          <w:sz w:val="22"/>
        </w:rPr>
        <w:t>Microsoft advertising(Bing) media's policies shall govern.</w:t>
      </w:r>
    </w:p>
    <w:p>
      <w:pPr>
        <w:numPr>
          <w:numId w:val="8"/>
        </w:numPr>
        <w:spacing w:before="120" w:after="120" w:line="288" w:lineRule="auto"/>
        <w:ind w:left="0"/>
        <w:jc w:val="left"/>
      </w:pPr>
      <w:r>
        <w:rPr>
          <w:rFonts w:eastAsia="等线" w:ascii="Arial" w:cs="Arial" w:hAnsi="Arial"/>
          <w:sz w:val="22"/>
        </w:rPr>
        <w:t xml:space="preserve">以Amazon媒体的政策为准。 </w:t>
      </w:r>
    </w:p>
    <w:p>
      <w:pPr>
        <w:spacing w:before="120" w:after="120" w:line="288" w:lineRule="auto"/>
        <w:ind w:left="0" w:firstLine="420"/>
        <w:jc w:val="left"/>
      </w:pPr>
      <w:r>
        <w:rPr>
          <w:rFonts w:eastAsia="等线" w:ascii="Arial" w:cs="Arial" w:hAnsi="Arial"/>
          <w:sz w:val="22"/>
        </w:rPr>
        <w:t>Amazon's policies shall govern.</w:t>
      </w:r>
    </w:p>
    <w:p>
      <w:pPr>
        <w:numPr>
          <w:numId w:val="9"/>
        </w:numPr>
        <w:spacing w:before="120" w:after="120" w:line="288" w:lineRule="auto"/>
        <w:ind w:left="0"/>
        <w:jc w:val="left"/>
      </w:pPr>
      <w:r>
        <w:rPr>
          <w:rFonts w:eastAsia="等线" w:ascii="Arial" w:cs="Arial" w:hAnsi="Arial"/>
          <w:sz w:val="22"/>
        </w:rPr>
        <w:t xml:space="preserve">以Applovin媒体的政策为准。 </w:t>
      </w:r>
    </w:p>
    <w:p>
      <w:pPr>
        <w:spacing w:before="120" w:after="120" w:line="288" w:lineRule="auto"/>
        <w:ind w:left="0" w:firstLine="420"/>
        <w:jc w:val="left"/>
      </w:pPr>
      <w:r>
        <w:rPr>
          <w:rFonts w:eastAsia="等线" w:ascii="Arial" w:cs="Arial" w:hAnsi="Arial"/>
          <w:sz w:val="22"/>
        </w:rPr>
        <w:t>Applovin's policies shall govern.</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三、 新增媒体平台返点政策</w:t>
      </w:r>
    </w:p>
    <w:p>
      <w:pPr>
        <w:spacing w:before="120" w:after="120" w:line="288" w:lineRule="auto"/>
        <w:ind w:left="0" w:firstLine="420"/>
        <w:jc w:val="left"/>
      </w:pPr>
      <w:r>
        <w:rPr>
          <w:rFonts w:eastAsia="等线" w:ascii="Arial" w:cs="Arial" w:hAnsi="Arial"/>
          <w:b w:val="true"/>
          <w:sz w:val="22"/>
        </w:rPr>
        <w:t>Addition of media platform Rebates policy</w:t>
      </w:r>
    </w:p>
    <w:p>
      <w:pPr>
        <w:spacing w:before="120" w:after="120" w:line="288" w:lineRule="auto"/>
        <w:ind w:left="0" w:firstLine="420"/>
        <w:jc w:val="left"/>
      </w:pPr>
      <w:r>
        <w:rPr>
          <w:rFonts w:eastAsia="等线" w:ascii="Arial" w:cs="Arial" w:hAnsi="Arial"/>
          <w:b w:val="true"/>
          <w:sz w:val="22"/>
        </w:rPr>
        <w:t>本合同适用以下第【】种返点政策</w:t>
      </w:r>
    </w:p>
    <w:p>
      <w:pPr>
        <w:spacing w:before="120" w:after="120" w:line="288" w:lineRule="auto"/>
        <w:ind w:left="0" w:firstLine="420"/>
        <w:jc w:val="left"/>
      </w:pPr>
      <w:r>
        <w:rPr>
          <w:rFonts w:eastAsia="等线" w:ascii="Arial" w:cs="Arial" w:hAnsi="Arial"/>
          <w:b w:val="true"/>
          <w:sz w:val="22"/>
        </w:rPr>
        <w:t>The following rebate policies【】are applied</w:t>
      </w:r>
    </w:p>
    <w:p>
      <w:pPr>
        <w:pStyle w:val="4"/>
        <w:spacing w:before="260" w:after="120" w:line="288" w:lineRule="auto"/>
        <w:ind w:left="0"/>
        <w:jc w:val="left"/>
        <w:outlineLvl w:val="3"/>
      </w:pPr>
      <w:bookmarkStart w:name="heading_0" w:id="0"/>
      <w:r>
        <w:rPr>
          <w:rFonts w:eastAsia="等线" w:ascii="Arial" w:cs="Arial" w:hAnsi="Arial"/>
          <w:color w:val="3370ff"/>
          <w:sz w:val="28"/>
        </w:rPr>
        <w:t xml:space="preserve">1. </w:t>
      </w:r>
      <w:r>
        <w:rPr>
          <w:rFonts w:eastAsia="等线" w:ascii="Arial" w:cs="Arial" w:hAnsi="Arial"/>
          <w:b w:val="true"/>
          <w:sz w:val="28"/>
        </w:rPr>
        <w:t xml:space="preserve">TikTok </w:t>
      </w:r>
      <w:bookmarkEnd w:id="0"/>
    </w:p>
    <w:p>
      <w:pPr>
        <w:numPr>
          <w:numId w:val="10"/>
        </w:numPr>
        <w:spacing w:before="120" w:after="120" w:line="288" w:lineRule="auto"/>
        <w:ind w:left="0"/>
        <w:jc w:val="left"/>
      </w:pPr>
      <w:r>
        <w:rPr>
          <w:rFonts w:eastAsia="等线" w:ascii="Arial" w:cs="Arial" w:hAnsi="Arial"/>
          <w:b w:val="true"/>
          <w:sz w:val="22"/>
        </w:rPr>
        <w:t>基础返点</w:t>
      </w:r>
    </w:p>
    <w:p>
      <w:pPr>
        <w:spacing w:before="120" w:after="120" w:line="288" w:lineRule="auto"/>
        <w:ind w:left="0" w:firstLine="420"/>
        <w:jc w:val="left"/>
      </w:pPr>
      <w:r>
        <w:rPr>
          <w:rFonts w:eastAsia="等线" w:ascii="Arial" w:cs="Arial" w:hAnsi="Arial"/>
          <w:b w:val="true"/>
          <w:sz w:val="22"/>
        </w:rPr>
        <w:t>General Rebate</w:t>
      </w:r>
    </w:p>
    <w:p>
      <w:pPr>
        <w:spacing w:before="120" w:after="120" w:line="288" w:lineRule="auto"/>
        <w:ind w:left="0" w:firstLine="420"/>
        <w:jc w:val="left"/>
      </w:pPr>
      <w:r>
        <w:rPr>
          <w:rFonts w:eastAsia="等线" w:ascii="Arial" w:cs="Arial" w:hAnsi="Arial"/>
          <w:sz w:val="22"/>
        </w:rPr>
        <w:t>1.1.1甲方投放TikTok for Business广告的，可以获得以下返点：</w:t>
      </w:r>
    </w:p>
    <w:p>
      <w:pPr>
        <w:spacing w:before="120" w:after="120" w:line="288" w:lineRule="auto"/>
        <w:ind w:left="0" w:firstLine="420"/>
        <w:jc w:val="left"/>
      </w:pPr>
      <w:r>
        <w:rPr>
          <w:rFonts w:eastAsia="等线" w:ascii="Arial" w:cs="Arial" w:hAnsi="Arial"/>
          <w:sz w:val="22"/>
        </w:rPr>
        <w:t>If Party A places advertisements on TikTok for Business, the following rebates can be obtained</w:t>
      </w:r>
    </w:p>
    <w:p>
      <w:pPr>
        <w:numPr>
          <w:numId w:val="11"/>
        </w:numPr>
        <w:spacing w:before="120" w:after="120" w:line="288" w:lineRule="auto"/>
        <w:ind w:left="0"/>
        <w:jc w:val="left"/>
      </w:pPr>
      <w:r>
        <w:rPr>
          <w:rFonts w:eastAsia="等线" w:ascii="Arial" w:cs="Arial" w:hAnsi="Arial"/>
          <w:sz w:val="22"/>
        </w:rPr>
        <w:t>基础返点：【 %】</w:t>
      </w:r>
    </w:p>
    <w:p>
      <w:pPr>
        <w:spacing w:before="120" w:after="120" w:line="288" w:lineRule="auto"/>
        <w:ind w:left="0" w:firstLine="420"/>
        <w:jc w:val="left"/>
      </w:pPr>
      <w:r>
        <w:rPr>
          <w:rFonts w:eastAsia="等线" w:ascii="Arial" w:cs="Arial" w:hAnsi="Arial"/>
          <w:sz w:val="22"/>
        </w:rPr>
        <w:t>General rebate：【%】</w:t>
      </w:r>
    </w:p>
    <w:p>
      <w:pPr>
        <w:numPr>
          <w:numId w:val="12"/>
        </w:numPr>
        <w:spacing w:before="120" w:after="120" w:line="288" w:lineRule="auto"/>
        <w:ind w:left="0"/>
        <w:jc w:val="left"/>
      </w:pPr>
      <w:r>
        <w:rPr>
          <w:rFonts w:eastAsia="等线" w:ascii="Arial" w:cs="Arial" w:hAnsi="Arial"/>
          <w:sz w:val="22"/>
        </w:rPr>
        <w:t>季度X返点：【  %】，最终以乙方核算结果为准。</w:t>
      </w:r>
    </w:p>
    <w:p>
      <w:pPr>
        <w:spacing w:before="120" w:after="120" w:line="288" w:lineRule="auto"/>
        <w:ind w:left="0" w:firstLine="420"/>
        <w:jc w:val="left"/>
      </w:pPr>
      <w:r>
        <w:rPr>
          <w:rFonts w:eastAsia="等线" w:ascii="Arial" w:cs="Arial" w:hAnsi="Arial"/>
          <w:sz w:val="22"/>
        </w:rPr>
        <w:t>Quarterly X rebate：【%】the final result shall be subject to the calculation of Party B</w:t>
      </w:r>
    </w:p>
    <w:p>
      <w:pPr>
        <w:numPr>
          <w:numId w:val="13"/>
        </w:numPr>
        <w:spacing w:before="120" w:after="120" w:line="288" w:lineRule="auto"/>
        <w:ind w:left="0"/>
        <w:jc w:val="left"/>
      </w:pPr>
      <w:r>
        <w:rPr>
          <w:rFonts w:eastAsia="等线" w:ascii="Arial" w:cs="Arial" w:hAnsi="Arial"/>
          <w:sz w:val="22"/>
        </w:rPr>
        <w:t>美国地区(US)、欧盟地区(EU)及拉丁美洲地区(LATAM)的本本店铺无任何返点。</w:t>
      </w:r>
    </w:p>
    <w:p>
      <w:pPr>
        <w:spacing w:before="120" w:after="120" w:line="288" w:lineRule="auto"/>
        <w:ind w:left="0" w:firstLine="420"/>
        <w:jc w:val="left"/>
      </w:pPr>
      <w:r>
        <w:rPr>
          <w:rFonts w:eastAsia="等线" w:ascii="Arial" w:cs="Arial" w:hAnsi="Arial"/>
          <w:sz w:val="22"/>
        </w:rPr>
        <w:t>“Local store” within the United States (US), European Union (EU), and Latin America (LATAM) shall not be eligible for any rebates.</w:t>
      </w:r>
    </w:p>
    <w:p>
      <w:pPr>
        <w:numPr>
          <w:numId w:val="14"/>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spacing w:before="120" w:after="120" w:line="288" w:lineRule="auto"/>
        <w:ind w:left="0" w:firstLine="420"/>
        <w:jc w:val="left"/>
      </w:pPr>
      <w:r>
        <w:rPr>
          <w:rFonts w:eastAsia="等线" w:ascii="Arial" w:cs="Arial" w:hAnsi="Arial"/>
          <w:sz w:val="22"/>
        </w:rPr>
        <w:t>"Local Store" refers to an e-commerce store established and actually operated by the seller in the target sales country/region based on local qualifications, and usually has the following characteristics:</w:t>
      </w:r>
    </w:p>
    <w:p>
      <w:pPr>
        <w:numPr>
          <w:numId w:val="15"/>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spacing w:before="120" w:after="120" w:line="288" w:lineRule="auto"/>
        <w:ind w:left="0" w:firstLine="420"/>
        <w:jc w:val="left"/>
      </w:pPr>
      <w:r>
        <w:rPr>
          <w:rFonts w:eastAsia="等线" w:ascii="Arial" w:cs="Arial" w:hAnsi="Arial"/>
          <w:sz w:val="22"/>
        </w:rPr>
        <w:t>Local registered entity: The registered entity must be a natural person with local identity in the country/region or a legally registered local legal person, and must submit valid local identity proof (such as passport, driver's license), tax number (such as SSN/ITIN), business license of the enterprise, and associated local mobile phone number, email information, etc</w:t>
      </w:r>
    </w:p>
    <w:p>
      <w:pPr>
        <w:numPr>
          <w:numId w:val="16"/>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spacing w:before="120" w:after="120" w:line="288" w:lineRule="auto"/>
        <w:ind w:left="0" w:firstLine="420"/>
        <w:jc w:val="left"/>
      </w:pPr>
      <w:r>
        <w:rPr>
          <w:rFonts w:eastAsia="等线" w:ascii="Arial" w:cs="Arial" w:hAnsi="Arial"/>
          <w:sz w:val="22"/>
        </w:rPr>
        <w:t>Local fulfillment and logistics: goods must be stored in local warehouses or dispatched through the local logistics system to ensure local fulfillment of orders and meet the platform's requirements for fulfillment efficiency</w:t>
      </w:r>
    </w:p>
    <w:p>
      <w:pPr>
        <w:numPr>
          <w:numId w:val="17"/>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spacing w:before="120" w:after="120" w:line="288" w:lineRule="auto"/>
        <w:ind w:left="0" w:firstLine="420"/>
        <w:jc w:val="left"/>
      </w:pPr>
      <w:r>
        <w:rPr>
          <w:rFonts w:eastAsia="等线" w:ascii="Arial" w:cs="Arial" w:hAnsi="Arial"/>
          <w:sz w:val="22"/>
        </w:rPr>
        <w:t>Localized business targets: mainly sells to TikTok platform users in the same country/region and does not involve cross-border export business;</w:t>
      </w:r>
    </w:p>
    <w:p>
      <w:pPr>
        <w:numPr>
          <w:numId w:val="18"/>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spacing w:before="120" w:after="120" w:line="288" w:lineRule="auto"/>
        <w:ind w:left="0" w:firstLine="420"/>
        <w:jc w:val="left"/>
      </w:pPr>
      <w:r>
        <w:rPr>
          <w:rFonts w:eastAsia="等线" w:ascii="Arial" w:cs="Arial" w:hAnsi="Arial"/>
          <w:sz w:val="22"/>
        </w:rPr>
        <w:t>Different from cross-border stores（POP）: different from "cross-border stores" registered by entities from the Chinese mainland or Hong Kong and operating in a cross-border manner, "benben stores" are subject to local standards in terms of qualification recognition, fulfillment methods, subsidy rules and platform attributes</w:t>
      </w:r>
    </w:p>
    <w:p>
      <w:pPr>
        <w:numPr>
          <w:numId w:val="19"/>
        </w:numPr>
        <w:spacing w:before="120" w:after="120" w:line="288" w:lineRule="auto"/>
        <w:ind w:left="0"/>
        <w:jc w:val="left"/>
      </w:pPr>
      <w:r>
        <w:rPr>
          <w:rFonts w:eastAsia="等线" w:ascii="Arial" w:cs="Arial" w:hAnsi="Arial"/>
          <w:b w:val="true"/>
          <w:sz w:val="22"/>
        </w:rPr>
        <w:t>专项返点</w:t>
      </w:r>
    </w:p>
    <w:p>
      <w:pPr>
        <w:spacing w:before="120" w:after="120" w:line="288" w:lineRule="auto"/>
        <w:ind w:left="0" w:firstLine="420"/>
        <w:jc w:val="left"/>
      </w:pPr>
      <w:r>
        <w:rPr>
          <w:rFonts w:eastAsia="等线" w:ascii="Arial" w:cs="Arial" w:hAnsi="Arial"/>
          <w:b w:val="true"/>
          <w:sz w:val="22"/>
        </w:rPr>
        <w:t>Specific Rebate</w:t>
      </w:r>
    </w:p>
    <w:p>
      <w:pPr>
        <w:numPr>
          <w:numId w:val="20"/>
        </w:numPr>
        <w:spacing w:before="120" w:after="120" w:line="288" w:lineRule="auto"/>
        <w:ind w:left="0"/>
        <w:jc w:val="left"/>
      </w:pPr>
      <w:r>
        <w:rPr>
          <w:rFonts w:eastAsia="等线" w:ascii="Arial" w:cs="Arial" w:hAnsi="Arial"/>
          <w:sz w:val="22"/>
        </w:rPr>
        <w:t>甲方的Shop被媒体判断符合【通用新开】标准的，则甲方满足标准的每个Shop有机会可以额外获得如下返点奖励，金额最终以媒体判定为准：</w:t>
      </w:r>
    </w:p>
    <w:p>
      <w:pPr>
        <w:spacing w:before="120" w:after="120" w:line="288" w:lineRule="auto"/>
        <w:ind w:left="0" w:firstLine="420"/>
        <w:jc w:val="left"/>
      </w:pPr>
      <w:r>
        <w:rPr>
          <w:rFonts w:eastAsia="等线" w:ascii="Arial" w:cs="Arial" w:hAnsi="Arial"/>
          <w:sz w:val="22"/>
        </w:rPr>
        <w:t>If Party A's shop assessed by the media as [General Rebate for New Shops (New Clients)]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p>
            <w:pPr>
              <w:spacing w:before="120" w:after="120" w:line="288" w:lineRule="auto"/>
              <w:ind w:left="0"/>
              <w:jc w:val="center"/>
            </w:pPr>
            <w:r>
              <w:rPr>
                <w:rFonts w:eastAsia="等线" w:ascii="Arial" w:cs="Arial" w:hAnsi="Arial"/>
                <w:b w:val="true"/>
                <w:sz w:val="22"/>
              </w:rPr>
              <w:t>Incentives for New TTS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p>
            <w:pPr>
              <w:spacing w:before="120" w:after="120" w:line="288" w:lineRule="auto"/>
              <w:ind w:left="0"/>
              <w:jc w:val="center"/>
            </w:pPr>
            <w:r>
              <w:rPr>
                <w:rFonts w:eastAsia="等线" w:ascii="Arial" w:cs="Arial" w:hAnsi="Arial"/>
                <w:sz w:val="22"/>
              </w:rPr>
              <w:t>Quarterly EC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Shop在TikTok的首次广告消耗发生在本季度；</w:t>
            </w:r>
          </w:p>
          <w:p>
            <w:pPr>
              <w:spacing w:before="120" w:after="120" w:line="288" w:lineRule="auto"/>
              <w:ind w:left="0"/>
              <w:jc w:val="left"/>
            </w:pPr>
            <w:r>
              <w:rPr>
                <w:rFonts w:eastAsia="等线" w:ascii="Arial" w:cs="Arial" w:hAnsi="Arial"/>
                <w:sz w:val="22"/>
              </w:rPr>
              <w:t>Shop's first advertising expenditure on TikTok occurred this quarter</w:t>
            </w:r>
          </w:p>
          <w:p>
            <w:pPr>
              <w:numPr>
                <w:numId w:val="22"/>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spacing w:before="120" w:after="120" w:line="288" w:lineRule="auto"/>
              <w:ind w:left="0"/>
              <w:jc w:val="left"/>
            </w:pPr>
            <w:r>
              <w:rPr>
                <w:rFonts w:eastAsia="等线" w:ascii="Arial" w:cs="Arial" w:hAnsi="Arial"/>
                <w:sz w:val="22"/>
              </w:rPr>
              <w:t>For the advertising placement in the US/SEA region, the first advertising consumption of the advertising client group occurred in this quarter, and the closed-loop e-commerce advertising performance of Shop in this quarter was no less than $1000.</w:t>
            </w:r>
          </w:p>
          <w:p>
            <w:pPr>
              <w:numPr>
                <w:numId w:val="23"/>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spacing w:before="120" w:after="120" w:line="288" w:lineRule="auto"/>
              <w:ind w:left="0"/>
              <w:jc w:val="left"/>
            </w:pPr>
            <w:r>
              <w:rPr>
                <w:rFonts w:eastAsia="等线" w:ascii="Arial" w:cs="Arial" w:hAnsi="Arial"/>
                <w:sz w:val="22"/>
              </w:rPr>
              <w:t>For advertising placements in countries other than US/SEA, the first advertising expenditure of the advertising client group in that country occurred in this quarter, and Shop's closed-loop e-commerce advertising performance in that country in this quarter was no less than $1,000.</w:t>
            </w:r>
          </w:p>
          <w:p>
            <w:pPr>
              <w:numPr>
                <w:numId w:val="24"/>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spacing w:before="120" w:after="120" w:line="288" w:lineRule="auto"/>
              <w:ind w:left="0"/>
              <w:jc w:val="left"/>
            </w:pPr>
            <w:r>
              <w:rPr>
                <w:rFonts w:eastAsia="等线" w:ascii="Arial" w:cs="Arial" w:hAnsi="Arial"/>
                <w:sz w:val="22"/>
              </w:rPr>
              <w:t>The Incentives for New TTS shall no longer apply universally to all Shop types. The specific eligibility criteria and scope of application shall be exclusively governed by the Platform’s Media Policy.</w:t>
            </w:r>
          </w:p>
          <w:p>
            <w:pPr>
              <w:spacing w:before="120" w:after="120" w:line="288" w:lineRule="auto"/>
              <w:ind w:left="0"/>
              <w:jc w:val="left"/>
            </w:pPr>
            <w:r>
              <w:rPr>
                <w:rFonts w:eastAsia="等线" w:ascii="Arial" w:cs="Arial" w:hAnsi="Arial"/>
                <w:sz w:val="22"/>
              </w:rPr>
              <w:t>(5) 投放地的划分基于TTS Operation Country来判定</w:t>
            </w:r>
          </w:p>
          <w:p>
            <w:pPr>
              <w:spacing w:before="120" w:after="120" w:line="288" w:lineRule="auto"/>
              <w:ind w:left="0"/>
              <w:jc w:val="left"/>
            </w:pPr>
            <w:r>
              <w:rPr>
                <w:rFonts w:eastAsia="等线" w:ascii="Arial" w:cs="Arial" w:hAnsi="Arial"/>
                <w:sz w:val="22"/>
              </w:rPr>
              <w:t>The division of placement locations is determined based on TTS Operation Country</w:t>
            </w:r>
          </w:p>
          <w:p>
            <w:pPr>
              <w:spacing w:before="120" w:after="120" w:line="288" w:lineRule="auto"/>
              <w:ind w:left="0"/>
              <w:jc w:val="left"/>
            </w:pPr>
            <w:r>
              <w:rPr>
                <w:rFonts w:eastAsia="等线" w:ascii="Arial" w:cs="Arial" w:hAnsi="Arial"/>
                <w:sz w:val="22"/>
              </w:rPr>
              <w:t xml:space="preserve">(6)投广客户集团的认定以媒体判定为准； </w:t>
            </w:r>
          </w:p>
          <w:p>
            <w:pPr>
              <w:spacing w:before="120" w:after="120" w:line="288" w:lineRule="auto"/>
              <w:ind w:left="0"/>
              <w:jc w:val="left"/>
            </w:pPr>
            <w:r>
              <w:rPr>
                <w:rFonts w:eastAsia="等线" w:ascii="Arial" w:cs="Arial" w:hAnsi="Arial"/>
                <w:sz w:val="22"/>
              </w:rPr>
              <w:t>The determination of an advertising client group shall be subject to the media party's judgment.</w:t>
            </w:r>
          </w:p>
          <w:p>
            <w:pPr>
              <w:spacing w:before="120" w:after="120" w:line="288" w:lineRule="auto"/>
              <w:ind w:left="0"/>
              <w:jc w:val="left"/>
            </w:pPr>
            <w:r>
              <w:rPr>
                <w:rFonts w:eastAsia="等线" w:ascii="Arial" w:cs="Arial" w:hAnsi="Arial"/>
                <w:sz w:val="22"/>
              </w:rPr>
              <w:t>(7) 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25"/>
        </w:numPr>
        <w:spacing w:before="120" w:after="120" w:line="288" w:lineRule="auto"/>
        <w:ind w:left="0"/>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broadcast and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p>
            <w:pPr>
              <w:spacing w:before="120" w:after="120" w:line="288" w:lineRule="auto"/>
              <w:ind w:left="0"/>
              <w:jc w:val="center"/>
            </w:pPr>
            <w:r>
              <w:rPr>
                <w:rFonts w:eastAsia="等线" w:ascii="Arial" w:cs="Arial" w:hAnsi="Arial"/>
                <w:b w:val="true"/>
                <w:sz w:val="22"/>
              </w:rPr>
              <w:t>Incentives for First broadcast and first placement 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 xml:space="preserve">Quarterly LSA Advertising </w:t>
            </w:r>
          </w:p>
          <w:p>
            <w:pPr>
              <w:spacing w:before="120" w:after="120" w:line="288" w:lineRule="auto"/>
              <w:ind w:left="0"/>
              <w:jc w:val="center"/>
            </w:pPr>
            <w:r>
              <w:rPr>
                <w:rFonts w:eastAsia="等线" w:ascii="Arial" w:cs="Arial" w:hAnsi="Arial"/>
                <w:sz w:val="22"/>
              </w:rPr>
              <w:t>Expenditure</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spacing w:before="120" w:after="120" w:line="288" w:lineRule="auto"/>
              <w:ind w:left="0"/>
              <w:jc w:val="left"/>
            </w:pPr>
            <w:r>
              <w:rPr>
                <w:rFonts w:eastAsia="等线" w:ascii="Arial" w:cs="Arial" w:hAnsi="Arial"/>
                <w:sz w:val="22"/>
              </w:rPr>
              <w:t>"First Broadcast and first placement" refers to Shop's first live broadcast on TikTok For Business and the first placement of LSA advertisements occurring in this quarter, and Shop's LSA performance in this quarter is not less than $1,000..LSA product types include Level 5 products = 'GMV Max Live' and 'Shop Ads Custom LSA'</w:t>
            </w:r>
          </w:p>
          <w:p>
            <w:pPr>
              <w:numPr>
                <w:numId w:val="27"/>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r>
              <w:rPr>
                <w:rFonts w:eastAsia="等线" w:ascii="Arial" w:cs="Arial" w:hAnsi="Arial"/>
                <w:sz w:val="22"/>
              </w:rPr>
              <w:t>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If the same Shop simultaneously meets the "First Broadcast and first investment" and " First placement " rewards, the final reward amount that the Shop receives will be the highest reward amount among the "First broadcast and first Investment" and " First placement " rewards.</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p>
            <w:pPr>
              <w:spacing w:before="120" w:after="120" w:line="288" w:lineRule="auto"/>
              <w:ind w:left="0"/>
              <w:jc w:val="center"/>
            </w:pPr>
            <w:r>
              <w:rPr>
                <w:rFonts w:eastAsia="等线" w:ascii="Arial" w:cs="Arial" w:hAnsi="Arial"/>
                <w:sz w:val="22"/>
              </w:rPr>
              <w:t>Over $10000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[First placement]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p>
            <w:pPr>
              <w:spacing w:before="120" w:after="120" w:line="288" w:lineRule="auto"/>
              <w:ind w:left="0"/>
              <w:jc w:val="center"/>
            </w:pPr>
            <w:r>
              <w:rPr>
                <w:rFonts w:eastAsia="等线" w:ascii="Arial" w:cs="Arial" w:hAnsi="Arial"/>
                <w:b w:val="true"/>
                <w:sz w:val="22"/>
              </w:rPr>
              <w:t>Incentives for first placement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p>
            <w:pPr>
              <w:spacing w:before="120" w:after="120" w:line="288" w:lineRule="auto"/>
              <w:ind w:left="0"/>
              <w:jc w:val="center"/>
            </w:pPr>
            <w:r>
              <w:rPr>
                <w:rFonts w:eastAsia="等线" w:ascii="Arial" w:cs="Arial" w:hAnsi="Arial"/>
                <w:sz w:val="22"/>
              </w:rPr>
              <w:t>Quarterly LSA advertising expenditures</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Shop在TikTok for Business的首次LSA消耗投放均发生在本季度；且Shop本季度的LSA业绩不低于$1,000。LSA的产品类型包含Level 5 product = 'GMV Max Live'、'Shop Ads Custom LSA'，业绩以 【Shop Self Live Revenue】为准。</w:t>
            </w:r>
          </w:p>
          <w:p>
            <w:pPr>
              <w:spacing w:before="120" w:after="120" w:line="288" w:lineRule="auto"/>
              <w:ind w:left="0"/>
              <w:jc w:val="left"/>
            </w:pPr>
            <w:r>
              <w:rPr>
                <w:rFonts w:eastAsia="等线" w:ascii="Arial" w:cs="Arial" w:hAnsi="Arial"/>
                <w:sz w:val="22"/>
              </w:rPr>
              <w:t>The first LSA consumption placements of Shop on TikTok for Business all occurred in this quarter. And Shop's LSA performance for this quarter is no less than $1,000.LSA product types include Level 5 products = 'GMV Max Live' and 'Shop Ads Custom LSA'; performance will be based on 【Shop Self Live Revenue】.</w:t>
            </w:r>
          </w:p>
          <w:p>
            <w:pPr>
              <w:spacing w:before="120" w:after="120" w:line="288" w:lineRule="auto"/>
              <w:ind w:left="0"/>
              <w:jc w:val="left"/>
            </w:pPr>
            <w:r>
              <w:rPr>
                <w:rFonts w:eastAsia="等线" w:ascii="Arial" w:cs="Arial" w:hAnsi="Arial"/>
                <w:sz w:val="22"/>
              </w:rPr>
              <w:t>（2） Shop在本季度的Daily GMV≥500。“Shop Daily GMV”指乙方店铺在本季度的日均成交总额，其计算公式如下：</w:t>
            </w:r>
          </w:p>
          <w:p>
            <w:pPr>
              <w:spacing w:before="120" w:after="120" w:line="288" w:lineRule="auto"/>
              <w:ind w:left="0"/>
              <w:jc w:val="left"/>
            </w:pPr>
            <w:r>
              <w:rPr>
                <w:rFonts w:eastAsia="等线" w:ascii="Arial" w:cs="Arial" w:hAnsi="Arial"/>
                <w:sz w:val="22"/>
              </w:rPr>
              <w:t> The Shop's Daily GMV for this quarter must be ≥ 500. "Shop Daily GMV" refers to the average daily Gross Merchandise Volume of Party B's store during the quarter, calculated as follows:</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r>
              <w:rPr>
                <w:rFonts w:eastAsia="等线" w:ascii="Arial" w:cs="Arial" w:hAnsi="Arial"/>
                <w:sz w:val="22"/>
              </w:rPr>
              <w:t>Shop Daily GMV = Total GMV of the Shop over the quarter ÷ Number of days in the calculation period</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If a Shop's first expenditure occurs within the current quarter, the "Number of days in the calculation period" shall be the number of calendar days commencing on the date of such first expenditure through the last day of the quarter (inclusive).</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spacing w:before="120" w:after="120" w:line="288" w:lineRule="auto"/>
              <w:ind w:left="0"/>
              <w:jc w:val="left"/>
            </w:pPr>
            <w:r>
              <w:rPr>
                <w:rFonts w:eastAsia="等线" w:ascii="Arial" w:cs="Arial" w:hAnsi="Arial"/>
                <w:sz w:val="22"/>
              </w:rPr>
              <w:t>If a Shop's first expenditure occurred prior to the start of the current quarter, the "Number of days in the calculation period" shall be the total number of days in the quarter, i.e., 92 days (from October 1 to December 31).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(3) 若同一个Shop同时满足了“首播首投”和“首次投广”奖励，则该Shop最终获得的奖励金额为“首播首投”和“首次投广”奖励中的最高奖励金额。</w:t>
            </w:r>
          </w:p>
          <w:p>
            <w:pPr>
              <w:spacing w:before="120" w:after="120" w:line="288" w:lineRule="auto"/>
              <w:ind w:left="0"/>
              <w:jc w:val="left"/>
            </w:pPr>
            <w:r>
              <w:rPr>
                <w:rFonts w:eastAsia="等线" w:ascii="Arial" w:cs="Arial" w:hAnsi="Arial"/>
                <w:sz w:val="22"/>
              </w:rPr>
              <w:t xml:space="preserve">If the same Shop simultaneously meets the "First broadcast and first placement" and “First placement" rewards, the final reward amount that the Shop receives will be the highest reward amount among the "First broadcast and first placement" and “First placement" rewards </w:t>
            </w:r>
          </w:p>
          <w:p>
            <w:pPr>
              <w:spacing w:before="120" w:after="120" w:line="288" w:lineRule="auto"/>
              <w:ind w:left="0"/>
              <w:jc w:val="left"/>
            </w:pPr>
            <w:r>
              <w:rPr>
                <w:rFonts w:eastAsia="等线" w:ascii="Arial" w:cs="Arial" w:hAnsi="Arial"/>
                <w:sz w:val="22"/>
              </w:rPr>
              <w:t>(4)追加返点：满足25年Q3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p>
            <w:pPr>
              <w:spacing w:before="120" w:after="120" w:line="288" w:lineRule="auto"/>
              <w:ind w:left="0"/>
              <w:jc w:val="left"/>
            </w:pPr>
            <w:r>
              <w:rPr>
                <w:rFonts w:eastAsia="等线" w:ascii="Arial" w:cs="Arial" w:hAnsi="Arial"/>
                <w:sz w:val="22"/>
              </w:rPr>
              <w:t>Additional rebates For those who meet the conditions for new LSA opening in Q3 of 25, have an increased rebate gradient in Q4 of 25, and have a expenditure of no less than $1,000, based on the advertising expenditure period of 90 days starting from the Shop's first expenditure and rolling, the total rebate amount stipulated in this table shall be subtracted from the rebate amount issued by the Shop in the new LSA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28"/>
        </w:numPr>
        <w:spacing w:before="120" w:after="120" w:line="288" w:lineRule="auto"/>
        <w:ind w:left="0"/>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Mini Series]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p>
            <w:pPr>
              <w:spacing w:before="120" w:after="120" w:line="288" w:lineRule="auto"/>
              <w:ind w:left="0"/>
              <w:jc w:val="center"/>
            </w:pPr>
            <w:r>
              <w:rPr>
                <w:rFonts w:eastAsia="等线" w:ascii="Arial" w:cs="Arial" w:hAnsi="Arial"/>
                <w:b w:val="true"/>
                <w:sz w:val="22"/>
              </w:rPr>
              <w:t>Incentives for New Mini Series in Q4 2025</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p>
            <w:pPr>
              <w:spacing w:before="120" w:after="120" w:line="288" w:lineRule="auto"/>
              <w:ind w:left="0"/>
              <w:jc w:val="center"/>
            </w:pPr>
            <w:r>
              <w:rPr>
                <w:rFonts w:eastAsia="等线" w:ascii="Arial" w:cs="Arial" w:hAnsi="Arial"/>
                <w:sz w:val="22"/>
              </w:rPr>
              <w:t>Quarterly series advertising expenditure</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530" w:type="dxa"/>
            <w:vMerge w:val="restart"/>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剧目在TikTok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drama on TikTok for Business occurred in this quarter;</w:t>
            </w:r>
          </w:p>
          <w:p>
            <w:pPr>
              <w:numPr>
                <w:numId w:val="30"/>
              </w:numPr>
              <w:spacing w:before="120" w:after="120" w:line="288" w:lineRule="auto"/>
              <w:ind w:left="0"/>
              <w:jc w:val="left"/>
            </w:pPr>
            <w:r>
              <w:rPr>
                <w:rFonts w:eastAsia="等线" w:ascii="Arial" w:cs="Arial" w:hAnsi="Arial"/>
                <w:sz w:val="22"/>
              </w:rPr>
              <w:t>剧目在本季度的广告消耗不低于$2,000；</w:t>
            </w:r>
          </w:p>
          <w:p>
            <w:pPr>
              <w:spacing w:before="120" w:after="120" w:line="288" w:lineRule="auto"/>
              <w:ind w:left="0"/>
              <w:jc w:val="left"/>
            </w:pPr>
            <w:r>
              <w:rPr>
                <w:rFonts w:eastAsia="等线" w:ascii="Arial" w:cs="Arial" w:hAnsi="Arial"/>
                <w:sz w:val="22"/>
              </w:rPr>
              <w:t>The advertising expenditure of the play in this quarter is no less than $2,000</w:t>
            </w:r>
          </w:p>
          <w:p>
            <w:pPr>
              <w:numPr>
                <w:numId w:val="31"/>
              </w:numPr>
              <w:spacing w:before="120" w:after="120" w:line="288" w:lineRule="auto"/>
              <w:ind w:left="0"/>
              <w:jc w:val="left"/>
            </w:pPr>
            <w:r>
              <w:rPr>
                <w:rFonts w:eastAsia="等线" w:ascii="Arial" w:cs="Arial" w:hAnsi="Arial"/>
                <w:sz w:val="22"/>
              </w:rPr>
              <w:t>目的达标情况以【Short Drama Name】为维度，若核算期间存在剧目合并等原因导致剧目合计消耗发生变动，以媒体核算期间的系统导出数据为准。</w:t>
            </w:r>
          </w:p>
          <w:p>
            <w:pPr>
              <w:spacing w:before="120" w:after="120" w:line="288" w:lineRule="auto"/>
              <w:ind w:left="0"/>
              <w:jc w:val="left"/>
            </w:pPr>
            <w:r>
              <w:rPr>
                <w:rFonts w:eastAsia="等线" w:ascii="Arial" w:cs="Arial" w:hAnsi="Arial"/>
                <w:sz w:val="22"/>
              </w:rPr>
              <w:t>Performance against the objective shall be evaluated based on the 【Short Drama Name】 dimension. In the event of changes to the total consumption due to reasons such as drama mergers during the accounting period, the data exported from the media's system for that period shall prevail.</w:t>
            </w:r>
          </w:p>
          <w:p>
            <w:pPr>
              <w:numPr>
                <w:numId w:val="32"/>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p>
            <w:pPr>
              <w:spacing w:before="120" w:after="120" w:line="288" w:lineRule="auto"/>
              <w:ind w:left="0"/>
              <w:jc w:val="left"/>
            </w:pPr>
            <w:r>
              <w:rPr>
                <w:rFonts w:eastAsia="等线" w:ascii="Arial" w:cs="Arial" w:hAnsi="Arial"/>
                <w:sz w:val="22"/>
              </w:rPr>
              <w:t>Additional rebates For those that meet the criteria for new plays in Q3 of 25, have an increased rebate gradient in Q4 of 25, and have a expenditure of no less than $2,000, the advertising expenditure period will be rolled for 90 days starting from the first expenditure of the play. The total rebate amount stipulated in this table minus the rebate amount issued by this short play in the new short play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p>
            <w:pPr>
              <w:spacing w:before="120" w:after="120" w:line="288" w:lineRule="auto"/>
              <w:ind w:left="0"/>
              <w:jc w:val="center"/>
            </w:pPr>
            <w:r>
              <w:rPr>
                <w:rFonts w:eastAsia="等线" w:ascii="Arial" w:cs="Arial" w:hAnsi="Arial"/>
                <w:sz w:val="22"/>
              </w:rPr>
              <w:t>$【】/Serie</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33"/>
        </w:numPr>
        <w:spacing w:before="120" w:after="120" w:line="288" w:lineRule="auto"/>
        <w:ind w:left="0"/>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Party A's shop assessed by the media as [New Game] criteria, then Party A shall have the opportunity to receive the following additional rebate rewards for each Shop that meets the criteria, with the final amount to be determined by the media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p>
            <w:pPr>
              <w:spacing w:before="120" w:after="120" w:line="288" w:lineRule="auto"/>
              <w:ind w:left="0"/>
              <w:jc w:val="center"/>
            </w:pPr>
            <w:r>
              <w:rPr>
                <w:rFonts w:eastAsia="等线" w:ascii="Arial" w:cs="Arial" w:hAnsi="Arial"/>
                <w:b w:val="true"/>
                <w:sz w:val="22"/>
              </w:rPr>
              <w:t>Incentives for New Game 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p>
            <w:pPr>
              <w:spacing w:before="120" w:after="120" w:line="288" w:lineRule="auto"/>
              <w:ind w:left="0"/>
              <w:jc w:val="center"/>
            </w:pPr>
            <w:r>
              <w:rPr>
                <w:rFonts w:eastAsia="等线" w:ascii="Arial" w:cs="Arial" w:hAnsi="Arial"/>
                <w:sz w:val="22"/>
              </w:rPr>
              <w:t>Quarterly game advertising expenditures</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34"/>
              </w:numPr>
              <w:spacing w:before="120" w:after="120" w:line="288" w:lineRule="auto"/>
              <w:ind w:left="0"/>
              <w:jc w:val="left"/>
            </w:pPr>
            <w:r>
              <w:rPr>
                <w:rFonts w:eastAsia="等线" w:ascii="Arial" w:cs="Arial" w:hAnsi="Arial"/>
                <w:sz w:val="22"/>
              </w:rPr>
              <w:t>App/甲方集团在TikTok for Business的首次广告消耗发生在本季度；</w:t>
            </w:r>
          </w:p>
          <w:p>
            <w:pPr>
              <w:spacing w:before="120" w:after="120" w:line="288" w:lineRule="auto"/>
              <w:ind w:left="0"/>
              <w:jc w:val="left"/>
            </w:pPr>
            <w:r>
              <w:rPr>
                <w:rFonts w:eastAsia="等线" w:ascii="Arial" w:cs="Arial" w:hAnsi="Arial"/>
                <w:sz w:val="22"/>
              </w:rPr>
              <w:t>The first advertising consumption of the App/ Party A Group on TikTok for Business occurred in this quarter;</w:t>
            </w:r>
          </w:p>
          <w:p>
            <w:pPr>
              <w:numPr>
                <w:numId w:val="35"/>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spacing w:before="120" w:after="120" w:line="288" w:lineRule="auto"/>
              <w:ind w:left="0"/>
              <w:jc w:val="left"/>
            </w:pPr>
            <w:r>
              <w:rPr>
                <w:rFonts w:eastAsia="等线" w:ascii="Arial" w:cs="Arial" w:hAnsi="Arial"/>
                <w:sz w:val="22"/>
              </w:rPr>
              <w:t>This provision shall apply if the advertising client group's first advertising expenditure on TikTok for Business occurs within the current quarter, or if expenditure resumes within the current quarter following a continuous 180-day period of no expenditure.</w:t>
            </w:r>
          </w:p>
          <w:p>
            <w:pPr>
              <w:spacing w:before="120" w:after="120" w:line="288" w:lineRule="auto"/>
              <w:ind w:left="0"/>
              <w:jc w:val="left"/>
            </w:pPr>
            <w:r>
              <w:rPr>
                <w:rFonts w:eastAsia="等线" w:ascii="Arial" w:cs="Arial" w:hAnsi="Arial"/>
                <w:sz w:val="22"/>
              </w:rPr>
              <w:t>(3) App在本季度的广告消耗不低于$1,000；</w:t>
            </w:r>
          </w:p>
          <w:p>
            <w:pPr>
              <w:spacing w:before="120" w:after="120" w:line="288" w:lineRule="auto"/>
              <w:ind w:left="0"/>
              <w:jc w:val="left"/>
            </w:pPr>
            <w:r>
              <w:rPr>
                <w:rFonts w:eastAsia="等线" w:ascii="Arial" w:cs="Arial" w:hAnsi="Arial"/>
                <w:sz w:val="22"/>
              </w:rPr>
              <w:t>The advertising expenditure of the App in this quarter is no less than $1,000.</w:t>
            </w:r>
          </w:p>
          <w:p>
            <w:pPr>
              <w:numPr>
                <w:numId w:val="36"/>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criteria for new games in Q3 of 25, have an increased rebate gradient in Q4 of 25, and have a expenditure of no less than $1,000, the advertising expenditure period will be rolled for 90 days starting from the first expenditure of the game. The total rebate amount stipulated in this table minus the rebate amount issued by this APP in the new game special project in Q3 of 25 is the rebate reward that should be received in Q4 of 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App of Party A is judged by the media to meet the standards of the [Non-Mini Series Apps], then each APP that meets the standards of Party A has the opportunity to receive the following additional rebate rewards.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p>
            <w:pPr>
              <w:spacing w:before="120" w:after="120" w:line="288" w:lineRule="auto"/>
              <w:ind w:left="0"/>
              <w:jc w:val="center"/>
            </w:pPr>
            <w:r>
              <w:rPr>
                <w:rFonts w:eastAsia="等线" w:ascii="Arial" w:cs="Arial" w:hAnsi="Arial"/>
                <w:b w:val="true"/>
                <w:sz w:val="22"/>
              </w:rPr>
              <w:t xml:space="preserve">Incentives for Non-Mini Series APPS </w:t>
            </w:r>
          </w:p>
          <w:p>
            <w:pPr>
              <w:spacing w:before="120" w:after="120" w:line="288" w:lineRule="auto"/>
              <w:ind w:left="0"/>
              <w:jc w:val="center"/>
            </w:pPr>
            <w:r>
              <w:rPr>
                <w:rFonts w:eastAsia="等线" w:ascii="Arial" w:cs="Arial" w:hAnsi="Arial"/>
                <w:b w:val="true"/>
                <w:sz w:val="22"/>
              </w:rPr>
              <w:t>in Q4 2025</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APP本季度的广告业绩区间</w:t>
            </w:r>
          </w:p>
          <w:p>
            <w:pPr>
              <w:spacing w:before="120" w:after="120" w:line="288" w:lineRule="auto"/>
              <w:ind w:left="0"/>
              <w:jc w:val="center"/>
            </w:pPr>
            <w:r>
              <w:rPr>
                <w:rFonts w:eastAsia="等线" w:ascii="Arial" w:cs="Arial" w:hAnsi="Arial"/>
                <w:sz w:val="22"/>
              </w:rPr>
              <w:t>The advertising expenditure range of the APP for this quarter</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p>
            <w:pPr>
              <w:spacing w:before="120" w:after="120" w:line="288" w:lineRule="auto"/>
              <w:ind w:left="0"/>
              <w:jc w:val="center"/>
            </w:pPr>
            <w:r>
              <w:rPr>
                <w:rFonts w:eastAsia="等线" w:ascii="Arial" w:cs="Arial" w:hAnsi="Arial"/>
                <w:sz w:val="22"/>
              </w:rPr>
              <w:t>rebate</w:t>
            </w:r>
          </w:p>
        </w:tc>
        <w:tc>
          <w:tcPr>
            <w:tcW w:w="4665" w:type="dxa"/>
            <w:vMerge w:val="restart"/>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App在TikTok for Business的首次广告消耗发生在本季度；</w:t>
            </w:r>
          </w:p>
          <w:p>
            <w:pPr>
              <w:spacing w:before="120" w:after="120" w:line="288" w:lineRule="auto"/>
              <w:ind w:left="0"/>
              <w:jc w:val="left"/>
            </w:pPr>
            <w:r>
              <w:rPr>
                <w:rFonts w:eastAsia="等线" w:ascii="Arial" w:cs="Arial" w:hAnsi="Arial"/>
                <w:sz w:val="22"/>
              </w:rPr>
              <w:t>The first advertising expenditure of the App on TikTok for Business occurred in this quarter.</w:t>
            </w:r>
          </w:p>
          <w:p>
            <w:pPr>
              <w:numPr>
                <w:numId w:val="39"/>
              </w:numPr>
              <w:spacing w:before="120" w:after="120" w:line="288" w:lineRule="auto"/>
              <w:ind w:left="0"/>
              <w:jc w:val="left"/>
            </w:pPr>
            <w:r>
              <w:rPr>
                <w:rFonts w:eastAsia="等线" w:ascii="Arial" w:cs="Arial" w:hAnsi="Arial"/>
                <w:sz w:val="22"/>
              </w:rPr>
              <w:t>应用非短剧App的类型划分以媒体判定为准;</w:t>
            </w:r>
          </w:p>
          <w:p>
            <w:pPr>
              <w:spacing w:before="120" w:after="120" w:line="288" w:lineRule="auto"/>
              <w:ind w:left="0"/>
              <w:jc w:val="left"/>
            </w:pPr>
            <w:r>
              <w:rPr>
                <w:rFonts w:eastAsia="等线" w:ascii="Arial" w:cs="Arial" w:hAnsi="Arial"/>
                <w:sz w:val="22"/>
              </w:rPr>
              <w:t>The classification of non-short drama apps is based on media determination.</w:t>
            </w:r>
          </w:p>
          <w:p>
            <w:pPr>
              <w:numPr>
                <w:numId w:val="40"/>
              </w:numPr>
              <w:spacing w:before="120" w:after="120" w:line="288" w:lineRule="auto"/>
              <w:ind w:left="0"/>
              <w:jc w:val="left"/>
            </w:pPr>
            <w:r>
              <w:rPr>
                <w:rFonts w:eastAsia="等线" w:ascii="Arial" w:cs="Arial" w:hAnsi="Arial"/>
                <w:sz w:val="22"/>
              </w:rPr>
              <w:t>相同App在多家代理消耗按照消耗占比划分，即实际返点金额=对应返点金额*消耗比例，具体比例以媒体认定为准；</w:t>
            </w:r>
          </w:p>
          <w:p>
            <w:pPr>
              <w:spacing w:before="120" w:after="120" w:line="288" w:lineRule="auto"/>
              <w:ind w:left="0"/>
              <w:jc w:val="left"/>
            </w:pPr>
            <w:r>
              <w:rPr>
                <w:rFonts w:eastAsia="等线" w:ascii="Arial" w:cs="Arial" w:hAnsi="Arial"/>
                <w:sz w:val="22"/>
              </w:rPr>
              <w:t>For the same App, the consumption across multiple agents is classified based on the proportion of consumption, that is, the actual rebate amount = the corresponding rebate amount * the consumption ratio. The specific ratio is subject to the determination of the media.</w:t>
            </w:r>
          </w:p>
          <w:p>
            <w:pPr>
              <w:numPr>
                <w:numId w:val="41"/>
              </w:numPr>
              <w:spacing w:before="120" w:after="120" w:line="288" w:lineRule="auto"/>
              <w:ind w:left="0"/>
              <w:jc w:val="left"/>
            </w:pPr>
            <w:r>
              <w:rPr>
                <w:rFonts w:eastAsia="等线" w:ascii="Arial" w:cs="Arial" w:hAnsi="Arial"/>
                <w:sz w:val="22"/>
              </w:rPr>
              <w:t>App在本季度的广告消耗不低于$2,000；</w:t>
            </w:r>
          </w:p>
          <w:p>
            <w:pPr>
              <w:spacing w:before="120" w:after="120" w:line="288" w:lineRule="auto"/>
              <w:ind w:left="0"/>
              <w:jc w:val="left"/>
            </w:pPr>
            <w:r>
              <w:rPr>
                <w:rFonts w:eastAsia="等线" w:ascii="Arial" w:cs="Arial" w:hAnsi="Arial"/>
                <w:sz w:val="22"/>
              </w:rPr>
              <w:t>The advertising expenditure of the App in this quarter is no less than $2,000.</w:t>
            </w:r>
          </w:p>
          <w:p>
            <w:pPr>
              <w:numPr>
                <w:numId w:val="42"/>
              </w:numPr>
              <w:spacing w:before="120" w:after="120" w:line="288" w:lineRule="auto"/>
              <w:ind w:left="0"/>
              <w:jc w:val="left"/>
            </w:pPr>
            <w:r>
              <w:rPr>
                <w:rFonts w:eastAsia="等线" w:ascii="Arial" w:cs="Arial" w:hAnsi="Arial"/>
                <w:sz w:val="22"/>
              </w:rPr>
              <w:t>应用非短剧专项返点激励以本季度非闭环电商广告消耗*3%为上限。</w:t>
            </w:r>
          </w:p>
          <w:p>
            <w:pPr>
              <w:spacing w:before="120" w:after="120" w:line="288" w:lineRule="auto"/>
              <w:ind w:left="0"/>
              <w:jc w:val="left"/>
            </w:pPr>
            <w:r>
              <w:rPr>
                <w:rFonts w:eastAsia="等线" w:ascii="Arial" w:cs="Arial" w:hAnsi="Arial"/>
                <w:sz w:val="22"/>
              </w:rPr>
              <w:t>The application of non-short drama special rebate incentives is capped at 3% of the non-closed-loop e-commerce advertising consumption in this quarter.</w:t>
            </w:r>
          </w:p>
          <w:p>
            <w:pPr>
              <w:numPr>
                <w:numId w:val="43"/>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p>
            <w:pPr>
              <w:spacing w:before="120" w:after="120" w:line="288" w:lineRule="auto"/>
              <w:ind w:left="0"/>
              <w:jc w:val="left"/>
            </w:pPr>
            <w:r>
              <w:rPr>
                <w:rFonts w:eastAsia="等线" w:ascii="Arial" w:cs="Arial" w:hAnsi="Arial"/>
                <w:sz w:val="22"/>
              </w:rPr>
              <w:t>Additional rebates For those that meet the new opening determination conditions in Q3 of 25, have an increased rebate gradient in Q4 of 25, and have consumed no less than $2,000, based on the advertising consumption period of 90 days starting from the App's first consumption and rolling, the total rebate amount stipulated in this table will be subtracted from the rebate amount issued by the App in the non-short drama new opening special in Q3 of 25. This is the rebate reward that should be given in Q4 of 2025.</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p>
            <w:pPr>
              <w:spacing w:before="120" w:after="120" w:line="288" w:lineRule="auto"/>
              <w:ind w:left="0"/>
              <w:jc w:val="center"/>
            </w:pPr>
            <w:r>
              <w:rPr>
                <w:rFonts w:eastAsia="等线" w:ascii="Arial" w:cs="Arial" w:hAnsi="Arial"/>
                <w:sz w:val="22"/>
              </w:rPr>
              <w:t>Over $30,000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44"/>
        </w:numPr>
        <w:spacing w:before="120" w:after="120" w:line="288" w:lineRule="auto"/>
        <w:ind w:left="0"/>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【Branding】,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590"/>
        <w:gridCol w:w="5085"/>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590" w:type="dxa"/>
            <w:hMerge w:val="continue"/>
            <w:tcMar>
              <w:top w:type="dxa" w:w="60"/>
              <w:left w:type="dxa" w:w="120"/>
              <w:bottom w:type="dxa" w:w="30"/>
              <w:right w:type="dxa" w:w="120"/>
            </w:tcMar>
          </w:tcPr>
          <w:p>
            <w:pPr>
              <w:spacing w:before="120" w:after="120" w:line="288" w:lineRule="auto"/>
              <w:ind w:left="0"/>
              <w:jc w:val="left"/>
            </w:pPr>
          </w:p>
        </w:tc>
        <w:tc>
          <w:tcPr>
            <w:tcW w:w="5085" w:type="dxa"/>
            <w:hMerge w:val="continue"/>
            <w:tcMar>
              <w:top w:type="dxa" w:w="60"/>
              <w:left w:type="dxa" w:w="120"/>
              <w:bottom w:type="dxa" w:w="30"/>
              <w:right w:type="dxa" w:w="120"/>
            </w:tcMar>
          </w:tcPr>
          <w:p>
            <w:pPr>
              <w:spacing w:before="120" w:after="120" w:line="288" w:lineRule="auto"/>
              <w:ind w:left="0"/>
              <w:jc w:val="left"/>
            </w:pP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返点比例（新客）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left"/>
            </w:pPr>
            <w:r>
              <w:rPr>
                <w:rFonts w:eastAsia="等线" w:ascii="Arial" w:cs="Arial" w:hAnsi="Arial"/>
                <w:sz w:val="22"/>
              </w:rPr>
              <w:t>(New customer)</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返点比例（老客）</w:t>
            </w:r>
          </w:p>
          <w:p>
            <w:pPr>
              <w:spacing w:before="120" w:after="120" w:line="288" w:lineRule="auto"/>
              <w:ind w:left="0"/>
              <w:jc w:val="center"/>
            </w:pPr>
            <w:r>
              <w:rPr>
                <w:rFonts w:eastAsia="等线" w:ascii="Arial" w:cs="Arial" w:hAnsi="Arial"/>
                <w:sz w:val="22"/>
              </w:rPr>
              <w:t>Rebate</w:t>
            </w:r>
          </w:p>
          <w:p>
            <w:pPr>
              <w:spacing w:before="120" w:after="120" w:line="288" w:lineRule="auto"/>
              <w:ind w:left="0"/>
              <w:jc w:val="center"/>
            </w:pPr>
            <w:r>
              <w:rPr>
                <w:rFonts w:eastAsia="等线" w:ascii="Arial" w:cs="Arial" w:hAnsi="Arial"/>
                <w:sz w:val="22"/>
              </w:rPr>
              <w:t>(Loyal customer)</w:t>
            </w:r>
          </w:p>
        </w:tc>
        <w:tc>
          <w:tcPr>
            <w:tcW w:w="50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（1）投广客户集团在TikTok for Business的首次品牌广告消耗发生在本季度的为新客，新/老客的判定最终以媒体确认为准；</w:t>
            </w:r>
          </w:p>
          <w:p>
            <w:pPr>
              <w:spacing w:before="120" w:after="120" w:line="288" w:lineRule="auto"/>
              <w:ind w:left="0"/>
              <w:jc w:val="left"/>
            </w:pPr>
            <w:r>
              <w:rPr>
                <w:rFonts w:eastAsia="等线" w:ascii="Arial" w:cs="Arial" w:hAnsi="Arial"/>
                <w:sz w:val="22"/>
              </w:rPr>
              <w:t>An advertising client group shall be classified as a new customer if its first brand advertising expenditure on TikTok for Business occurs within the current quarter. The final determination of new or loyal customer status shall be subject to confirmation by the media platform.</w:t>
            </w:r>
          </w:p>
          <w:p>
            <w:pPr>
              <w:spacing w:before="120" w:after="120" w:line="288" w:lineRule="auto"/>
              <w:ind w:left="0"/>
              <w:jc w:val="left"/>
            </w:pPr>
            <w:r>
              <w:rPr>
                <w:rFonts w:eastAsia="等线" w:ascii="Arial" w:cs="Arial" w:hAnsi="Arial"/>
                <w:sz w:val="22"/>
              </w:rPr>
              <w:t>(2)返点金额=品牌新客返点+品牌老客返点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p>
            <w:pPr>
              <w:spacing w:before="120" w:after="120" w:line="288" w:lineRule="auto"/>
              <w:ind w:left="0"/>
              <w:jc w:val="left"/>
            </w:pPr>
            <w:r>
              <w:rPr>
                <w:rFonts w:eastAsia="等线" w:ascii="Arial" w:cs="Arial" w:hAnsi="Arial"/>
                <w:sz w:val="22"/>
              </w:rPr>
              <w:t>Total Rebate Amount = New Brand customer Rebate + Loyal Brand customer Rebate</w:t>
            </w:r>
          </w:p>
          <w:p>
            <w:pPr>
              <w:spacing w:before="120" w:after="120" w:line="288" w:lineRule="auto"/>
              <w:ind w:left="0"/>
              <w:jc w:val="left"/>
            </w:pPr>
            <w:r>
              <w:rPr>
                <w:rFonts w:eastAsia="等线" w:ascii="Arial" w:cs="Arial" w:hAnsi="Arial"/>
                <w:sz w:val="22"/>
              </w:rPr>
              <w:t>New Brand customer Rebate = New Brand customer Performance × New customer Rebate Rate</w:t>
            </w:r>
          </w:p>
          <w:p>
            <w:pPr>
              <w:spacing w:before="120" w:after="120" w:line="288" w:lineRule="auto"/>
              <w:ind w:left="0"/>
              <w:jc w:val="left"/>
            </w:pPr>
            <w:r>
              <w:rPr>
                <w:rFonts w:eastAsia="等线" w:ascii="Arial" w:cs="Arial" w:hAnsi="Arial"/>
                <w:sz w:val="22"/>
              </w:rPr>
              <w:t>Loyal Brand customer Rebate= Loyal Brand customer Performance × Loyal customer Rebate Rate</w:t>
            </w:r>
          </w:p>
        </w:tc>
      </w:tr>
      <w:tr>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508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45"/>
        </w:numPr>
        <w:spacing w:before="120" w:after="120" w:line="288" w:lineRule="auto"/>
        <w:ind w:left="0"/>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TTS Advertiser Placement 】,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1950"/>
        <w:gridCol w:w="2625"/>
        <w:gridCol w:w="177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TTS自播投广成长激励</w:t>
            </w:r>
          </w:p>
          <w:p>
            <w:pPr>
              <w:spacing w:before="120" w:after="120" w:line="288" w:lineRule="auto"/>
              <w:ind w:left="0"/>
              <w:jc w:val="center"/>
            </w:pPr>
            <w:r>
              <w:rPr>
                <w:rFonts w:eastAsia="等线" w:ascii="Arial" w:cs="Arial" w:hAnsi="Arial"/>
                <w:b w:val="true"/>
                <w:sz w:val="22"/>
              </w:rPr>
              <w:t>Q4 2025</w:t>
            </w:r>
          </w:p>
          <w:p>
            <w:pPr>
              <w:spacing w:before="120" w:after="120" w:line="288" w:lineRule="auto"/>
              <w:ind w:left="0"/>
              <w:jc w:val="center"/>
            </w:pPr>
            <w:r>
              <w:rPr>
                <w:rFonts w:eastAsia="等线" w:ascii="Arial" w:cs="Arial" w:hAnsi="Arial"/>
                <w:b w:val="true"/>
                <w:sz w:val="22"/>
              </w:rPr>
              <w:t>Special Incentive for TTS Advertiser Placement Growth</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季度日均GMV</w:t>
            </w:r>
          </w:p>
          <w:p>
            <w:pPr>
              <w:spacing w:before="120" w:after="120" w:line="288" w:lineRule="auto"/>
              <w:ind w:left="0"/>
              <w:jc w:val="left"/>
            </w:pPr>
            <w:r>
              <w:rPr>
                <w:rFonts w:eastAsia="等线" w:ascii="Arial" w:cs="Arial" w:hAnsi="Arial"/>
                <w:sz w:val="22"/>
              </w:rPr>
              <w:t xml:space="preserve"> Quarterly Average Daily  GMV</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Shop消耗QoQ</w:t>
            </w:r>
          </w:p>
          <w:p>
            <w:pPr>
              <w:spacing w:before="120" w:after="120" w:line="288" w:lineRule="auto"/>
              <w:ind w:left="0"/>
              <w:jc w:val="left"/>
            </w:pPr>
            <w:r>
              <w:rPr>
                <w:rFonts w:eastAsia="等线" w:ascii="Arial" w:cs="Arial" w:hAnsi="Arial"/>
                <w:sz w:val="22"/>
              </w:rPr>
              <w:t>Shop Expenditure QoQ</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Shop自播投广消耗QoQ</w:t>
            </w:r>
          </w:p>
          <w:p>
            <w:pPr>
              <w:spacing w:before="120" w:after="120" w:line="288" w:lineRule="auto"/>
              <w:ind w:left="0"/>
              <w:jc w:val="left"/>
            </w:pPr>
            <w:r>
              <w:rPr>
                <w:rFonts w:eastAsia="等线" w:ascii="Arial" w:cs="Arial" w:hAnsi="Arial"/>
                <w:sz w:val="22"/>
              </w:rPr>
              <w:t>Shop Advertiser Placement Expenditure QoQ</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w:t>
            </w:r>
          </w:p>
          <w:p>
            <w:pPr>
              <w:spacing w:before="120" w:after="120" w:line="288" w:lineRule="auto"/>
              <w:ind w:left="0"/>
              <w:jc w:val="left"/>
            </w:pPr>
            <w:r>
              <w:rPr>
                <w:rFonts w:eastAsia="等线" w:ascii="Arial" w:cs="Arial" w:hAnsi="Arial"/>
                <w:sz w:val="22"/>
              </w:rPr>
              <w:t>Rebate</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46"/>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spacing w:before="120" w:after="120" w:line="288" w:lineRule="auto"/>
              <w:ind w:left="0"/>
              <w:jc w:val="left"/>
            </w:pPr>
            <w:r>
              <w:rPr>
                <w:rFonts w:eastAsia="等线" w:ascii="Arial" w:cs="Arial" w:hAnsi="Arial"/>
                <w:sz w:val="22"/>
              </w:rPr>
              <w:t>For Shops in the Southeast Asia (SEA) region that had self-streaming ad spend in Q3 2025 (i.e., existing Shops), and which simultaneously meet all the above requirements, a rebate rate shall be applied based on the incremental amount of their advertiser placement spend in Q4 2025 compared to Q3 2025.</w:t>
            </w:r>
          </w:p>
          <w:p>
            <w:pPr>
              <w:numPr>
                <w:numId w:val="47"/>
              </w:numPr>
              <w:spacing w:before="120" w:after="120" w:line="288" w:lineRule="auto"/>
              <w:ind w:left="0"/>
              <w:jc w:val="left"/>
            </w:pPr>
            <w:r>
              <w:rPr>
                <w:rFonts w:eastAsia="等线" w:ascii="Arial" w:cs="Arial" w:hAnsi="Arial"/>
                <w:sz w:val="22"/>
              </w:rPr>
              <w:t>Shop日均GMV = Shop在Q4期间的总成交额(Total GMV) ÷ Q4整体天数；</w:t>
            </w:r>
          </w:p>
          <w:p>
            <w:pPr>
              <w:spacing w:before="120" w:after="120" w:line="288" w:lineRule="auto"/>
              <w:ind w:left="0"/>
              <w:jc w:val="left"/>
            </w:pPr>
            <w:r>
              <w:rPr>
                <w:rFonts w:eastAsia="等线" w:ascii="Arial" w:cs="Arial" w:hAnsi="Arial"/>
                <w:sz w:val="22"/>
              </w:rPr>
              <w:t>Shop Average Daily GMV = Total GMV in Q4 ÷ Number of Days in Q4</w:t>
            </w:r>
          </w:p>
          <w:p>
            <w:pPr>
              <w:numPr>
                <w:numId w:val="48"/>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spacing w:before="120" w:after="120" w:line="288" w:lineRule="auto"/>
              <w:ind w:left="0"/>
              <w:jc w:val="left"/>
            </w:pPr>
            <w:r>
              <w:rPr>
                <w:rFonts w:eastAsia="等线" w:ascii="Arial" w:cs="Arial" w:hAnsi="Arial"/>
                <w:sz w:val="22"/>
              </w:rPr>
              <w:t>Rebate Amount = 10% × (Q4 2025 Advertiser Placement Spend - Q3 2025 Advertiser Placement Spend). The rebate amount per Shop is subject to a maximum of USD 6,000.</w:t>
            </w:r>
          </w:p>
          <w:p>
            <w:pPr>
              <w:numPr>
                <w:numId w:val="49"/>
              </w:numPr>
              <w:spacing w:before="120" w:after="120" w:line="288" w:lineRule="auto"/>
              <w:ind w:left="0"/>
              <w:jc w:val="left"/>
            </w:pPr>
            <w:r>
              <w:rPr>
                <w:rFonts w:eastAsia="等线" w:ascii="Arial" w:cs="Arial" w:hAnsi="Arial"/>
                <w:sz w:val="22"/>
              </w:rPr>
              <w:t>Shop自播投广业绩以【Shop Self Live Revenue】为准；</w:t>
            </w:r>
          </w:p>
          <w:p>
            <w:pPr>
              <w:spacing w:before="120" w:after="120" w:line="288" w:lineRule="auto"/>
              <w:ind w:left="0"/>
              <w:jc w:val="left"/>
            </w:pPr>
            <w:r>
              <w:rPr>
                <w:rFonts w:eastAsia="等线" w:ascii="Arial" w:cs="Arial" w:hAnsi="Arial"/>
                <w:sz w:val="22"/>
              </w:rPr>
              <w:t>The performance for a Shop's advertiser placement shall be based on the metric 【Shop Self Live Revenue】.</w:t>
            </w:r>
          </w:p>
          <w:p>
            <w:pPr>
              <w:numPr>
                <w:numId w:val="50"/>
              </w:numPr>
              <w:spacing w:before="120" w:after="120" w:line="288" w:lineRule="auto"/>
              <w:ind w:left="0"/>
              <w:jc w:val="left"/>
            </w:pPr>
            <w:r>
              <w:rPr>
                <w:rFonts w:eastAsia="等线" w:ascii="Arial" w:cs="Arial" w:hAnsi="Arial"/>
                <w:sz w:val="22"/>
              </w:rPr>
              <w:t>投放地的划分基于 TTS Operation Country来判定。</w:t>
            </w:r>
          </w:p>
          <w:p>
            <w:pPr>
              <w:spacing w:before="120" w:after="120" w:line="288" w:lineRule="auto"/>
              <w:ind w:left="0"/>
              <w:jc w:val="left"/>
            </w:pPr>
            <w:r>
              <w:rPr>
                <w:rFonts w:eastAsia="等线" w:ascii="Arial" w:cs="Arial" w:hAnsi="Arial"/>
                <w:sz w:val="22"/>
              </w:rPr>
              <w:t>The allocation of advertising placements location is determined by the TTS Operation Country.</w:t>
            </w:r>
          </w:p>
        </w:tc>
        <w:tc>
          <w:tcPr>
            <w:tcW w:w="1950" w:type="dxa"/>
            <w:hMerge w:val="continue"/>
            <w:tcMar>
              <w:top w:type="dxa" w:w="60"/>
              <w:left w:type="dxa" w:w="120"/>
              <w:bottom w:type="dxa" w:w="30"/>
              <w:right w:type="dxa" w:w="120"/>
            </w:tcMar>
          </w:tcPr>
          <w:p>
            <w:pPr>
              <w:spacing w:before="120" w:after="120" w:line="288" w:lineRule="auto"/>
              <w:ind w:left="0"/>
              <w:jc w:val="left"/>
            </w:pPr>
          </w:p>
        </w:tc>
        <w:tc>
          <w:tcPr>
            <w:tcW w:w="262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51"/>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Medium and Small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p>
            <w:pPr>
              <w:spacing w:before="120" w:after="120" w:line="288" w:lineRule="auto"/>
              <w:ind w:left="0"/>
              <w:jc w:val="center"/>
            </w:pPr>
            <w:r>
              <w:rPr>
                <w:rFonts w:eastAsia="等线" w:ascii="Arial" w:cs="Arial" w:hAnsi="Arial"/>
                <w:b w:val="true"/>
                <w:sz w:val="22"/>
              </w:rPr>
              <w:t>Q42025</w:t>
            </w:r>
          </w:p>
          <w:p>
            <w:pPr>
              <w:spacing w:before="120" w:after="120" w:line="288" w:lineRule="auto"/>
              <w:ind w:left="0"/>
              <w:jc w:val="center"/>
            </w:pPr>
            <w:r>
              <w:rPr>
                <w:rFonts w:eastAsia="等线" w:ascii="Arial" w:cs="Arial" w:hAnsi="Arial"/>
                <w:b w:val="true"/>
                <w:sz w:val="22"/>
              </w:rPr>
              <w:t>Special Incentive for SMB Growth</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p>
            <w:pPr>
              <w:spacing w:before="120" w:after="120" w:line="288" w:lineRule="auto"/>
              <w:ind w:left="0"/>
              <w:jc w:val="center"/>
            </w:pPr>
            <w:r>
              <w:rPr>
                <w:rFonts w:eastAsia="等线" w:ascii="Arial" w:cs="Arial" w:hAnsi="Arial"/>
                <w:sz w:val="22"/>
              </w:rPr>
              <w:t>Gradient</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p>
            <w:pPr>
              <w:spacing w:before="120" w:after="120" w:line="288" w:lineRule="auto"/>
              <w:ind w:left="0"/>
              <w:jc w:val="center"/>
            </w:pPr>
            <w:r>
              <w:rPr>
                <w:rFonts w:eastAsia="等线" w:ascii="Arial" w:cs="Arial" w:hAnsi="Arial"/>
                <w:sz w:val="22"/>
              </w:rPr>
              <w:t>Daily Average Spending (V)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spacing w:before="120" w:after="120" w:line="288" w:lineRule="auto"/>
              <w:ind w:left="0"/>
              <w:jc w:val="left"/>
            </w:pPr>
            <w:r>
              <w:rPr>
                <w:rFonts w:eastAsia="等线" w:ascii="Arial" w:cs="Arial" w:hAnsi="Arial"/>
                <w:sz w:val="22"/>
              </w:rPr>
              <w:t>Indirect Clients: Advertisers classified as indirect clients in Q2 2025 (i.e., not connected to any direct client account during Q2 2025), with an average daily ad spend of less than USD $200 in Q2; or advertisers who converted from direct to indirect clients during Q2 2025, and whose Q2 average daily spend remained below USD $200.Direct Clients: Advertisers not falling under the definition of indirect clients as specified above</w:t>
            </w:r>
          </w:p>
          <w:p>
            <w:pPr>
              <w:numPr>
                <w:numId w:val="53"/>
              </w:numPr>
              <w:spacing w:before="120" w:after="120" w:line="288" w:lineRule="auto"/>
              <w:ind w:left="0"/>
              <w:jc w:val="left"/>
            </w:pPr>
            <w:r>
              <w:rPr>
                <w:rFonts w:eastAsia="等线" w:ascii="Arial" w:cs="Arial" w:hAnsi="Arial"/>
                <w:sz w:val="22"/>
              </w:rPr>
              <w:t>日均广告消耗：2025年Q3季度为虚客、且本季度虚客日均消耗 QoQ&gt;0%的广告主（Daily消耗QoQ有增长），在本季度产生的虚客日均现金广告消耗；</w:t>
            </w:r>
          </w:p>
          <w:p>
            <w:pPr>
              <w:spacing w:before="120" w:after="120" w:line="288" w:lineRule="auto"/>
              <w:ind w:left="0"/>
              <w:jc w:val="left"/>
            </w:pPr>
            <w:r>
              <w:rPr>
                <w:rFonts w:eastAsia="等线" w:ascii="Arial" w:cs="Arial" w:hAnsi="Arial"/>
                <w:sz w:val="22"/>
              </w:rPr>
              <w:t xml:space="preserve">Average Daily Ad Spend: For advertisers classified as indirect clients in Q3 2025 whose average daily spend increased quarter-over-quarter (QoQ &gt; 0%), this refers to their average daily cash ad spend during Q1 under indirect client status. </w:t>
            </w:r>
          </w:p>
          <w:p>
            <w:pPr>
              <w:numPr>
                <w:numId w:val="54"/>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spacing w:before="120" w:after="120" w:line="288" w:lineRule="auto"/>
              <w:ind w:left="0"/>
              <w:jc w:val="left"/>
            </w:pPr>
            <w:r>
              <w:rPr>
                <w:rFonts w:eastAsia="等线" w:ascii="Arial" w:cs="Arial" w:hAnsi="Arial"/>
                <w:sz w:val="22"/>
              </w:rPr>
              <w:t>If Party A is designated a direct client during Q4 2025, the average daily ad spend shall be calculated based only on the period under indirect client status. Specifically, the Q4 average daily spend = Q4 total spend accumulated prior to becoming a direct client divided by the number of days from October 1, 2025 to the day before the direct client status begins.</w:t>
            </w:r>
          </w:p>
          <w:p>
            <w:pPr>
              <w:numPr>
                <w:numId w:val="55"/>
              </w:numPr>
              <w:spacing w:before="120" w:after="120" w:line="288" w:lineRule="auto"/>
              <w:ind w:left="0"/>
              <w:jc w:val="left"/>
            </w:pPr>
            <w:r>
              <w:rPr>
                <w:rFonts w:eastAsia="等线" w:ascii="Arial" w:cs="Arial" w:hAnsi="Arial"/>
                <w:sz w:val="22"/>
              </w:rPr>
              <w:t>以上数据及直客/虚客类型的判定最终以媒体确认为准。</w:t>
            </w:r>
          </w:p>
          <w:p>
            <w:pPr>
              <w:spacing w:before="120" w:after="120" w:line="288" w:lineRule="auto"/>
              <w:ind w:left="0"/>
              <w:jc w:val="left"/>
            </w:pPr>
            <w:r>
              <w:rPr>
                <w:rFonts w:eastAsia="等线" w:ascii="Arial" w:cs="Arial" w:hAnsi="Arial"/>
                <w:sz w:val="22"/>
              </w:rPr>
              <w:t>All data and classifications of direct and indirect clients shall be subject to final verification by the media platform.</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56"/>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expenditure of Party A is judged by the media to meet the standards of the [Growth of Web-EC Customers] then the portion of Party A's expenditure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p>
            <w:pPr>
              <w:spacing w:before="120" w:after="120" w:line="288" w:lineRule="auto"/>
              <w:ind w:left="0"/>
              <w:jc w:val="center"/>
            </w:pPr>
            <w:r>
              <w:rPr>
                <w:rFonts w:eastAsia="等线" w:ascii="Arial" w:cs="Arial" w:hAnsi="Arial"/>
                <w:b w:val="true"/>
                <w:sz w:val="22"/>
              </w:rPr>
              <w:t>Incentives for Growth of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p>
            <w:pPr>
              <w:spacing w:before="120" w:after="120" w:line="288" w:lineRule="auto"/>
              <w:ind w:left="0"/>
              <w:jc w:val="center"/>
            </w:pPr>
            <w:r>
              <w:rPr>
                <w:rFonts w:eastAsia="等线" w:ascii="Arial" w:cs="Arial" w:hAnsi="Arial"/>
                <w:sz w:val="22"/>
              </w:rPr>
              <w:t>Web-EC QoQ consumption increase (R)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7"/>
              </w:numPr>
              <w:spacing w:before="120" w:after="120" w:line="288" w:lineRule="auto"/>
              <w:ind w:left="0"/>
              <w:jc w:val="left"/>
            </w:pPr>
            <w:r>
              <w:rPr>
                <w:rFonts w:eastAsia="等线" w:ascii="Arial" w:cs="Arial" w:hAnsi="Arial"/>
                <w:sz w:val="22"/>
              </w:rPr>
              <w:t>本政策适用于Q2 Web-EC消耗&gt;$0、且QoQ增幅≥10%的客户；</w:t>
            </w:r>
          </w:p>
          <w:p>
            <w:pPr>
              <w:spacing w:before="120" w:after="120" w:line="288" w:lineRule="auto"/>
              <w:ind w:left="0"/>
              <w:jc w:val="left"/>
            </w:pPr>
            <w:r>
              <w:rPr>
                <w:rFonts w:eastAsia="等线" w:ascii="Arial" w:cs="Arial" w:hAnsi="Arial"/>
                <w:sz w:val="22"/>
              </w:rPr>
              <w:t>This policy is applicable to customers whose Q2 Web-EC consumption is greater than $0 and whose QoQ growth rate is ≥10%.</w:t>
            </w:r>
          </w:p>
          <w:p>
            <w:pPr>
              <w:numPr>
                <w:numId w:val="58"/>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spacing w:before="120" w:after="120" w:line="288" w:lineRule="auto"/>
              <w:ind w:left="0"/>
              <w:jc w:val="left"/>
            </w:pPr>
            <w:r>
              <w:rPr>
                <w:rFonts w:eastAsia="等线" w:ascii="Arial" w:cs="Arial" w:hAnsi="Arial"/>
                <w:sz w:val="22"/>
              </w:rPr>
              <w:t>The QoQ growth rate is calculated based on the customer group dimension, and the rebate ratio acts on the QoQ performance increment part of the customer group.</w:t>
            </w:r>
          </w:p>
          <w:p>
            <w:pPr>
              <w:numPr>
                <w:numId w:val="59"/>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60"/>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different advertisers are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[New Web-EC Customers]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p>
            <w:pPr>
              <w:spacing w:before="120" w:after="120" w:line="288" w:lineRule="auto"/>
              <w:ind w:left="0"/>
              <w:jc w:val="center"/>
            </w:pPr>
            <w:r>
              <w:rPr>
                <w:rFonts w:eastAsia="等线" w:ascii="Arial" w:cs="Arial" w:hAnsi="Arial"/>
                <w:b w:val="true"/>
                <w:sz w:val="22"/>
              </w:rPr>
              <w:t>Incentives for New Web-EC customers in Q4 2025</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p>
            <w:pPr>
              <w:spacing w:before="120" w:after="120" w:line="288" w:lineRule="auto"/>
              <w:ind w:left="0"/>
              <w:jc w:val="center"/>
            </w:pPr>
            <w:r>
              <w:rPr>
                <w:rFonts w:eastAsia="等线" w:ascii="Arial" w:cs="Arial" w:hAnsi="Arial"/>
                <w:sz w:val="22"/>
              </w:rPr>
              <w:t>Web-EC QoQ consumption (V)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61"/>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spacing w:before="120" w:after="120" w:line="288" w:lineRule="auto"/>
              <w:ind w:left="0"/>
              <w:jc w:val="left"/>
            </w:pPr>
            <w:r>
              <w:rPr>
                <w:rFonts w:eastAsia="等线" w:ascii="Arial" w:cs="Arial" w:hAnsi="Arial"/>
                <w:sz w:val="22"/>
              </w:rPr>
              <w:t>This policy applies to customers whose first consumption occurs in this quarter and whose Web-EC consumption is no less than $1,000 in this quarter;</w:t>
            </w:r>
          </w:p>
          <w:p>
            <w:pPr>
              <w:numPr>
                <w:numId w:val="62"/>
              </w:numPr>
              <w:spacing w:before="120" w:after="120" w:line="288" w:lineRule="auto"/>
              <w:ind w:left="0"/>
              <w:jc w:val="left"/>
            </w:pPr>
            <w:r>
              <w:rPr>
                <w:rFonts w:eastAsia="等线" w:ascii="Arial" w:cs="Arial" w:hAnsi="Arial"/>
                <w:sz w:val="22"/>
              </w:rPr>
              <w:t>Web-EC客户的判定以媒体确认为准；</w:t>
            </w:r>
          </w:p>
          <w:p>
            <w:pPr>
              <w:spacing w:before="120" w:after="120" w:line="288" w:lineRule="auto"/>
              <w:ind w:left="0"/>
              <w:jc w:val="left"/>
            </w:pPr>
            <w:r>
              <w:rPr>
                <w:rFonts w:eastAsia="等线" w:ascii="Arial" w:cs="Arial" w:hAnsi="Arial"/>
                <w:sz w:val="22"/>
              </w:rPr>
              <w:t>The determination of Web-EC customers shall be subject to media confirmation.</w:t>
            </w:r>
          </w:p>
          <w:p>
            <w:pPr>
              <w:numPr>
                <w:numId w:val="63"/>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spacing w:before="120" w:after="120" w:line="288" w:lineRule="auto"/>
              <w:ind w:left="0"/>
              <w:jc w:val="left"/>
            </w:pPr>
            <w:r>
              <w:rPr>
                <w:rFonts w:eastAsia="等线" w:ascii="Arial" w:cs="Arial" w:hAnsi="Arial"/>
                <w:sz w:val="22"/>
              </w:rPr>
              <w:t>The rebate ratio is applied to the total cash consumption of the new customer group in the quarter.Furthermore, the total New Web-EC incentive amount that each client group is entitled to receive from the media platform within this quarter shall not exceed USD 3,000.</w:t>
            </w:r>
          </w:p>
          <w:p>
            <w:pPr>
              <w:numPr>
                <w:numId w:val="64"/>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p>
            <w:pPr>
              <w:spacing w:before="120" w:after="120" w:line="288" w:lineRule="auto"/>
              <w:ind w:left="0"/>
              <w:jc w:val="left"/>
            </w:pPr>
            <w:r>
              <w:rPr>
                <w:rFonts w:eastAsia="等线" w:ascii="Arial" w:cs="Arial" w:hAnsi="Arial"/>
                <w:sz w:val="22"/>
              </w:rPr>
              <w:t>During the accounting period, the quality inspection team will verify the advertising targets of the Touguang Group. If it is found that there are different advertisers transferring their advertising budgets to each other or posing as new customers to defraud incentives, the incentives for this client in this special project will be cancelled.</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65"/>
        </w:numPr>
        <w:spacing w:before="120" w:after="120" w:line="288" w:lineRule="auto"/>
        <w:ind w:left="0"/>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p>
      <w:pPr>
        <w:spacing w:before="120" w:after="120" w:line="288" w:lineRule="auto"/>
        <w:ind w:left="0" w:firstLine="420"/>
        <w:jc w:val="left"/>
      </w:pPr>
      <w:r>
        <w:rPr>
          <w:rFonts w:eastAsia="等线" w:ascii="Arial" w:cs="Arial" w:hAnsi="Arial"/>
          <w:sz w:val="22"/>
        </w:rPr>
        <w:t>If the consumption of Party A is judged by the media to meet the standards of the 【High-Quality Materials】, then the portion of Party A's consumption that meets the standards has the opportunity to receive additional rebate rewards as follows. The final amount of the rebates will be determined by the media's judgment.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15"/>
        <w:gridCol w:w="4065"/>
      </w:tblGrid>
      <w:tr>
        <w:tc>
          <w:tcPr>
            <w:tcW w:w="8280"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优质素材激励</w:t>
            </w:r>
          </w:p>
          <w:p>
            <w:pPr>
              <w:spacing w:before="120" w:after="120" w:line="288" w:lineRule="auto"/>
              <w:ind w:left="0"/>
              <w:jc w:val="left"/>
            </w:pPr>
            <w:r>
              <w:rPr>
                <w:rFonts w:eastAsia="等线" w:ascii="Arial" w:cs="Arial" w:hAnsi="Arial"/>
                <w:b w:val="true"/>
                <w:sz w:val="22"/>
              </w:rPr>
              <w:t>Incentives for High-Quality Materials in Q4 2025</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p>
            <w:pPr>
              <w:spacing w:before="120" w:after="120" w:line="288" w:lineRule="auto"/>
              <w:ind w:left="0"/>
              <w:jc w:val="center"/>
            </w:pPr>
            <w:r>
              <w:rPr>
                <w:rFonts w:eastAsia="等线" w:ascii="Arial" w:cs="Arial" w:hAnsi="Arial"/>
                <w:b w:val="true"/>
                <w:sz w:val="22"/>
              </w:rPr>
              <w:t>Special instructions</w:t>
            </w:r>
          </w:p>
        </w:tc>
        <w:tc>
          <w:tcPr>
            <w:tcW w:w="406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（1）本专项激励政策只针对符合代投标准且在广告账户中TikTok版位的消耗。</w:t>
            </w:r>
          </w:p>
          <w:p>
            <w:pPr>
              <w:spacing w:before="120" w:after="120" w:line="288" w:lineRule="auto"/>
              <w:ind w:left="0"/>
              <w:jc w:val="left"/>
            </w:pPr>
            <w:r>
              <w:rPr>
                <w:rFonts w:eastAsia="等线" w:ascii="Arial" w:cs="Arial" w:hAnsi="Arial"/>
                <w:sz w:val="22"/>
              </w:rPr>
              <w:t>This special incentive policy is only applicable to those who meet the standards for agency investment and consume TikTok Spaces in their advertising accounts.</w:t>
            </w:r>
          </w:p>
          <w:p>
            <w:pPr>
              <w:spacing w:before="120" w:after="120" w:line="288" w:lineRule="auto"/>
              <w:ind w:left="0"/>
              <w:jc w:val="left"/>
            </w:pPr>
            <w:r>
              <w:rPr>
                <w:rFonts w:eastAsia="等线" w:ascii="Arial" w:cs="Arial" w:hAnsi="Arial"/>
                <w:sz w:val="22"/>
              </w:rPr>
              <w:t>（2）优质素材定义：</w:t>
            </w:r>
          </w:p>
          <w:p>
            <w:pPr>
              <w:spacing w:before="120" w:after="120" w:line="288" w:lineRule="auto"/>
              <w:ind w:left="0"/>
              <w:jc w:val="left"/>
            </w:pPr>
            <w:r>
              <w:rPr>
                <w:rFonts w:eastAsia="等线" w:ascii="Arial" w:cs="Arial" w:hAnsi="Arial"/>
                <w:sz w:val="22"/>
              </w:rPr>
              <w:t>Definition of high-quality materials</w:t>
            </w:r>
          </w:p>
          <w:p>
            <w:pPr>
              <w:numPr>
                <w:numId w:val="66"/>
              </w:numPr>
              <w:spacing w:before="120" w:after="120" w:line="288" w:lineRule="auto"/>
              <w:ind w:left="453"/>
              <w:jc w:val="left"/>
            </w:pPr>
            <w:r>
              <w:rPr>
                <w:rFonts w:eastAsia="等线" w:ascii="Arial" w:cs="Arial" w:hAnsi="Arial"/>
                <w:sz w:val="22"/>
              </w:rPr>
              <w:t>行业：闭环电商：</w:t>
            </w:r>
          </w:p>
          <w:p>
            <w:pPr>
              <w:spacing w:before="120" w:after="120" w:line="288" w:lineRule="auto"/>
              <w:ind w:left="0"/>
              <w:jc w:val="left"/>
            </w:pPr>
            <w:r>
              <w:rPr>
                <w:rFonts w:eastAsia="等线" w:ascii="Arial" w:cs="Arial" w:hAnsi="Arial"/>
                <w:sz w:val="22"/>
              </w:rPr>
              <w:t>Industry: Closed-loop E-commerce</w:t>
            </w:r>
          </w:p>
          <w:p>
            <w:pPr>
              <w:spacing w:before="120" w:after="120" w:line="288" w:lineRule="auto"/>
              <w:ind w:left="0"/>
              <w:jc w:val="left"/>
            </w:pPr>
          </w:p>
          <w:p>
            <w:pPr>
              <w:numPr>
                <w:numId w:val="67"/>
              </w:numPr>
              <w:spacing w:before="120" w:after="120" w:line="288" w:lineRule="auto"/>
              <w:ind w:left="453"/>
              <w:jc w:val="left"/>
            </w:pPr>
            <w:r>
              <w:rPr>
                <w:rFonts w:eastAsia="等线" w:ascii="Arial" w:cs="Arial" w:hAnsi="Arial"/>
                <w:sz w:val="22"/>
              </w:rPr>
              <w:t>行业：非闭环电商</w:t>
            </w:r>
          </w:p>
          <w:p>
            <w:pPr>
              <w:spacing w:before="120" w:after="120" w:line="288" w:lineRule="auto"/>
              <w:ind w:left="0"/>
              <w:jc w:val="left"/>
            </w:pPr>
            <w:r>
              <w:rPr>
                <w:rFonts w:eastAsia="等线" w:ascii="Arial" w:cs="Arial" w:hAnsi="Arial"/>
                <w:sz w:val="22"/>
              </w:rPr>
              <w:t>industry: Non-closed-loop E-commerce</w:t>
            </w:r>
          </w:p>
          <w:p>
            <w:pPr>
              <w:spacing w:before="120" w:after="120" w:line="288" w:lineRule="auto"/>
              <w:ind w:left="0"/>
              <w:jc w:val="left"/>
            </w:pPr>
            <w:r>
              <w:rPr>
                <w:rFonts w:eastAsia="等线" w:ascii="Arial" w:cs="Arial" w:hAnsi="Arial"/>
                <w:sz w:val="22"/>
              </w:rPr>
              <w:t>CTR&gt;0.5%，素材季度消耗≥$100</w:t>
            </w:r>
          </w:p>
          <w:p>
            <w:pPr>
              <w:spacing w:before="120" w:after="120" w:line="288" w:lineRule="auto"/>
              <w:ind w:left="0"/>
              <w:jc w:val="left"/>
            </w:pPr>
            <w:r>
              <w:rPr>
                <w:rFonts w:eastAsia="等线" w:ascii="Arial" w:cs="Arial" w:hAnsi="Arial"/>
                <w:sz w:val="22"/>
              </w:rPr>
              <w:t>CTR&gt;0.5%，and the quarterly consumption of the material is≥$100</w:t>
            </w:r>
          </w:p>
          <w:p>
            <w:pPr>
              <w:numPr>
                <w:numId w:val="68"/>
              </w:numPr>
              <w:spacing w:before="120" w:after="120" w:line="288" w:lineRule="auto"/>
              <w:ind w:left="453"/>
              <w:jc w:val="left"/>
            </w:pPr>
            <w:r>
              <w:rPr>
                <w:rFonts w:eastAsia="等线" w:ascii="Arial" w:cs="Arial" w:hAnsi="Arial"/>
                <w:sz w:val="22"/>
              </w:rPr>
              <w:t>行业：App-应用、游戏</w:t>
            </w:r>
          </w:p>
          <w:p>
            <w:pPr>
              <w:spacing w:before="120" w:after="120" w:line="288" w:lineRule="auto"/>
              <w:ind w:left="0"/>
              <w:jc w:val="left"/>
            </w:pPr>
            <w:r>
              <w:rPr>
                <w:rFonts w:eastAsia="等线" w:ascii="Arial" w:cs="Arial" w:hAnsi="Arial"/>
                <w:sz w:val="22"/>
              </w:rPr>
              <w:t>Industry: App - Application, Game</w:t>
            </w:r>
          </w:p>
          <w:p>
            <w:pPr>
              <w:spacing w:before="120" w:after="120" w:line="288" w:lineRule="auto"/>
              <w:ind w:left="0"/>
              <w:jc w:val="left"/>
            </w:pPr>
            <w:r>
              <w:rPr>
                <w:rFonts w:eastAsia="等线" w:ascii="Arial" w:cs="Arial" w:hAnsi="Arial"/>
                <w:sz w:val="22"/>
              </w:rPr>
              <w:t>CTR&gt;0.3%，素材季度消耗≥$100</w:t>
            </w:r>
          </w:p>
          <w:p>
            <w:pPr>
              <w:spacing w:before="120" w:after="120" w:line="288" w:lineRule="auto"/>
              <w:ind w:left="0"/>
              <w:jc w:val="left"/>
            </w:pPr>
            <w:r>
              <w:rPr>
                <w:rFonts w:eastAsia="等线" w:ascii="Arial" w:cs="Arial" w:hAnsi="Arial"/>
                <w:sz w:val="22"/>
              </w:rPr>
              <w:t>CTR&gt;0.3%，and the quarterly consumption of the material is≥$100</w:t>
            </w:r>
          </w:p>
          <w:p>
            <w:pPr>
              <w:numPr>
                <w:numId w:val="69"/>
              </w:numPr>
              <w:spacing w:before="120" w:after="120" w:line="288" w:lineRule="auto"/>
              <w:ind w:left="453"/>
              <w:jc w:val="left"/>
            </w:pPr>
            <w:r>
              <w:rPr>
                <w:rFonts w:eastAsia="等线" w:ascii="Arial" w:cs="Arial" w:hAnsi="Arial"/>
                <w:sz w:val="22"/>
              </w:rPr>
              <w:t>行业：Web-应用、游戏</w:t>
            </w:r>
          </w:p>
          <w:p>
            <w:pPr>
              <w:spacing w:before="120" w:after="120" w:line="288" w:lineRule="auto"/>
              <w:ind w:left="0"/>
              <w:jc w:val="left"/>
            </w:pPr>
            <w:r>
              <w:rPr>
                <w:rFonts w:eastAsia="等线" w:ascii="Arial" w:cs="Arial" w:hAnsi="Arial"/>
                <w:sz w:val="22"/>
              </w:rPr>
              <w:t>Industry: Web - Application, Game</w:t>
            </w:r>
          </w:p>
          <w:p>
            <w:pPr>
              <w:spacing w:before="120" w:after="120" w:line="288" w:lineRule="auto"/>
              <w:ind w:left="0"/>
              <w:jc w:val="left"/>
            </w:pPr>
            <w:r>
              <w:rPr>
                <w:rFonts w:eastAsia="等线" w:ascii="Arial" w:cs="Arial" w:hAnsi="Arial"/>
                <w:sz w:val="22"/>
              </w:rPr>
              <w:t>CTR&gt;0.6%，素材季度消耗≥$100</w:t>
            </w:r>
          </w:p>
          <w:p>
            <w:pPr>
              <w:spacing w:before="120" w:after="120" w:line="288" w:lineRule="auto"/>
              <w:ind w:left="0"/>
              <w:jc w:val="left"/>
            </w:pPr>
            <w:r>
              <w:rPr>
                <w:rFonts w:eastAsia="等线" w:ascii="Arial" w:cs="Arial" w:hAnsi="Arial"/>
                <w:sz w:val="22"/>
              </w:rPr>
              <w:t>CTR&gt;0.6%，and the quarterly consumption of the material is≥$100</w:t>
            </w:r>
          </w:p>
          <w:p>
            <w:pPr>
              <w:spacing w:before="120" w:after="120" w:line="288" w:lineRule="auto"/>
              <w:ind w:left="0"/>
              <w:jc w:val="left"/>
            </w:pPr>
            <w:r>
              <w:rPr>
                <w:rFonts w:eastAsia="等线" w:ascii="Arial" w:cs="Arial" w:hAnsi="Arial"/>
                <w:sz w:val="22"/>
              </w:rPr>
              <w:t xml:space="preserve"> *CTR定义：点击率，指促成目标页面点击的展示次数占总展示次数的百分比；</w:t>
            </w:r>
          </w:p>
          <w:p>
            <w:pPr>
              <w:spacing w:before="120" w:after="120" w:line="288" w:lineRule="auto"/>
              <w:ind w:left="0"/>
              <w:jc w:val="left"/>
            </w:pPr>
            <w:r>
              <w:rPr>
                <w:rFonts w:eastAsia="等线" w:ascii="Arial" w:cs="Arial" w:hAnsi="Arial"/>
                <w:sz w:val="22"/>
              </w:rPr>
              <w:t>*CTR definition: Click-through rate, which refers to the percentage of impressions that lead to a click on the target page among the total impressions.</w:t>
            </w:r>
          </w:p>
          <w:p>
            <w:pPr>
              <w:spacing w:before="120" w:after="120" w:line="288" w:lineRule="auto"/>
              <w:ind w:left="0"/>
              <w:jc w:val="left"/>
            </w:pPr>
            <w:r>
              <w:rPr>
                <w:rFonts w:eastAsia="等线" w:ascii="Arial" w:cs="Arial" w:hAnsi="Arial"/>
                <w:sz w:val="22"/>
              </w:rPr>
              <w:t>以上数据、定义及行业划分，以媒体判定为准；</w:t>
            </w:r>
          </w:p>
          <w:p>
            <w:pPr>
              <w:spacing w:before="120" w:after="120" w:line="288" w:lineRule="auto"/>
              <w:ind w:left="0"/>
              <w:jc w:val="left"/>
            </w:pPr>
            <w:r>
              <w:rPr>
                <w:rFonts w:eastAsia="等线" w:ascii="Arial" w:cs="Arial" w:hAnsi="Arial"/>
                <w:sz w:val="22"/>
              </w:rPr>
              <w:t>（3）素材达标情况以媒体认定为准；</w:t>
            </w:r>
          </w:p>
          <w:p>
            <w:pPr>
              <w:spacing w:before="120" w:after="120" w:line="288" w:lineRule="auto"/>
              <w:ind w:left="0"/>
              <w:jc w:val="left"/>
            </w:pPr>
            <w:r>
              <w:rPr>
                <w:rFonts w:eastAsia="等线" w:ascii="Arial" w:cs="Arial" w:hAnsi="Arial"/>
                <w:sz w:val="22"/>
              </w:rPr>
              <w:t>Creative compliance shall be determined by the media platform.</w:t>
            </w:r>
          </w:p>
          <w:p>
            <w:pPr>
              <w:spacing w:before="120" w:after="120" w:line="288" w:lineRule="auto"/>
              <w:ind w:left="0"/>
              <w:jc w:val="left"/>
            </w:pPr>
            <w:r>
              <w:rPr>
                <w:rFonts w:eastAsia="等线" w:ascii="Arial" w:cs="Arial" w:hAnsi="Arial"/>
                <w:sz w:val="22"/>
              </w:rPr>
              <w:t>（4）优质素材广告消耗：符合代投判定标准的广告账户，在25年Q1产生的，投放优质素材的广告消耗。</w:t>
            </w:r>
          </w:p>
          <w:p>
            <w:pPr>
              <w:spacing w:before="120" w:after="120" w:line="288" w:lineRule="auto"/>
              <w:ind w:left="0"/>
              <w:jc w:val="left"/>
            </w:pPr>
            <w:r>
              <w:rPr>
                <w:rFonts w:eastAsia="等线" w:ascii="Arial" w:cs="Arial" w:hAnsi="Arial"/>
                <w:sz w:val="22"/>
              </w:rPr>
              <w:t>Advertising consumption of high-quality materials: For advertising accounts that meet the criteria for agency investment determination, the advertising consumption of high-quality materials generated in Q1 of 2025.</w:t>
            </w:r>
          </w:p>
          <w:p>
            <w:pPr>
              <w:spacing w:before="120" w:after="120" w:line="288" w:lineRule="auto"/>
              <w:ind w:left="0"/>
              <w:jc w:val="left"/>
            </w:pPr>
            <w:r>
              <w:rPr>
                <w:rFonts w:eastAsia="等线" w:ascii="Arial" w:cs="Arial" w:hAnsi="Arial"/>
                <w:sz w:val="22"/>
              </w:rPr>
              <w:t>（5）甲方应积极配合乙方进行申报及调整，以保证满足媒体关于优质素材的评判标准，若甲方拒绝调整或配合的，则无法取得相应返点激励。</w:t>
            </w:r>
          </w:p>
          <w:p>
            <w:pPr>
              <w:spacing w:before="120" w:after="120" w:line="288" w:lineRule="auto"/>
              <w:ind w:left="0"/>
              <w:jc w:val="left"/>
            </w:pPr>
            <w:r>
              <w:rPr>
                <w:rFonts w:eastAsia="等线" w:ascii="Arial" w:cs="Arial" w:hAnsi="Arial"/>
                <w:sz w:val="22"/>
              </w:rPr>
              <w:t>Party A shall actively cooperate with Party B in the declaration and adjustment to ensure that it meets the media's evaluation standards for high-quality materials. If Party A refuses to make adjustments or cooperate, it will not be able to obtain the corresponding rebate incentives.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06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1" w:id="1"/>
      <w:bookmarkEnd w:id="1"/>
    </w:p>
    <w:p>
      <w:pPr>
        <w:pStyle w:val="2"/>
        <w:spacing w:before="320" w:after="120" w:line="288" w:lineRule="auto"/>
        <w:ind w:left="0"/>
        <w:jc w:val="left"/>
        <w:outlineLvl w:val="1"/>
      </w:pPr>
      <w:bookmarkStart w:name="heading_2" w:id="2"/>
      <w:r>
        <w:rPr>
          <w:rFonts w:eastAsia="等线" w:ascii="Arial" w:cs="Arial" w:hAnsi="Arial"/>
          <w:b w:val="true"/>
          <w:sz w:val="32"/>
        </w:rPr>
        <w:t>1.3. 通用General terms</w:t>
      </w:r>
      <w:bookmarkEnd w:id="2"/>
    </w:p>
    <w:p>
      <w:pPr>
        <w:numPr>
          <w:numId w:val="70"/>
        </w:numPr>
        <w:spacing w:before="120" w:after="120" w:line="288" w:lineRule="auto"/>
        <w:ind w:left="0"/>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numPr>
          <w:numId w:val="71"/>
        </w:numPr>
        <w:spacing w:before="120" w:after="120" w:line="288" w:lineRule="auto"/>
        <w:ind w:left="0"/>
        <w:jc w:val="left"/>
      </w:pPr>
      <w:r>
        <w:rPr>
          <w:rFonts w:eastAsia="等线" w:ascii="Arial" w:cs="Arial" w:hAnsi="Arial"/>
          <w:sz w:val="22"/>
        </w:rPr>
        <w:t>同一客户的基础返点和专项返点如同时满足，可重复叠加，具体以乙方每季度确认的返点金额为准。</w:t>
      </w:r>
    </w:p>
    <w:p>
      <w:pPr>
        <w:spacing w:before="120" w:after="120" w:line="288" w:lineRule="auto"/>
        <w:ind w:left="0" w:firstLine="420"/>
        <w:jc w:val="left"/>
      </w:pPr>
      <w:r>
        <w:rPr>
          <w:rFonts w:eastAsia="等线" w:ascii="Arial" w:cs="Arial" w:hAnsi="Arial"/>
          <w:sz w:val="22"/>
        </w:rPr>
        <w:t>If both the General rebate and the Specific rebate for the same client are simultaneously met, they may be cumulatively applied. The total rebate amount shall be subject to the quarterly confirmation by Party B.</w:t>
      </w:r>
    </w:p>
    <w:p>
      <w:pPr>
        <w:numPr>
          <w:numId w:val="72"/>
        </w:numPr>
        <w:spacing w:before="120" w:after="120" w:line="288" w:lineRule="auto"/>
        <w:ind w:left="0"/>
        <w:jc w:val="left"/>
      </w:pPr>
      <w:r>
        <w:rPr>
          <w:rFonts w:eastAsia="等线" w:ascii="Arial" w:cs="Arial" w:hAnsi="Arial"/>
          <w:sz w:val="22"/>
        </w:rPr>
        <w:t>方已悉知针对TikTok不提供返点部分的消耗金额或因TikTok单方面决定不给予返点的，乙方也有权不向甲方提供任何返点，如乙方预先已提供的部分，则有权在下次结算时收回。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acknowledged that if TikTok does not provide rebates for the consumption amount of the rebates, or if TikTok unilaterally decides not to provide rebates, Party B has the right not to provide any rebates to Party A. If Party B has provided rebates in advance, it shall have the right to withdraw them at the next settlement.</w:t>
      </w:r>
    </w:p>
    <w:p>
      <w:pPr>
        <w:numPr>
          <w:numId w:val="73"/>
        </w:numPr>
        <w:spacing w:before="120" w:after="120" w:line="288" w:lineRule="auto"/>
        <w:ind w:left="0"/>
        <w:jc w:val="left"/>
      </w:pPr>
      <w:r>
        <w:rPr>
          <w:rFonts w:eastAsia="等线" w:ascii="Arial" w:cs="Arial" w:hAnsi="Arial"/>
          <w:sz w:val="22"/>
        </w:rPr>
        <w:t>如甲方被媒体判定为违规投放，则乙方有权保留由于甲方违规而产生的媒体罚金的追究权利， 最终将以媒体判定为准。</w:t>
      </w:r>
    </w:p>
    <w:p>
      <w:pPr>
        <w:spacing w:before="120" w:after="120" w:line="288" w:lineRule="auto"/>
        <w:ind w:left="0" w:firstLine="420"/>
        <w:jc w:val="left"/>
      </w:pPr>
      <w:r>
        <w:rPr>
          <w:rFonts w:eastAsia="等线" w:ascii="Arial" w:cs="Arial" w:hAnsi="Arial"/>
          <w:sz w:val="22"/>
        </w:rPr>
        <w:t>If Party A is assessed by the media to be in violation of the rules, Party B reserves the right to ask the Party A for the media fines arising from Party A's violation, the amount of which will ultimately be determined by the media.</w:t>
      </w:r>
    </w:p>
    <w:p>
      <w:pPr>
        <w:numPr>
          <w:numId w:val="74"/>
        </w:numPr>
        <w:spacing w:before="120" w:after="120" w:line="288" w:lineRule="auto"/>
        <w:ind w:left="0"/>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spacing w:before="120" w:after="120" w:line="288" w:lineRule="auto"/>
        <w:ind w:left="0" w:firstLine="420"/>
        <w:jc w:val="left"/>
      </w:pPr>
      <w:r>
        <w:rPr>
          <w:rFonts w:eastAsia="等线" w:ascii="Arial" w:cs="Arial" w:hAnsi="Arial"/>
          <w:sz w:val="22"/>
        </w:rPr>
        <w:t>If Party A has objections to the calculation of the rebate amount. It should notify Party B in writing within 15 natural days after receiving the statement. Otherwise, it shall be deemed that Party A acknowledges the calculation method of the rebate amount. Furthermore, if the media determines that a rebate should be returned, Party B has the right to directly deduct it from Party A's bill. If the amount is insufficient, Party B has the right to require Party A to fully refund it within 30 days after receiving the notice</w:t>
      </w:r>
    </w:p>
    <w:p>
      <w:pPr>
        <w:numPr>
          <w:numId w:val="75"/>
        </w:numPr>
        <w:spacing w:before="120" w:after="120" w:line="288" w:lineRule="auto"/>
        <w:ind w:left="0"/>
        <w:jc w:val="left"/>
      </w:pPr>
      <w:r>
        <w:rPr>
          <w:rFonts w:eastAsia="等线" w:ascii="Arial" w:cs="Arial" w:hAnsi="Arial"/>
          <w:sz w:val="22"/>
        </w:rPr>
        <w:t>甲方在TikTok for Business中投放目标受众国家为匈牙利的任何消耗，无返点。</w:t>
      </w:r>
    </w:p>
    <w:p>
      <w:pPr>
        <w:spacing w:before="120" w:after="120" w:line="288" w:lineRule="auto"/>
        <w:ind w:left="0" w:firstLine="420"/>
        <w:jc w:val="left"/>
      </w:pPr>
      <w:r>
        <w:rPr>
          <w:rFonts w:eastAsia="等线" w:ascii="Arial" w:cs="Arial" w:hAnsi="Arial"/>
          <w:sz w:val="22"/>
        </w:rPr>
        <w:t>There is no rebate for any consumption in TikTok for Business by Party A where the target audience countries in Hungary.</w:t>
      </w:r>
    </w:p>
    <w:p>
      <w:pPr>
        <w:numPr>
          <w:numId w:val="76"/>
        </w:numPr>
        <w:spacing w:before="120" w:after="120" w:line="288" w:lineRule="auto"/>
        <w:ind w:left="0"/>
        <w:jc w:val="left"/>
      </w:pPr>
      <w:r>
        <w:rPr>
          <w:rFonts w:eastAsia="等线" w:ascii="Arial" w:cs="Arial" w:hAnsi="Arial"/>
          <w:sz w:val="22"/>
        </w:rPr>
        <w:t>若甲方为法国客户，则其在TikTok for Business中投放目标受众国家为法国的任何消耗均无返点。</w:t>
      </w:r>
    </w:p>
    <w:p>
      <w:pPr>
        <w:spacing w:before="120" w:after="120" w:line="288" w:lineRule="auto"/>
        <w:ind w:left="0" w:firstLine="420"/>
        <w:jc w:val="left"/>
      </w:pPr>
      <w:r>
        <w:rPr>
          <w:rFonts w:eastAsia="等线" w:ascii="Arial" w:cs="Arial" w:hAnsi="Arial"/>
          <w:sz w:val="22"/>
        </w:rPr>
        <w:t>There is no rebate for any consumption in TikTok for Business by French Party A where the target audience countries in France.</w:t>
      </w:r>
    </w:p>
    <w:p>
      <w:pPr>
        <w:numPr>
          <w:numId w:val="77"/>
        </w:numPr>
        <w:spacing w:before="120" w:after="120" w:line="288" w:lineRule="auto"/>
        <w:ind w:left="0"/>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spacing w:before="120" w:after="120" w:line="288" w:lineRule="auto"/>
        <w:ind w:left="0" w:firstLine="420"/>
        <w:jc w:val="left"/>
      </w:pPr>
      <w:r>
        <w:rPr>
          <w:rFonts w:eastAsia="等线" w:ascii="Arial" w:cs="Arial" w:hAnsi="Arial"/>
          <w:sz w:val="22"/>
        </w:rPr>
        <w:t>The spend of advertising in the United States, Canada, Australia, New Zealand, if it meets the incentive criteria of any incentive project described in this policy, is only applicable to the spend generated by advertisers registered in China (including Hong Kong and Macau). No rebate will be given for any spend from advertising in the above-mentioned regions by non-Chinese advertisers.</w:t>
      </w:r>
    </w:p>
    <w:p>
      <w:pPr>
        <w:numPr>
          <w:numId w:val="78"/>
        </w:numPr>
        <w:spacing w:before="120" w:after="120" w:line="288" w:lineRule="auto"/>
        <w:ind w:left="0"/>
        <w:jc w:val="left"/>
      </w:pPr>
      <w:r>
        <w:rPr>
          <w:rFonts w:eastAsia="等线" w:ascii="Arial" w:cs="Arial" w:hAnsi="Arial"/>
          <w:sz w:val="22"/>
        </w:rPr>
        <w:t>任何在TikTok for Business投放项目中有关网红达人（KOL）的费用\Creator fee\Production fee\Copyright fee均不计入返点结算。</w:t>
      </w:r>
    </w:p>
    <w:p>
      <w:pPr>
        <w:spacing w:before="120" w:after="120" w:line="288" w:lineRule="auto"/>
        <w:ind w:left="0" w:firstLine="420"/>
        <w:jc w:val="left"/>
      </w:pPr>
      <w:r>
        <w:rPr>
          <w:rFonts w:eastAsia="等线" w:ascii="Arial" w:cs="Arial" w:hAnsi="Arial"/>
          <w:sz w:val="22"/>
        </w:rPr>
        <w:t>Any fees\Creator fee\Production fee\Copyright fee related to KOL’s in the TikTok for Business placement program will not be counted in the rebate program.</w:t>
      </w:r>
    </w:p>
    <w:p>
      <w:pPr>
        <w:numPr>
          <w:numId w:val="79"/>
        </w:numPr>
        <w:spacing w:before="120" w:after="120" w:line="288" w:lineRule="auto"/>
        <w:ind w:left="0"/>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spacing w:before="120" w:after="120" w:line="288" w:lineRule="auto"/>
        <w:ind w:left="0" w:firstLine="420"/>
        <w:jc w:val="left"/>
      </w:pPr>
      <w:r>
        <w:rPr>
          <w:rFonts w:eastAsia="等线" w:ascii="Arial" w:cs="Arial" w:hAnsi="Arial"/>
          <w:sz w:val="22"/>
        </w:rPr>
        <w:t>If Party A is a company/group in the region of Turkey, Pakistan, Morocco, Egypt, Cambodia, Argentina, Chilee, Ecuador, Uruguay, Guatemala, Costa Rica, Panama, Dominican Republic, Puerto Rico, Paraguay, and Bolivia, Colombia, Peru, Kazakhstan, South Africa, Taiwan, Kenya, Algeria, Azerbaijan, Sri Lanka, Baltics and Balkans countries, no rebate will be given for the advertising consumption generated. (If there are any adjustments to the regional division, the latest GSE-limited regional standards shall prevail.)</w:t>
      </w:r>
    </w:p>
    <w:p>
      <w:pPr>
        <w:numPr>
          <w:numId w:val="80"/>
        </w:numPr>
        <w:spacing w:before="120" w:after="120" w:line="288" w:lineRule="auto"/>
        <w:ind w:left="0"/>
        <w:jc w:val="left"/>
      </w:pPr>
      <w:r>
        <w:rPr>
          <w:rFonts w:eastAsia="等线" w:ascii="Arial" w:cs="Arial" w:hAnsi="Arial"/>
          <w:sz w:val="22"/>
        </w:rPr>
        <w:t>闭环电商广告消耗与TTS业绩含义相同，包含LSA、VSA、PSA、GMV Max等产品产生的消耗，具体定义以媒体约定为准。</w:t>
      </w:r>
    </w:p>
    <w:p>
      <w:pPr>
        <w:spacing w:before="120" w:after="120" w:line="288" w:lineRule="auto"/>
        <w:ind w:left="0" w:firstLine="420"/>
        <w:jc w:val="left"/>
      </w:pPr>
      <w:r>
        <w:rPr>
          <w:rFonts w:eastAsia="等线" w:ascii="Arial" w:cs="Arial" w:hAnsi="Arial"/>
          <w:sz w:val="22"/>
        </w:rPr>
        <w:t>TikTok for Business Ads (Non-TTS) spend includes the consumption of LSA, VSA, PSA, GMVMax and other products. The exact definition is subject to media conventions.</w:t>
      </w:r>
    </w:p>
    <w:p>
      <w:pPr>
        <w:numPr>
          <w:numId w:val="81"/>
        </w:numPr>
        <w:spacing w:before="120" w:after="120" w:line="288" w:lineRule="auto"/>
        <w:ind w:left="0"/>
        <w:jc w:val="left"/>
      </w:pPr>
      <w:r>
        <w:rPr>
          <w:rFonts w:eastAsia="等线" w:ascii="Arial" w:cs="Arial" w:hAnsi="Arial"/>
          <w:sz w:val="22"/>
        </w:rPr>
        <w:t>"消耗"、"广告消耗"、"业绩"含义相同, 均指未被媒体内控判为违规的adv产生的业绩。</w:t>
      </w:r>
    </w:p>
    <w:p>
      <w:pPr>
        <w:spacing w:before="120" w:after="120" w:line="288" w:lineRule="auto"/>
        <w:ind w:left="0" w:firstLine="420"/>
        <w:jc w:val="left"/>
      </w:pPr>
      <w:r>
        <w:rPr>
          <w:rFonts w:eastAsia="等线" w:ascii="Arial" w:cs="Arial" w:hAnsi="Arial"/>
          <w:sz w:val="22"/>
        </w:rPr>
        <w:t>"Consumption/expenditure", "advertising consumption", and "performance" have the same meaning, all refer to the performance generated by adv that has not been judged as non-compliant by the internal control department of the media.</w:t>
      </w:r>
    </w:p>
    <w:p>
      <w:pPr>
        <w:numPr>
          <w:numId w:val="82"/>
        </w:numPr>
        <w:spacing w:before="120" w:after="120" w:line="288" w:lineRule="auto"/>
        <w:ind w:left="0"/>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spacing w:before="120" w:after="120" w:line="288" w:lineRule="auto"/>
        <w:ind w:left="0" w:firstLine="420"/>
        <w:jc w:val="left"/>
      </w:pPr>
      <w:r>
        <w:rPr>
          <w:rFonts w:eastAsia="等线" w:ascii="Arial" w:cs="Arial" w:hAnsi="Arial"/>
          <w:sz w:val="22"/>
        </w:rPr>
        <w:t>Among all the special rebate items mentioned above, regarding the advertising expenditure range, it is always greater than or equal to the minimum number within the range and less than the maximum number within the range. (For example, "$1,000 - 2,000" means greater than or equal to $1,000 and less than $2,000)</w:t>
      </w:r>
    </w:p>
    <w:p>
      <w:pPr>
        <w:numPr>
          <w:numId w:val="83"/>
        </w:numPr>
        <w:spacing w:before="120" w:after="120" w:line="288" w:lineRule="auto"/>
        <w:ind w:left="0"/>
        <w:jc w:val="left"/>
      </w:pPr>
      <w:r>
        <w:rPr>
          <w:rFonts w:eastAsia="等线" w:ascii="Arial" w:cs="Arial" w:hAnsi="Arial"/>
          <w:sz w:val="22"/>
        </w:rPr>
        <w:t>甲方应保证所有数据均为真实有效的，不存在作弊行为，最终数据判定均以媒体为准。</w:t>
      </w:r>
    </w:p>
    <w:p>
      <w:pPr>
        <w:spacing w:before="120" w:after="120" w:line="288" w:lineRule="auto"/>
        <w:ind w:left="0" w:firstLine="420"/>
        <w:jc w:val="left"/>
      </w:pPr>
      <w:r>
        <w:rPr>
          <w:rFonts w:eastAsia="等线" w:ascii="Arial" w:cs="Arial" w:hAnsi="Arial"/>
          <w:sz w:val="22"/>
        </w:rPr>
        <w:t>Party A shall guarantee that all data are true and valid and there is no cheating, the final data judgment shall be based on the media.</w:t>
      </w:r>
    </w:p>
    <w:p>
      <w:pPr>
        <w:numPr>
          <w:numId w:val="84"/>
        </w:numPr>
        <w:spacing w:before="120" w:after="120" w:line="288" w:lineRule="auto"/>
        <w:ind w:left="0"/>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spacing w:before="120" w:after="120" w:line="288" w:lineRule="auto"/>
        <w:ind w:left="0" w:firstLine="420"/>
        <w:jc w:val="left"/>
      </w:pPr>
      <w:r>
        <w:rPr>
          <w:rFonts w:eastAsia="等线" w:ascii="Arial" w:cs="Arial" w:hAnsi="Arial"/>
          <w:sz w:val="22"/>
        </w:rPr>
        <w:t>If the rebate quota is full or exceeds the rebate cap that Party B has obtained from the media for that quarter, Party A will not be entitled to the aforementioned special rebate even if Party A meets the standards stipulated in the above terms. Any modifications to the media’s evaluation criteria shall be subject to the media’s real-time updates.</w:t>
      </w:r>
    </w:p>
    <w:p>
      <w:pPr>
        <w:numPr>
          <w:numId w:val="85"/>
        </w:numPr>
        <w:spacing w:before="120" w:after="120" w:line="288" w:lineRule="auto"/>
        <w:ind w:left="0"/>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spacing w:before="120" w:after="120" w:line="288" w:lineRule="auto"/>
        <w:ind w:left="0" w:firstLine="420"/>
        <w:jc w:val="left"/>
      </w:pPr>
      <w:r>
        <w:rPr>
          <w:rFonts w:eastAsia="等线" w:ascii="Arial" w:cs="Arial" w:hAnsi="Arial"/>
          <w:sz w:val="22"/>
        </w:rPr>
        <w:t>All the above-mentioned rebate policies (including general rebates and other special rebates) are not applicable to the newly opened US Local stores in this quarter (ACCU is excluded. The policies of ACCU merchants are subject to subsequent media notifications).</w:t>
      </w:r>
    </w:p>
    <w:p>
      <w:pPr>
        <w:numPr>
          <w:numId w:val="86"/>
        </w:numPr>
        <w:spacing w:before="120" w:after="120" w:line="288" w:lineRule="auto"/>
        <w:ind w:left="0"/>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r>
        <w:rPr>
          <w:rFonts w:eastAsia="等线" w:ascii="Arial" w:cs="Arial" w:hAnsi="Arial"/>
          <w:sz w:val="22"/>
        </w:rPr>
        <w:t>Whether the newly opened SEA stores in this quarter participate in the rebate calculation for this quarter (including basic rebates and other special rebates) is determined by whether they meet the "high-quality new opening" standard evaluated by TikTok for Business. TikTok for Business will assess whether the store meets the "Quality New Opening" standard throughout the entire quarter after its first sale. The final determination result shall be subject to the announcement by the media.</w:t>
      </w:r>
    </w:p>
    <w:p>
      <w:pPr>
        <w:spacing w:before="120" w:after="120" w:line="288" w:lineRule="auto"/>
        <w:ind w:left="0" w:firstLine="420"/>
        <w:jc w:val="left"/>
      </w:pPr>
    </w:p>
    <w:p>
      <w:pPr>
        <w:numPr>
          <w:numId w:val="87"/>
        </w:numPr>
        <w:spacing w:before="120" w:after="120" w:line="288" w:lineRule="auto"/>
        <w:ind w:left="0"/>
        <w:jc w:val="left"/>
      </w:pPr>
      <w:r>
        <w:rPr>
          <w:rFonts w:eastAsia="等线" w:ascii="Arial" w:cs="Arial" w:hAnsi="Arial"/>
          <w:b w:val="true"/>
          <w:sz w:val="22"/>
        </w:rPr>
        <w:t>Kwai</w:t>
      </w:r>
    </w:p>
    <w:p>
      <w:pPr>
        <w:spacing w:before="120" w:after="120" w:line="288" w:lineRule="auto"/>
        <w:ind w:left="0" w:firstLine="420"/>
        <w:jc w:val="left"/>
      </w:pPr>
      <w:r>
        <w:rPr>
          <w:rFonts w:eastAsia="等线" w:ascii="Arial" w:cs="Arial" w:hAnsi="Arial"/>
          <w:sz w:val="22"/>
        </w:rPr>
        <w:t>2.1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2.2 甲方投放行业为【A类】的广告，返点比例如下：</w:t>
      </w:r>
    </w:p>
    <w:p>
      <w:pPr>
        <w:spacing w:before="120" w:after="120" w:line="288" w:lineRule="auto"/>
        <w:ind w:left="0" w:firstLine="420"/>
        <w:jc w:val="left"/>
      </w:pPr>
      <w:r>
        <w:rPr>
          <w:rFonts w:eastAsia="等线" w:ascii="Arial" w:cs="Arial" w:hAnsi="Arial"/>
          <w:sz w:val="22"/>
        </w:rPr>
        <w:t>If Party A places advertisements in the industry of [Category A],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30"/>
        <w:gridCol w:w="3900"/>
        <w:gridCol w:w="1950"/>
      </w:tblGrid>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广告类型</w:t>
            </w:r>
          </w:p>
          <w:p>
            <w:pPr>
              <w:spacing w:before="120" w:after="120" w:line="288" w:lineRule="auto"/>
              <w:ind w:left="0"/>
              <w:jc w:val="center"/>
            </w:pPr>
            <w:r>
              <w:rPr>
                <w:rFonts w:eastAsia="等线" w:ascii="Arial" w:cs="Arial" w:hAnsi="Arial"/>
                <w:b w:val="true"/>
                <w:sz w:val="22"/>
              </w:rPr>
              <w:t>Advertising Types</w:t>
            </w:r>
          </w:p>
        </w:tc>
        <w:tc>
          <w:tcPr>
            <w:tcW w:w="39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广告发布额度区间（单位：万美元）Advertising Placement amount range</w:t>
            </w:r>
          </w:p>
          <w:p>
            <w:pPr>
              <w:spacing w:before="120" w:after="120" w:line="288" w:lineRule="auto"/>
              <w:ind w:left="0"/>
              <w:jc w:val="center"/>
            </w:pPr>
            <w:r>
              <w:rPr>
                <w:rFonts w:eastAsia="等线" w:ascii="Arial" w:cs="Arial" w:hAnsi="Arial"/>
                <w:b w:val="true"/>
                <w:sz w:val="22"/>
              </w:rPr>
              <w:t>(Unit: Ten Thousand USD)</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p>
            <w:pPr>
              <w:spacing w:before="120" w:after="120" w:line="288" w:lineRule="auto"/>
              <w:ind w:left="0"/>
              <w:jc w:val="center"/>
            </w:pPr>
            <w:r>
              <w:rPr>
                <w:rFonts w:eastAsia="等线" w:ascii="Arial" w:cs="Arial" w:hAnsi="Arial"/>
                <w:sz w:val="22"/>
              </w:rPr>
              <w:t>Performance-based（advertiser placement）</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p>
            <w:pPr>
              <w:spacing w:before="120" w:after="120" w:line="288" w:lineRule="auto"/>
              <w:ind w:left="0"/>
              <w:jc w:val="center"/>
            </w:pPr>
            <w:r>
              <w:rPr>
                <w:rFonts w:eastAsia="等线" w:ascii="Arial" w:cs="Arial" w:hAnsi="Arial"/>
                <w:sz w:val="22"/>
              </w:rPr>
              <w:t>Branding</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4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p>
            <w:pPr>
              <w:spacing w:before="120" w:after="120" w:line="288" w:lineRule="auto"/>
              <w:ind w:left="0"/>
              <w:jc w:val="center"/>
            </w:pPr>
            <w:r>
              <w:rPr>
                <w:rFonts w:eastAsia="等线" w:ascii="Arial" w:cs="Arial" w:hAnsi="Arial"/>
                <w:sz w:val="22"/>
              </w:rPr>
              <w:t>Creator Monetization</w:t>
            </w:r>
          </w:p>
        </w:tc>
        <w:tc>
          <w:tcPr>
            <w:tcW w:w="3900"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 Category A industries: refers to the first-level industries of gaming, e-commerce retail, consumer goods, lifestyle services, telecommunications, finance, media and social networking, cultural and entertainment, automotive, travel and transportation, business services, education and training, real estate, healthcare, public and government organizations, chemical and energy, and tools.</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Performance-based：Information flow advertising (competing for ad positions on advertising platforms through real-time bidding), fast tasks, and brand bidding.</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Branding：Eyemax Interstitial Ads, First Sight Contract Information Feed, Reach &amp; Frequncy, TeleKwai, Hashtag Challenge Ads, and Special Recruitment Project - Non-standard Products.</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*Creator monetization ads：KCM</w:t>
      </w:r>
    </w:p>
    <w:p>
      <w:pPr>
        <w:spacing w:before="120" w:after="120" w:line="288" w:lineRule="auto"/>
        <w:ind w:left="0" w:firstLine="420"/>
        <w:jc w:val="left"/>
      </w:pPr>
      <w:r>
        <w:rPr>
          <w:rFonts w:eastAsia="等线" w:ascii="Arial" w:cs="Arial" w:hAnsi="Arial"/>
          <w:sz w:val="22"/>
        </w:rPr>
        <w:t>2.3 甲方投放行业为【B类】的广告，且【取得牌照并在SIGAP系统名单内】的，返点比例如下：</w:t>
      </w:r>
    </w:p>
    <w:p>
      <w:pPr>
        <w:spacing w:before="120" w:after="120" w:line="288" w:lineRule="auto"/>
        <w:ind w:left="0" w:firstLine="420"/>
        <w:jc w:val="left"/>
      </w:pPr>
      <w:r>
        <w:rPr>
          <w:rFonts w:eastAsia="等线" w:ascii="Arial" w:cs="Arial" w:hAnsi="Arial"/>
          <w:sz w:val="22"/>
        </w:rPr>
        <w:t>If Party A places advertisements in the industry of [Category B], also[ being licensed and listed on the SIGAP system], 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40"/>
        <w:gridCol w:w="2340"/>
      </w:tblGrid>
      <w:tr>
        <w:tc>
          <w:tcPr>
            <w:tcW w:w="59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40" w:type="dxa"/>
            <w:tcMar>
              <w:top w:type="dxa" w:w="60"/>
              <w:left w:type="dxa" w:w="120"/>
              <w:bottom w:type="dxa" w:w="30"/>
              <w:right w:type="dxa" w:w="120"/>
            </w:tcMar>
          </w:tcPr>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 Category B industries: refers to the industry other than Category A.</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Category judgment: The specific category judgment shall be based on the promotion of the site pages/applications/accounts of Party A's entity, and the industry classification will be updated in real time. Ultimately, the judgment of Kwai media shall prevail in the first place.</w:t>
      </w:r>
    </w:p>
    <w:p>
      <w:pPr>
        <w:spacing w:before="120" w:after="120" w:line="288" w:lineRule="auto"/>
        <w:ind w:left="0" w:firstLine="420"/>
        <w:jc w:val="left"/>
      </w:pPr>
      <w:r>
        <w:rPr>
          <w:rFonts w:eastAsia="等线" w:ascii="Arial" w:cs="Arial" w:hAnsi="Arial"/>
          <w:sz w:val="22"/>
        </w:rPr>
        <w:t>4.5 SIGAP系统名单内判定：均以Kwai媒体审核判定为准。</w:t>
      </w:r>
    </w:p>
    <w:p>
      <w:pPr>
        <w:spacing w:before="120" w:after="120" w:line="288" w:lineRule="auto"/>
        <w:ind w:left="0" w:firstLine="420"/>
        <w:jc w:val="left"/>
      </w:pPr>
      <w:r>
        <w:rPr>
          <w:rFonts w:eastAsia="等线" w:ascii="Arial" w:cs="Arial" w:hAnsi="Arial"/>
          <w:sz w:val="22"/>
        </w:rPr>
        <w:t>SIGAP System Listing Criteria: the judgment of Kwai media shall prevail</w:t>
      </w:r>
    </w:p>
    <w:p>
      <w:pPr>
        <w:spacing w:before="120" w:after="120" w:line="288" w:lineRule="auto"/>
        <w:ind w:left="0" w:firstLine="420"/>
        <w:jc w:val="left"/>
      </w:pPr>
      <w:r>
        <w:rPr>
          <w:rFonts w:eastAsia="等线" w:ascii="Arial" w:cs="Arial" w:hAnsi="Arial"/>
          <w:sz w:val="22"/>
        </w:rPr>
        <w:t>4.6广告类型判定：均以Kwai媒体判定为准。</w:t>
      </w:r>
    </w:p>
    <w:p>
      <w:pPr>
        <w:spacing w:before="120" w:after="120" w:line="288" w:lineRule="auto"/>
        <w:ind w:left="0" w:firstLine="420"/>
        <w:jc w:val="left"/>
      </w:pPr>
      <w:r>
        <w:rPr>
          <w:rFonts w:eastAsia="等线" w:ascii="Arial" w:cs="Arial" w:hAnsi="Arial"/>
          <w:sz w:val="22"/>
        </w:rPr>
        <w:t>Advertising type determination: the judgment of Kwai media shall prevail.</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r>
        <w:rPr>
          <w:rFonts w:eastAsia="等线" w:ascii="Arial" w:cs="Arial" w:hAnsi="Arial"/>
          <w:sz w:val="22"/>
        </w:rPr>
        <w:t>Party A shall set up accounts and advertise strictly accordance with the industry type. If Party A violates the above rules (such as setting up category A accounts to advertise in category B industries), the media and/or Party B shall have the right to impose penalties on Party A, including but not limited to deducting fines, canceling rebates, freezing accounts, etc.; If it is not sufficient to make up for Party B's losses, Party B shall have the right to pursue compensation from Party A.</w:t>
      </w:r>
    </w:p>
    <w:p>
      <w:pPr>
        <w:spacing w:before="120" w:after="120" w:line="288" w:lineRule="auto"/>
        <w:ind w:left="0" w:firstLine="420"/>
        <w:jc w:val="left"/>
      </w:pPr>
    </w:p>
    <w:p>
      <w:pPr>
        <w:numPr>
          <w:numId w:val="88"/>
        </w:numPr>
        <w:spacing w:before="120" w:after="120" w:line="288" w:lineRule="auto"/>
        <w:ind w:left="0"/>
        <w:jc w:val="left"/>
      </w:pPr>
      <w:r>
        <w:rPr>
          <w:rFonts w:eastAsia="等线" w:ascii="Arial" w:cs="Arial" w:hAnsi="Arial"/>
          <w:b w:val="true"/>
          <w:sz w:val="22"/>
        </w:rPr>
        <w:t>LinkedIn</w:t>
      </w:r>
    </w:p>
    <w:p>
      <w:pPr>
        <w:spacing w:before="120" w:after="120" w:line="288" w:lineRule="auto"/>
        <w:ind w:left="0" w:firstLine="420"/>
        <w:jc w:val="left"/>
      </w:pPr>
      <w:r>
        <w:rPr>
          <w:rFonts w:eastAsia="等线" w:ascii="Arial" w:cs="Arial" w:hAnsi="Arial"/>
          <w:sz w:val="22"/>
        </w:rPr>
        <w:t>3.1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3.2返点比例如下：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985"/>
        <w:gridCol w:w="2295"/>
      </w:tblGrid>
      <w:tr>
        <w:tc>
          <w:tcPr>
            <w:tcW w:w="59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5985" w:type="dxa"/>
            <w:tcMar>
              <w:top w:type="dxa" w:w="60"/>
              <w:left w:type="dxa" w:w="120"/>
              <w:bottom w:type="dxa" w:w="30"/>
              <w:right w:type="dxa" w:w="120"/>
            </w:tcMar>
          </w:tcPr>
          <w:p>
            <w:pPr>
              <w:spacing w:before="120" w:after="120" w:line="288" w:lineRule="auto"/>
              <w:ind w:left="0"/>
              <w:jc w:val="left"/>
            </w:pPr>
          </w:p>
        </w:tc>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3.3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“Advance payment”,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authority.</w:t>
      </w:r>
    </w:p>
    <w:p>
      <w:pPr>
        <w:spacing w:before="120" w:after="120" w:line="288" w:lineRule="auto"/>
        <w:ind w:left="0" w:firstLine="420"/>
        <w:jc w:val="left"/>
      </w:pPr>
      <w:r>
        <w:rPr>
          <w:rFonts w:eastAsia="等线" w:ascii="Arial" w:cs="Arial" w:hAnsi="Arial"/>
          <w:sz w:val="22"/>
        </w:rPr>
        <w:t>3.4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cooperation method of “Afterward payment”, 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r>
        <w:rPr>
          <w:rFonts w:eastAsia="等线" w:ascii="Arial" w:cs="Arial" w:hAnsi="Arial"/>
          <w:sz w:val="22"/>
        </w:rPr>
        <w:t>3.5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420"/>
        <w:jc w:val="left"/>
      </w:pPr>
      <w:r>
        <w:rPr>
          <w:rFonts w:eastAsia="等线" w:ascii="Arial" w:cs="Arial" w:hAnsi="Arial"/>
          <w:sz w:val="22"/>
        </w:rPr>
        <w:t>Party A is aware that taxes are required for LinkedIn media placement. If Party A chooses the cooperation method of “Advance payment”, the taxes will be directly deducted from charging; If Party A chooses the cooperation method of “Afterward payment”, the taxes will be combined and calculated into the bill for the same month. Furthermore, taxes are not included in the calculation of the rebate.</w:t>
      </w:r>
    </w:p>
    <w:p>
      <w:pPr>
        <w:spacing w:before="120" w:after="120" w:line="288" w:lineRule="auto"/>
        <w:ind w:left="0" w:firstLine="420"/>
        <w:jc w:val="left"/>
      </w:pPr>
      <w:r>
        <w:rPr>
          <w:rFonts w:eastAsia="等线" w:ascii="Arial" w:cs="Arial" w:hAnsi="Arial"/>
          <w:sz w:val="22"/>
        </w:rPr>
        <w:t>3.6 上述 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r>
        <w:rPr>
          <w:rFonts w:eastAsia="等线" w:ascii="Arial" w:cs="Arial" w:hAnsi="Arial"/>
          <w:sz w:val="22"/>
        </w:rPr>
        <w:t>The rebate policy stipulated in Article 5.2 above is only valid until June 30, 2025, that is, the parties shall separately sign the new LinkedIn rebate policy applicable from July 1, 2025 in the form of a supplementary agreement, otherwise Party B shall have the right to refuse to pay the rebate rate stipulated in the above article to Party A and shall not bear any liability for breach of contract.</w:t>
      </w:r>
    </w:p>
    <w:p>
      <w:pPr>
        <w:spacing w:before="120" w:after="120" w:line="288" w:lineRule="auto"/>
        <w:ind w:left="0" w:firstLine="420"/>
        <w:jc w:val="left"/>
      </w:pPr>
    </w:p>
    <w:p>
      <w:pPr>
        <w:numPr>
          <w:numId w:val="89"/>
        </w:numPr>
        <w:spacing w:before="120" w:after="120" w:line="288" w:lineRule="auto"/>
        <w:ind w:left="0"/>
        <w:jc w:val="left"/>
      </w:pPr>
      <w:r>
        <w:rPr>
          <w:rFonts w:eastAsia="等线" w:ascii="Arial" w:cs="Arial" w:hAnsi="Arial"/>
          <w:b w:val="true"/>
          <w:sz w:val="22"/>
        </w:rPr>
        <w:t>Twitter（X）\Outbrain\Moloco等其他小媒体</w:t>
      </w:r>
    </w:p>
    <w:p>
      <w:pPr>
        <w:spacing w:before="120" w:after="120" w:line="288" w:lineRule="auto"/>
        <w:ind w:left="0" w:firstLine="420"/>
        <w:jc w:val="left"/>
      </w:pPr>
      <w:r>
        <w:rPr>
          <w:rFonts w:eastAsia="等线" w:ascii="Arial" w:cs="Arial" w:hAnsi="Arial"/>
          <w:b w:val="true"/>
          <w:sz w:val="22"/>
        </w:rPr>
        <w:t>Twitter\Outbrain\Moloco and other small media</w:t>
      </w:r>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4.2 返点比例如下：</w:t>
      </w:r>
    </w:p>
    <w:p>
      <w:pPr>
        <w:spacing w:before="120" w:after="120" w:line="288" w:lineRule="auto"/>
        <w:ind w:left="0" w:firstLine="420"/>
        <w:jc w:val="left"/>
      </w:pPr>
      <w:r>
        <w:rPr>
          <w:rFonts w:eastAsia="等线" w:ascii="Arial" w:cs="Arial" w:hAnsi="Arial"/>
          <w:sz w:val="22"/>
        </w:rPr>
        <w:t>The rebate percentage is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15"/>
        <w:gridCol w:w="2265"/>
      </w:tblGrid>
      <w:tr>
        <w:tc>
          <w:tcPr>
            <w:tcW w:w="60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15" w:type="dxa"/>
            <w:tcMar>
              <w:top w:type="dxa" w:w="60"/>
              <w:left w:type="dxa" w:w="120"/>
              <w:bottom w:type="dxa" w:w="30"/>
              <w:right w:type="dxa" w:w="120"/>
            </w:tcMar>
          </w:tcPr>
          <w:p>
            <w:pPr>
              <w:spacing w:before="120" w:after="120" w:line="288" w:lineRule="auto"/>
              <w:ind w:left="0"/>
              <w:jc w:val="left"/>
            </w:pPr>
          </w:p>
        </w:tc>
        <w:tc>
          <w:tcPr>
            <w:tcW w:w="22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4.3甲方确认，在Outbrain媒体投放社交聚合类(social aggregator) 和套利/搜索类 （Search/SERP）的广告，不参与返点。</w:t>
      </w:r>
    </w:p>
    <w:p>
      <w:pPr>
        <w:spacing w:before="120" w:after="120" w:line="288" w:lineRule="auto"/>
        <w:ind w:left="0" w:firstLine="420"/>
        <w:jc w:val="left"/>
      </w:pPr>
      <w:r>
        <w:rPr>
          <w:rFonts w:eastAsia="等线" w:ascii="Arial" w:cs="Arial" w:hAnsi="Arial"/>
          <w:sz w:val="22"/>
        </w:rPr>
        <w:t>Party A confirms that the social aggregator and Search/SERP ads placed on Outbrain Media will not obtain the rebate.</w:t>
      </w:r>
    </w:p>
    <w:p>
      <w:pPr>
        <w:spacing w:before="120" w:after="120" w:line="288" w:lineRule="auto"/>
        <w:ind w:left="0" w:firstLine="420"/>
        <w:jc w:val="left"/>
      </w:pPr>
    </w:p>
    <w:p>
      <w:pPr>
        <w:numPr>
          <w:numId w:val="90"/>
        </w:numPr>
        <w:spacing w:before="120" w:after="120" w:line="288" w:lineRule="auto"/>
        <w:ind w:left="0"/>
        <w:jc w:val="left"/>
      </w:pPr>
      <w:r>
        <w:rPr>
          <w:rFonts w:eastAsia="等线" w:ascii="Arial" w:cs="Arial" w:hAnsi="Arial"/>
          <w:b w:val="true"/>
          <w:sz w:val="22"/>
        </w:rPr>
        <w:t>TTD，Pinterest，YAHOO-日本，REDDIT，SEEDAPP，LINE，BlueTurbo DSP等其他小媒体</w:t>
      </w:r>
    </w:p>
    <w:p>
      <w:pPr>
        <w:spacing w:before="120" w:after="120" w:line="288" w:lineRule="auto"/>
        <w:ind w:left="0" w:firstLine="420"/>
        <w:jc w:val="left"/>
      </w:pPr>
      <w:r>
        <w:rPr>
          <w:rFonts w:eastAsia="等线" w:ascii="Arial" w:cs="Arial" w:hAnsi="Arial"/>
          <w:b w:val="true"/>
          <w:sz w:val="22"/>
        </w:rPr>
        <w:t>TTD，Pinterest，YAHOO-日本，REDDIT，SEEDAPP，LINE，BlueTurbo DSP and other small media</w:t>
      </w:r>
    </w:p>
    <w:p>
      <w:pPr>
        <w:spacing w:before="120" w:after="120" w:line="288" w:lineRule="auto"/>
        <w:ind w:left="0" w:firstLine="420"/>
        <w:jc w:val="left"/>
      </w:pPr>
      <w:r>
        <w:rPr>
          <w:rFonts w:eastAsia="等线" w:ascii="Arial" w:cs="Arial" w:hAnsi="Arial"/>
          <w:sz w:val="22"/>
        </w:rPr>
        <w:t>5.1 甲方在【 】媒体进行广告投放的，所涉及的消耗均无任何返点，且甲方需要向乙方额外支付当月广告投放总消耗金额的【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If Party A places advertisements in [ ] media, there is no rebate for the consumption involved, and 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5.2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5.3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“Afterward payment” cooperation method, Party A shall settle with Party B according to the actual consumption regardless of whether Party A's actual consumption exceeds the recharge demand, i.e. the principle of truthful settlement, and if Party A is late or refuses to pay, Party B has the right to stop providing any service to Party A, including but not limited to suspending the account consumption and withdrawing the account-related rights.</w:t>
      </w:r>
    </w:p>
    <w:p>
      <w:pPr>
        <w:spacing w:before="120" w:after="120" w:line="288" w:lineRule="auto"/>
        <w:ind w:left="0" w:firstLine="420"/>
        <w:jc w:val="left"/>
      </w:pPr>
    </w:p>
    <w:p>
      <w:pPr>
        <w:numPr>
          <w:numId w:val="91"/>
        </w:numPr>
        <w:spacing w:before="120" w:after="120" w:line="288" w:lineRule="auto"/>
        <w:ind w:left="0"/>
        <w:jc w:val="left"/>
      </w:pPr>
      <w:r>
        <w:rPr>
          <w:rFonts w:eastAsia="等线" w:ascii="Arial" w:cs="Arial" w:hAnsi="Arial"/>
          <w:b w:val="true"/>
          <w:sz w:val="22"/>
        </w:rPr>
        <w:t>Microsoft advertising(Bing)</w:t>
      </w:r>
    </w:p>
    <w:p>
      <w:pPr>
        <w:spacing w:before="120" w:after="120" w:line="288" w:lineRule="auto"/>
        <w:ind w:left="0" w:firstLine="42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for the advertisement placement to Party B, and after the end of the quarter, Party B shall settle the rebate based on the total amount actually paid by Party A for the advertisement placement. Party A explicitly acknowledges and agrees that if any payment by Party A is overdue within the quarter, Party B has the right to cancel all rebates for that quarter. If Party A is subject to any circumstances that warrant a reduction or exemption of the rebate as agreed upon by the media platform, Party A shall not be eligible for the rebate even if the full amount for the advertisement placement has been paid.</w:t>
      </w:r>
    </w:p>
    <w:p>
      <w:pPr>
        <w:spacing w:before="120" w:after="120" w:line="288" w:lineRule="auto"/>
        <w:ind w:left="0" w:firstLine="420"/>
        <w:jc w:val="left"/>
      </w:pPr>
      <w:r>
        <w:rPr>
          <w:rFonts w:eastAsia="等线" w:ascii="Arial" w:cs="Arial" w:hAnsi="Arial"/>
          <w:sz w:val="22"/>
        </w:rPr>
        <w:t>6.2 【2025年7月1日】至【2026年6月30日】期间，双方确认按照如下返点计算：</w:t>
      </w:r>
    </w:p>
    <w:p>
      <w:pPr>
        <w:spacing w:before="120" w:after="120" w:line="288" w:lineRule="auto"/>
        <w:ind w:left="0" w:firstLine="420"/>
        <w:jc w:val="left"/>
      </w:pPr>
      <w:r>
        <w:rPr>
          <w:rFonts w:eastAsia="等线" w:ascii="Arial" w:cs="Arial" w:hAnsi="Arial"/>
          <w:sz w:val="22"/>
        </w:rPr>
        <w:t>During the period from [July 1, 2025] to [June 30, 2026], the parties confirm that the calculation shall be based on the following rebate points: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p>
            <w:pPr>
              <w:spacing w:before="120" w:after="120" w:line="288" w:lineRule="auto"/>
              <w:ind w:left="0"/>
              <w:jc w:val="center"/>
            </w:pPr>
            <w:r>
              <w:rPr>
                <w:rFonts w:eastAsia="等线" w:ascii="Arial" w:cs="Arial" w:hAnsi="Arial"/>
                <w:sz w:val="22"/>
              </w:rPr>
              <w:t>Type (Per Client 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p>
            <w:pPr>
              <w:spacing w:before="120" w:after="120" w:line="288" w:lineRule="auto"/>
              <w:ind w:left="0"/>
              <w:jc w:val="center"/>
            </w:pPr>
            <w:r>
              <w:rPr>
                <w:rFonts w:eastAsia="等线" w:ascii="Arial" w:cs="Arial" w:hAnsi="Arial"/>
                <w:sz w:val="22"/>
              </w:rPr>
              <w:t>Evaluation Metric (X = Ad Spend per Quarter in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sz w:val="22"/>
              </w:rPr>
              <w:t>Rebate(%)</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 USD</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 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%（额外返点Additional Rebate）</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X≥【500,000】USD</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6.2.1 单一客户：一般情况指一个XID为一个单一客户主体，除直客以外。</w:t>
      </w:r>
    </w:p>
    <w:p>
      <w:pPr>
        <w:spacing w:before="120" w:after="120" w:line="288" w:lineRule="auto"/>
        <w:ind w:left="0" w:firstLine="420"/>
        <w:jc w:val="left"/>
      </w:pPr>
      <w:r>
        <w:rPr>
          <w:rFonts w:eastAsia="等线" w:ascii="Arial" w:cs="Arial" w:hAnsi="Arial"/>
          <w:sz w:val="22"/>
        </w:rPr>
        <w:t>Single Client: Generally refers to a single XID representing a single client entity, excluding direct clients.</w:t>
      </w:r>
    </w:p>
    <w:p>
      <w:pPr>
        <w:spacing w:before="120" w:after="120" w:line="288" w:lineRule="auto"/>
        <w:ind w:left="0" w:firstLine="420"/>
        <w:jc w:val="left"/>
      </w:pPr>
      <w:r>
        <w:rPr>
          <w:rFonts w:eastAsia="等线" w:ascii="Arial" w:cs="Arial" w:hAnsi="Arial"/>
          <w:sz w:val="22"/>
        </w:rPr>
        <w:t>6.2.2 新客：新创建的XID，新的Domain，非套利及联盟账户，且在过去半年没有消耗过的账户，可被媒体可判定为新客。</w:t>
      </w:r>
    </w:p>
    <w:p>
      <w:pPr>
        <w:spacing w:before="120" w:after="120" w:line="288" w:lineRule="auto"/>
        <w:ind w:left="0" w:firstLine="420"/>
        <w:jc w:val="left"/>
      </w:pPr>
      <w:r>
        <w:rPr>
          <w:rFonts w:eastAsia="等线" w:ascii="Arial" w:cs="Arial" w:hAnsi="Arial"/>
          <w:sz w:val="22"/>
        </w:rPr>
        <w:t>New Client: A newly created XID, a new Domain, not involved in arbitrage or affiliate accounts, and an account that has not incurred any spending in the past six months, can be deemed as a new client by the media.</w:t>
      </w:r>
    </w:p>
    <w:p>
      <w:pPr>
        <w:spacing w:before="120" w:after="120" w:line="288" w:lineRule="auto"/>
        <w:ind w:left="0" w:firstLine="420"/>
        <w:jc w:val="left"/>
      </w:pPr>
      <w:r>
        <w:rPr>
          <w:rFonts w:eastAsia="等线" w:ascii="Arial" w:cs="Arial" w:hAnsi="Arial"/>
          <w:sz w:val="22"/>
        </w:rPr>
        <w:t>6.2.3 高质量新客：被媒体判定为新客，且在前3个月内消耗超过3000美金的。</w:t>
      </w:r>
    </w:p>
    <w:p>
      <w:pPr>
        <w:spacing w:before="120" w:after="120" w:line="288" w:lineRule="auto"/>
        <w:ind w:left="0" w:firstLine="420"/>
        <w:jc w:val="left"/>
      </w:pPr>
      <w:r>
        <w:rPr>
          <w:rFonts w:eastAsia="等线" w:ascii="Arial" w:cs="Arial" w:hAnsi="Arial"/>
          <w:sz w:val="22"/>
        </w:rPr>
        <w:t>High-Quality New Client: A client deemed as new by the media, who has spent over $3,000 within the first three months.</w:t>
      </w:r>
    </w:p>
    <w:p>
      <w:pPr>
        <w:spacing w:before="120" w:after="120" w:line="288" w:lineRule="auto"/>
        <w:ind w:left="0" w:firstLine="420"/>
        <w:jc w:val="left"/>
      </w:pPr>
      <w:r>
        <w:rPr>
          <w:rFonts w:eastAsia="等线" w:ascii="Arial" w:cs="Arial" w:hAnsi="Arial"/>
          <w:sz w:val="22"/>
        </w:rPr>
        <w:t>6.2.4 直客：由Microsoft advertising(Bing)媒体直接管理的客户，具体以媒体确定的名单为准。</w:t>
      </w:r>
    </w:p>
    <w:p>
      <w:pPr>
        <w:spacing w:before="120" w:after="120" w:line="288" w:lineRule="auto"/>
        <w:ind w:left="0" w:firstLine="420"/>
        <w:jc w:val="left"/>
      </w:pPr>
      <w:r>
        <w:rPr>
          <w:rFonts w:eastAsia="等线" w:ascii="Arial" w:cs="Arial" w:hAnsi="Arial"/>
          <w:sz w:val="22"/>
        </w:rPr>
        <w:t>Direct Client: Clients directly managed by Microsoft Advertising (Bing) media, with the specific list determined by the media.8.2.5 CID: Manager account.</w:t>
      </w:r>
    </w:p>
    <w:p>
      <w:pPr>
        <w:spacing w:before="120" w:after="120" w:line="288" w:lineRule="auto"/>
        <w:ind w:left="0" w:firstLine="420"/>
        <w:jc w:val="left"/>
      </w:pPr>
      <w:r>
        <w:rPr>
          <w:rFonts w:eastAsia="等线" w:ascii="Arial" w:cs="Arial" w:hAnsi="Arial"/>
          <w:sz w:val="22"/>
        </w:rPr>
        <w:t>6.2.5 CID：Manager account经理账户。</w:t>
      </w:r>
    </w:p>
    <w:p>
      <w:pPr>
        <w:spacing w:before="120" w:after="120" w:line="288" w:lineRule="auto"/>
        <w:ind w:left="0" w:firstLine="420"/>
        <w:jc w:val="left"/>
      </w:pPr>
      <w:r>
        <w:rPr>
          <w:rFonts w:eastAsia="等线" w:ascii="Arial" w:cs="Arial" w:hAnsi="Arial"/>
          <w:sz w:val="22"/>
        </w:rPr>
        <w:t>CID: Manager account.</w:t>
      </w:r>
    </w:p>
    <w:p>
      <w:pPr>
        <w:spacing w:before="120" w:after="120" w:line="288" w:lineRule="auto"/>
        <w:ind w:left="0" w:firstLine="420"/>
        <w:jc w:val="left"/>
      </w:pPr>
      <w:r>
        <w:rPr>
          <w:rFonts w:eastAsia="等线" w:ascii="Arial" w:cs="Arial" w:hAnsi="Arial"/>
          <w:sz w:val="22"/>
        </w:rPr>
        <w:t>6.2.6 XID：Account经理账户下的独立子账户。</w:t>
      </w:r>
    </w:p>
    <w:p>
      <w:pPr>
        <w:spacing w:before="120" w:after="120" w:line="288" w:lineRule="auto"/>
        <w:ind w:left="0" w:firstLine="420"/>
        <w:jc w:val="left"/>
      </w:pPr>
      <w:r>
        <w:rPr>
          <w:rFonts w:eastAsia="等线" w:ascii="Arial" w:cs="Arial" w:hAnsi="Arial"/>
          <w:sz w:val="22"/>
        </w:rPr>
        <w:t>XID: Independent sub-account under the manager account.</w:t>
      </w:r>
    </w:p>
    <w:p>
      <w:pPr>
        <w:spacing w:before="120" w:after="120" w:line="288" w:lineRule="auto"/>
        <w:ind w:left="0" w:firstLine="420"/>
        <w:jc w:val="left"/>
      </w:pPr>
      <w:r>
        <w:rPr>
          <w:rFonts w:eastAsia="等线" w:ascii="Arial" w:cs="Arial" w:hAnsi="Arial"/>
          <w:sz w:val="22"/>
        </w:rPr>
        <w:t>6.2.7 Domain：广告投放链接。</w:t>
      </w:r>
    </w:p>
    <w:p>
      <w:pPr>
        <w:spacing w:before="120" w:after="120" w:line="288" w:lineRule="auto"/>
        <w:ind w:left="0" w:firstLine="420"/>
        <w:jc w:val="left"/>
      </w:pPr>
      <w:r>
        <w:rPr>
          <w:rFonts w:eastAsia="等线" w:ascii="Arial" w:cs="Arial" w:hAnsi="Arial"/>
          <w:sz w:val="22"/>
        </w:rPr>
        <w:t>Domain: Advertising delivery link.</w:t>
      </w:r>
    </w:p>
    <w:p>
      <w:pPr>
        <w:spacing w:before="120" w:after="120" w:line="288" w:lineRule="auto"/>
        <w:ind w:left="0" w:firstLine="420"/>
        <w:jc w:val="left"/>
      </w:pPr>
      <w:r>
        <w:rPr>
          <w:rFonts w:eastAsia="等线" w:ascii="Arial" w:cs="Arial" w:hAnsi="Arial"/>
          <w:sz w:val="22"/>
        </w:rPr>
        <w:t>6.3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420"/>
        <w:jc w:val="left"/>
      </w:pPr>
      <w:r>
        <w:rPr>
          <w:rFonts w:eastAsia="等线" w:ascii="Arial" w:cs="Arial" w:hAnsi="Arial"/>
          <w:sz w:val="22"/>
        </w:rPr>
        <w:t>Arbitrage and Affiliate Account: Refers to customers who purchase Microsoft advertising services through an agent, with the purpose of promoting or marketing others' products or services. The specific determination of accounts is subject to the media's updates from time to time.</w:t>
      </w:r>
    </w:p>
    <w:p>
      <w:pPr>
        <w:spacing w:before="120" w:after="120" w:line="288" w:lineRule="auto"/>
        <w:ind w:left="0" w:firstLine="420"/>
        <w:jc w:val="left"/>
      </w:pPr>
      <w:r>
        <w:rPr>
          <w:rFonts w:eastAsia="等线" w:ascii="Arial" w:cs="Arial" w:hAnsi="Arial"/>
          <w:sz w:val="22"/>
        </w:rPr>
        <w:t>6.4如甲方在任何一个月出现违规消耗导致账户被封或者被媒体判定为低质量广告的，则该XID整年均无返点。</w:t>
      </w:r>
    </w:p>
    <w:p>
      <w:pPr>
        <w:spacing w:before="120" w:after="120" w:line="288" w:lineRule="auto"/>
        <w:ind w:left="0" w:firstLine="420"/>
        <w:jc w:val="left"/>
      </w:pPr>
      <w:r>
        <w:rPr>
          <w:rFonts w:eastAsia="等线" w:ascii="Arial" w:cs="Arial" w:hAnsi="Arial"/>
          <w:sz w:val="22"/>
        </w:rPr>
        <w:t>If Party A incurs any violations in consumption in any given month, resulting in account suspension or being deemed as low-quality advertising by the media, then the entire year for that XID will not be eligible for rebates.</w:t>
      </w:r>
    </w:p>
    <w:p>
      <w:pPr>
        <w:spacing w:before="120" w:after="120" w:line="288" w:lineRule="auto"/>
        <w:ind w:left="0" w:firstLine="420"/>
        <w:jc w:val="left"/>
      </w:pPr>
      <w:r>
        <w:rPr>
          <w:rFonts w:eastAsia="等线" w:ascii="Arial" w:cs="Arial" w:hAnsi="Arial"/>
          <w:sz w:val="22"/>
        </w:rPr>
        <w:t>6.5如甲方已在其它代理处开设XID，后续又在乙方处开设新的XID，如两个XID投放的Domain一致，则甲方在乙方处无法获得新客返点。</w:t>
      </w:r>
    </w:p>
    <w:p>
      <w:pPr>
        <w:spacing w:before="120" w:after="120" w:line="288" w:lineRule="auto"/>
        <w:ind w:left="0" w:firstLine="420"/>
        <w:jc w:val="left"/>
      </w:pPr>
      <w:r>
        <w:rPr>
          <w:rFonts w:eastAsia="等线" w:ascii="Arial" w:cs="Arial" w:hAnsi="Arial"/>
          <w:sz w:val="22"/>
        </w:rPr>
        <w:t>If Party A has already established an XID with another agency and subsequently opens a new XID with Party B, and if the Domain for both XIDs is the same, then Party A will not be eligible for new customer rebates with Party B.</w:t>
      </w:r>
    </w:p>
    <w:p>
      <w:pPr>
        <w:spacing w:before="120" w:after="120" w:line="288" w:lineRule="auto"/>
        <w:ind w:left="0" w:firstLine="420"/>
        <w:jc w:val="left"/>
      </w:pPr>
      <w:r>
        <w:rPr>
          <w:rFonts w:eastAsia="等线" w:ascii="Arial" w:cs="Arial" w:hAnsi="Arial"/>
          <w:sz w:val="22"/>
        </w:rPr>
        <w:t>6.6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r>
        <w:rPr>
          <w:rFonts w:eastAsia="等线" w:ascii="Arial" w:cs="Arial" w:hAnsi="Arial"/>
          <w:sz w:val="22"/>
        </w:rPr>
        <w:t>Basic rebates, new customer rebates, high-quality new customer rebates, and additional incentives can be accumulated and received simultaneously.The maximum duration for Party A to receive rebates as a newly recognized customer by the media is one year. In the case where Party A is identified as a high-quality new customer, additional rebates can be stacked on top of the new customer rebates. However, the additional rebates can only be claimed for a maximum of six months.</w:t>
      </w:r>
    </w:p>
    <w:p>
      <w:pPr>
        <w:spacing w:before="120" w:after="120" w:line="288" w:lineRule="auto"/>
        <w:ind w:left="0" w:firstLine="420"/>
        <w:jc w:val="left"/>
      </w:pPr>
      <w:r>
        <w:rPr>
          <w:rFonts w:eastAsia="等线" w:ascii="Arial" w:cs="Arial" w:hAnsi="Arial"/>
          <w:b w:val="true"/>
          <w:sz w:val="22"/>
        </w:rPr>
        <w:t>7. Amazon</w:t>
      </w:r>
    </w:p>
    <w:p>
      <w:pPr>
        <w:spacing w:before="120" w:after="120" w:line="288" w:lineRule="auto"/>
        <w:ind w:left="0" w:firstLine="420"/>
        <w:jc w:val="left"/>
      </w:pPr>
      <w:r>
        <w:rPr>
          <w:rFonts w:eastAsia="等线" w:ascii="Arial" w:cs="Arial" w:hAnsi="Arial"/>
          <w:sz w:val="22"/>
        </w:rPr>
        <w:t>7.1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quarter, Party B will settle the rebate based on the total amount of the advertising release actually paid by Party A. Party A explicitly acknowledges and agrees that: if any payment by Party A is overdue within the quarter, Party B has the right to cancel all the rebates for that quarter;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7.2双方确认按照如下返点计算：</w:t>
      </w:r>
    </w:p>
    <w:p>
      <w:pPr>
        <w:spacing w:before="120" w:after="120" w:line="288" w:lineRule="auto"/>
        <w:ind w:left="0" w:firstLine="420"/>
        <w:jc w:val="left"/>
      </w:pPr>
      <w:r>
        <w:rPr>
          <w:rFonts w:eastAsia="等线" w:ascii="Arial" w:cs="Arial" w:hAnsi="Arial"/>
          <w:sz w:val="22"/>
        </w:rPr>
        <w:t>Both parties confirm the following rebate calculation: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类型 </w:t>
            </w:r>
          </w:p>
          <w:p>
            <w:pPr>
              <w:spacing w:before="120" w:after="120" w:line="288" w:lineRule="auto"/>
              <w:ind w:left="0"/>
              <w:jc w:val="center"/>
            </w:pPr>
            <w:r>
              <w:rPr>
                <w:rFonts w:eastAsia="等线" w:ascii="Arial" w:cs="Arial" w:hAnsi="Arial"/>
                <w:b w:val="true"/>
                <w:sz w:val="22"/>
              </w:rPr>
              <w:t>Type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投放地区 </w:t>
            </w:r>
          </w:p>
          <w:p>
            <w:pPr>
              <w:spacing w:before="120" w:after="120" w:line="288" w:lineRule="auto"/>
              <w:ind w:left="0"/>
              <w:jc w:val="center"/>
            </w:pPr>
            <w:r>
              <w:rPr>
                <w:rFonts w:eastAsia="等线" w:ascii="Arial" w:cs="Arial" w:hAnsi="Arial"/>
                <w:b w:val="true"/>
                <w:sz w:val="22"/>
              </w:rPr>
              <w:t>Placement Area</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返点比例(%) </w:t>
            </w:r>
          </w:p>
          <w:p>
            <w:pPr>
              <w:spacing w:before="120" w:after="120" w:line="288" w:lineRule="auto"/>
              <w:ind w:left="0"/>
              <w:jc w:val="center"/>
            </w:pPr>
            <w:r>
              <w:rPr>
                <w:rFonts w:eastAsia="等线" w:ascii="Arial" w:cs="Arial" w:hAnsi="Arial"/>
                <w:b w:val="true"/>
                <w:sz w:val="22"/>
              </w:rPr>
              <w:t>Rebate</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7.2.1 Self Service：指可以通过DSP后台投出去的广告形式，其中包括但不限于Prime video\Twitch\Fire Tablet中的部分广告类型。</w:t>
      </w:r>
    </w:p>
    <w:p>
      <w:pPr>
        <w:spacing w:before="120" w:after="120" w:line="288" w:lineRule="auto"/>
        <w:ind w:left="0" w:firstLine="420"/>
        <w:jc w:val="left"/>
      </w:pPr>
      <w:r>
        <w:rPr>
          <w:rFonts w:eastAsia="等线" w:ascii="Arial" w:cs="Arial" w:hAnsi="Arial"/>
          <w:sz w:val="22"/>
        </w:rPr>
        <w:t>Self Service: Refers to the advertising form that can be launched through the DSP backend, including but not limited to some types of advertisements in Prime Video, Twitch and Fire Tablet.</w:t>
      </w:r>
    </w:p>
    <w:p>
      <w:pPr>
        <w:spacing w:before="120" w:after="120" w:line="288" w:lineRule="auto"/>
        <w:ind w:left="0" w:firstLine="420"/>
        <w:jc w:val="left"/>
      </w:pPr>
      <w:r>
        <w:rPr>
          <w:rFonts w:eastAsia="等线" w:ascii="Arial" w:cs="Arial" w:hAnsi="Arial"/>
          <w:sz w:val="22"/>
        </w:rPr>
        <w:t>7.2.2 Managed Service：指除Self Service类型以外的广告形式。</w:t>
      </w:r>
    </w:p>
    <w:p>
      <w:pPr>
        <w:spacing w:before="120" w:after="120" w:line="288" w:lineRule="auto"/>
        <w:ind w:left="0" w:firstLine="420"/>
        <w:jc w:val="left"/>
      </w:pPr>
      <w:r>
        <w:rPr>
          <w:rFonts w:eastAsia="等线" w:ascii="Arial" w:cs="Arial" w:hAnsi="Arial"/>
          <w:sz w:val="22"/>
        </w:rPr>
        <w:t xml:space="preserve">Managed Service: Refers to the advertising forms other than the Self Service type.  </w:t>
      </w:r>
    </w:p>
    <w:p>
      <w:pPr>
        <w:spacing w:before="120" w:after="120" w:line="288" w:lineRule="auto"/>
        <w:ind w:left="0" w:firstLine="420"/>
        <w:jc w:val="left"/>
      </w:pPr>
      <w:r>
        <w:rPr>
          <w:rFonts w:eastAsia="等线" w:ascii="Arial" w:cs="Arial" w:hAnsi="Arial"/>
          <w:sz w:val="22"/>
        </w:rPr>
        <w:t>7.3 甲方确认，如甲方在媒体的Block list（大型客户名单）中，则无任何返点奖励。</w:t>
      </w:r>
    </w:p>
    <w:p>
      <w:pPr>
        <w:spacing w:before="120" w:after="120" w:line="288" w:lineRule="auto"/>
        <w:ind w:left="0" w:firstLine="420"/>
        <w:jc w:val="left"/>
      </w:pPr>
      <w:r>
        <w:rPr>
          <w:rFonts w:eastAsia="等线" w:ascii="Arial" w:cs="Arial" w:hAnsi="Arial"/>
          <w:sz w:val="22"/>
        </w:rPr>
        <w:t>Party A acknowledges that if Party A is included in the Block list of the media (a large customer list), there will be no rebate rewards.</w:t>
      </w:r>
    </w:p>
    <w:p>
      <w:pPr>
        <w:spacing w:before="120" w:after="120" w:line="288" w:lineRule="auto"/>
        <w:ind w:left="0" w:firstLine="420"/>
        <w:jc w:val="left"/>
      </w:pPr>
      <w:r>
        <w:rPr>
          <w:rFonts w:eastAsia="等线" w:ascii="Arial" w:cs="Arial" w:hAnsi="Arial"/>
          <w:sz w:val="22"/>
        </w:rPr>
        <w:t>7.4 上述广告类型/形式以及Block list的具体判定，会实时更新，最终均以Amazon媒体判定为准。</w:t>
      </w:r>
    </w:p>
    <w:p>
      <w:pPr>
        <w:spacing w:before="120" w:after="120" w:line="288" w:lineRule="auto"/>
        <w:ind w:left="0" w:firstLine="420"/>
        <w:jc w:val="left"/>
      </w:pPr>
      <w:r>
        <w:rPr>
          <w:rFonts w:eastAsia="等线" w:ascii="Arial" w:cs="Arial" w:hAnsi="Arial"/>
          <w:sz w:val="22"/>
        </w:rPr>
        <w:t>The specific determination of the above advertising types/forms and the Block list will be updated in real time. The final determination shall be based on the judgment of Amazon Media.</w:t>
      </w:r>
    </w:p>
    <w:p>
      <w:pPr>
        <w:spacing w:before="120" w:after="120" w:line="288" w:lineRule="auto"/>
        <w:ind w:left="0" w:firstLine="420"/>
        <w:jc w:val="left"/>
      </w:pPr>
      <w:r>
        <w:rPr>
          <w:rFonts w:eastAsia="等线" w:ascii="Arial" w:cs="Arial" w:hAnsi="Arial"/>
          <w:sz w:val="22"/>
        </w:rPr>
        <w:t>7.5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post-payment cooperation method, regardless of whether the actual consumption of Party A exceeds the recharge requirement, Party A shall settle with Party B based on the actual consumption. That is, the principle of actual settlement shall be followed. If Party A delays payment or refuses to pay, Party B has the right to stop providing any services to Party A, including but not limited to suspending the consumption of the account and revoking the relevant account permissions.</w:t>
      </w:r>
    </w:p>
    <w:p>
      <w:pPr>
        <w:spacing w:before="120" w:after="120" w:line="288" w:lineRule="auto"/>
        <w:ind w:left="0" w:firstLine="420"/>
        <w:jc w:val="left"/>
      </w:pPr>
    </w:p>
    <w:p>
      <w:pPr>
        <w:pStyle w:val="3"/>
        <w:spacing w:before="300" w:after="120" w:line="288" w:lineRule="auto"/>
        <w:ind w:left="0"/>
        <w:jc w:val="left"/>
        <w:outlineLvl w:val="2"/>
      </w:pPr>
      <w:bookmarkStart w:name="heading_3" w:id="3"/>
      <w:r>
        <w:rPr>
          <w:rFonts w:eastAsia="等线" w:ascii="Arial" w:cs="Arial" w:hAnsi="Arial"/>
          <w:b w:val="true"/>
          <w:sz w:val="30"/>
        </w:rPr>
        <w:t>8. Applovin</w:t>
      </w:r>
      <w:bookmarkEnd w:id="3"/>
    </w:p>
    <w:p>
      <w:pPr>
        <w:spacing w:before="120" w:after="120" w:line="288" w:lineRule="auto"/>
        <w:ind w:left="0" w:firstLine="420"/>
        <w:jc w:val="left"/>
      </w:pPr>
      <w:r>
        <w:rPr>
          <w:rFonts w:eastAsia="等线" w:ascii="Arial" w:cs="Arial" w:hAnsi="Arial"/>
          <w:sz w:val="22"/>
        </w:rPr>
        <w:t>8.1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the full amount of the advertising release to Party B. After the end of each year, Party B will settle the rebate based on the total amount of the advertising release actually paid by Party A. Party A explicitly acknowledges and agrees that: if any payment by Party A is overdue within the year, Party B has the right to cancel all the rebates for that year; if Party A has any circumstances of exemption from rebate as agreed by the media platform, even if Party A has completed the payment of the advertising release amount on time, it will not participate in the rebates.</w:t>
      </w:r>
    </w:p>
    <w:p>
      <w:pPr>
        <w:spacing w:before="120" w:after="120" w:line="288" w:lineRule="auto"/>
        <w:ind w:left="0" w:firstLine="420"/>
        <w:jc w:val="left"/>
      </w:pPr>
      <w:r>
        <w:rPr>
          <w:rFonts w:eastAsia="等线" w:ascii="Arial" w:cs="Arial" w:hAnsi="Arial"/>
          <w:sz w:val="22"/>
        </w:rPr>
        <w:t>8.2 如甲方选择自投，则双方确认按照如下返点计算：</w:t>
      </w:r>
    </w:p>
    <w:p>
      <w:pPr>
        <w:spacing w:before="120" w:after="120" w:line="288" w:lineRule="auto"/>
        <w:ind w:left="0" w:firstLine="420"/>
        <w:jc w:val="left"/>
      </w:pPr>
      <w:r>
        <w:rPr>
          <w:rFonts w:eastAsia="等线" w:ascii="Arial" w:cs="Arial" w:hAnsi="Arial"/>
          <w:sz w:val="22"/>
        </w:rPr>
        <w:t>If Party A chooses advertiser placement,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60"/>
        <w:gridCol w:w="2220"/>
      </w:tblGrid>
      <w:tr>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p>
            <w:pPr>
              <w:spacing w:before="120" w:after="120" w:line="288" w:lineRule="auto"/>
              <w:ind w:left="0"/>
              <w:jc w:val="center"/>
            </w:pPr>
            <w:r>
              <w:rPr>
                <w:rFonts w:eastAsia="等线" w:ascii="Arial" w:cs="Arial" w:hAnsi="Arial"/>
                <w:b w:val="true"/>
                <w:sz w:val="22"/>
              </w:rPr>
              <w:t>Advertising Placement amount range (Unit: Ten Thousand USD)</w:t>
            </w: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060" w:type="dxa"/>
            <w:tcMar>
              <w:top w:type="dxa" w:w="60"/>
              <w:left w:type="dxa" w:w="120"/>
              <w:bottom w:type="dxa" w:w="30"/>
              <w:right w:type="dxa" w:w="120"/>
            </w:tcMar>
          </w:tcPr>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8.3 如甲方选择代投，则代投服务费以双方在“三、代投政策”处的约定为准。</w:t>
      </w:r>
    </w:p>
    <w:p>
      <w:pPr>
        <w:spacing w:before="120" w:after="120" w:line="288" w:lineRule="auto"/>
        <w:ind w:left="0" w:firstLine="420"/>
        <w:jc w:val="left"/>
      </w:pPr>
      <w:r>
        <w:rPr>
          <w:rFonts w:eastAsia="等线" w:ascii="Arial" w:cs="Arial" w:hAnsi="Arial"/>
          <w:sz w:val="22"/>
        </w:rPr>
        <w:t>If chooses agency placement, the agency service fee shall be subject to “Policies for Agency Placement” part of this contract.</w:t>
      </w:r>
    </w:p>
    <w:p>
      <w:pPr>
        <w:spacing w:before="120" w:after="120" w:line="288" w:lineRule="auto"/>
        <w:ind w:left="0" w:firstLine="420"/>
        <w:jc w:val="left"/>
      </w:pPr>
      <w:r>
        <w:rPr>
          <w:rFonts w:eastAsia="等线" w:ascii="Arial" w:cs="Arial" w:hAnsi="Arial"/>
          <w:sz w:val="22"/>
        </w:rPr>
        <w:t>8.4 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Party A needs to pay Party B an additional [ ]% of the total consumption amount of that month's advertisement placement as a service fee, which will be settled together with the consumption cost of that month's advertisement according to the agreed billing period.</w:t>
      </w:r>
    </w:p>
    <w:p>
      <w:pPr>
        <w:spacing w:before="120" w:after="120" w:line="288" w:lineRule="auto"/>
        <w:ind w:left="0" w:firstLine="420"/>
        <w:jc w:val="left"/>
      </w:pPr>
      <w:r>
        <w:rPr>
          <w:rFonts w:eastAsia="等线" w:ascii="Arial" w:cs="Arial" w:hAnsi="Arial"/>
          <w:sz w:val="22"/>
        </w:rPr>
        <w:t>8.5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If Party A chooses the “Advance payment” cooperation method, Party B will give Party A an alert when Party A's actual consumption amount exceeds 90% of the Advance payment amount; if Party A's actual consumption amount reaches the Advance payment amount, Party A shall immediately stop consumption, otherwise Party B has the right to stop providing any service to Party A, including but not limited to suspending account consumption and withdrawing account-related rights.</w:t>
      </w:r>
    </w:p>
    <w:p>
      <w:pPr>
        <w:spacing w:before="120" w:after="120" w:line="288" w:lineRule="auto"/>
        <w:ind w:left="0" w:firstLine="420"/>
        <w:jc w:val="left"/>
      </w:pPr>
      <w:r>
        <w:rPr>
          <w:rFonts w:eastAsia="等线" w:ascii="Arial" w:cs="Arial" w:hAnsi="Arial"/>
          <w:sz w:val="22"/>
        </w:rPr>
        <w:t>8.6如甲方选择代投方式，则甲方无权使用和操作代投广告账户，否则该账户因此导致的所有费用或消耗，均需由甲方自行承担。</w:t>
      </w:r>
    </w:p>
    <w:p>
      <w:pPr>
        <w:spacing w:before="120" w:after="120" w:line="288" w:lineRule="auto"/>
        <w:ind w:left="0" w:firstLine="420"/>
        <w:jc w:val="left"/>
      </w:pPr>
      <w:r>
        <w:rPr>
          <w:rFonts w:eastAsia="等线" w:ascii="Arial" w:cs="Arial" w:hAnsi="Arial"/>
          <w:sz w:val="22"/>
        </w:rPr>
        <w:t>If Party A chooses the agency placement method, Party A is not entitled to use or operate the agency advertisement account. Otherwise, Party A shall bear all costs or expenditures resulting from such actions.</w:t>
      </w:r>
    </w:p>
    <w:p>
      <w:pPr>
        <w:spacing w:before="120" w:after="120" w:line="288" w:lineRule="auto"/>
        <w:ind w:left="0" w:firstLine="420"/>
        <w:jc w:val="left"/>
      </w:pPr>
      <w:r>
        <w:rPr>
          <w:rFonts w:eastAsia="等线" w:ascii="Arial" w:cs="Arial" w:hAnsi="Arial"/>
          <w:sz w:val="22"/>
        </w:rPr>
        <w:t>8.7 甲方明确并同意，媒体给予的任何折扣、优惠券、Coupon等，均不享受返点。</w:t>
      </w:r>
    </w:p>
    <w:p>
      <w:pPr>
        <w:spacing w:before="120" w:after="120" w:line="288" w:lineRule="auto"/>
        <w:ind w:left="0" w:firstLine="420"/>
        <w:jc w:val="left"/>
      </w:pPr>
      <w:r>
        <w:rPr>
          <w:rFonts w:eastAsia="等线" w:ascii="Arial" w:cs="Arial" w:hAnsi="Arial"/>
          <w:sz w:val="22"/>
        </w:rPr>
        <w:t>Party A acknowledges and agrees that any discounts, coupons, or other benefits provided by the media are not eligible for rebates.</w:t>
      </w:r>
    </w:p>
    <w:p>
      <w:pPr>
        <w:spacing w:before="120" w:after="120" w:line="288" w:lineRule="auto"/>
        <w:ind w:left="0" w:firstLine="420"/>
        <w:jc w:val="left"/>
      </w:pPr>
      <w:r>
        <w:rPr>
          <w:rFonts w:eastAsia="等线" w:ascii="Arial" w:cs="Arial" w:hAnsi="Arial"/>
          <w:sz w:val="22"/>
        </w:rPr>
        <w:t>8.8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Party A shall settle with Party B according to the actual consumption regardless of whether Party A’s actual consumption exceeds the recharge demand, i.e. the principle of truthful settlement. If Party A is late or refuses to pay, Party B has the right to stop providing any service to Party A including but not limited to suspending the account consumption and withdrawing the account-related authority.</w:t>
      </w:r>
    </w:p>
    <w:p>
      <w:pPr>
        <w:spacing w:before="120" w:after="120" w:line="288" w:lineRule="auto"/>
        <w:ind w:left="0" w:firstLine="420"/>
        <w:jc w:val="left"/>
      </w:pPr>
    </w:p>
    <w:p>
      <w:pPr>
        <w:pStyle w:val="3"/>
        <w:spacing w:before="300" w:after="120" w:line="288" w:lineRule="auto"/>
        <w:ind w:left="0"/>
        <w:jc w:val="left"/>
        <w:outlineLvl w:val="2"/>
      </w:pPr>
      <w:bookmarkStart w:name="heading_4" w:id="4"/>
      <w:r>
        <w:rPr>
          <w:rFonts w:eastAsia="等线" w:ascii="Arial" w:cs="Arial" w:hAnsi="Arial"/>
          <w:b w:val="true"/>
          <w:sz w:val="30"/>
        </w:rPr>
        <w:t>9. Pinterest</w:t>
      </w:r>
      <w:bookmarkEnd w:id="4"/>
    </w:p>
    <w:p>
      <w:pPr>
        <w:spacing w:before="120" w:after="120" w:line="288" w:lineRule="auto"/>
        <w:ind w:left="0" w:firstLine="420"/>
        <w:jc w:val="left"/>
      </w:pPr>
      <w:r>
        <w:rPr>
          <w:rFonts w:eastAsia="等线" w:ascii="Arial" w:cs="Arial" w:hAnsi="Arial"/>
          <w:sz w:val="22"/>
        </w:rPr>
        <w:t>9.1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Party A shall pay Party B the full amount for the advertisement placement. At the end of the year, Party B will settle the rebate based on the total amount actually paid by Party A for the advertisement placement. Party A explicitly acknowledges and agrees that if there is any overdue payment by Party A within the year, Party B has the right to cancel all rebates for that year. If Party A is subject to any circumstances agreed upon with the media platform that result in a reduction or exemption of the rebate payment, Party A will not be eligible for the rebate even if the advertisement placement amount has been paid in full and on time.</w:t>
      </w:r>
    </w:p>
    <w:p>
      <w:pPr>
        <w:spacing w:before="120" w:after="120" w:line="288" w:lineRule="auto"/>
        <w:ind w:left="0" w:firstLine="420"/>
        <w:jc w:val="left"/>
      </w:pPr>
      <w:r>
        <w:rPr>
          <w:rFonts w:eastAsia="等线" w:ascii="Arial" w:cs="Arial" w:hAnsi="Arial"/>
          <w:sz w:val="22"/>
        </w:rPr>
        <w:t>9.2 如甲方选择投放如下地区/国家的，则双方确认按照如下返点计算：</w:t>
      </w:r>
    </w:p>
    <w:p>
      <w:pPr>
        <w:spacing w:before="120" w:after="120" w:line="288" w:lineRule="auto"/>
        <w:ind w:left="0" w:firstLine="420"/>
        <w:jc w:val="left"/>
      </w:pPr>
      <w:r>
        <w:rPr>
          <w:rFonts w:eastAsia="等线" w:ascii="Arial" w:cs="Arial" w:hAnsi="Arial"/>
          <w:sz w:val="22"/>
        </w:rPr>
        <w:t>If Party A chooses to place advertisements in the following regions/countries, both parties confirm that the rebate will be calculated as follows：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p>
            <w:pPr>
              <w:spacing w:before="120" w:after="120" w:line="288" w:lineRule="auto"/>
              <w:ind w:left="0"/>
              <w:jc w:val="center"/>
            </w:pPr>
            <w:r>
              <w:rPr>
                <w:rFonts w:eastAsia="等线" w:ascii="Arial" w:cs="Arial" w:hAnsi="Arial"/>
                <w:b w:val="true"/>
                <w:sz w:val="22"/>
              </w:rPr>
              <w:t>Regions/Countries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p>
            <w:pPr>
              <w:spacing w:before="120" w:after="120" w:line="288" w:lineRule="auto"/>
              <w:ind w:left="0"/>
              <w:jc w:val="center"/>
            </w:pPr>
            <w:r>
              <w:rPr>
                <w:rFonts w:eastAsia="等线" w:ascii="Arial" w:cs="Arial" w:hAnsi="Arial"/>
                <w:b w:val="true"/>
                <w:sz w:val="22"/>
              </w:rPr>
              <w:t>Rebate percentage (%)</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p>
            <w:pPr>
              <w:spacing w:before="120" w:after="120" w:line="288" w:lineRule="auto"/>
              <w:ind w:left="0"/>
              <w:jc w:val="left"/>
            </w:pPr>
            <w:r>
              <w:rPr>
                <w:rFonts w:eastAsia="等线" w:ascii="Arial" w:cs="Arial" w:hAnsi="Arial"/>
                <w:sz w:val="22"/>
              </w:rPr>
              <w:t>United States, Argentina, Australia, Austria, Belgium, Brazil, Canada, Chile, Colombia, Denmark, Finland, France, Germany, Ireland, Italy, Japan, Luxembourg, Mexico, Netherlands, New Zealand, Norway, Portugal, Spain, Sweden, Switzerland, United Kingdom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p>
            <w:pPr>
              <w:spacing w:before="120" w:after="120" w:line="288" w:lineRule="auto"/>
              <w:ind w:left="0"/>
              <w:jc w:val="left"/>
            </w:pPr>
            <w:r>
              <w:rPr>
                <w:rFonts w:eastAsia="等线" w:ascii="Arial" w:cs="Arial" w:hAnsi="Arial"/>
                <w:sz w:val="22"/>
              </w:rPr>
              <w:t>Algeria, Bahrain, Bulgaria, Costa Rica, Croatia, Cyprus, Czech Republic, Dominican Republic, Ecuador, Egypt, Estonia, Greece, Guatemala, Hong Kong SAR, Hungary, India, Indonesia, Iraq, Israel, Kuwait, Latvia, Lithuania, Malaysia, Malta, Morocco, Nigeria, North Macedonia, Oman, Pakistan, Peru, Philippines, Poland, Puerto Rico, Qatar, Romania, Saudi Arabia, Serbia, Singapore, Slovakia, South Africa, South Korea, Taiwan, Thailand, Turkey, United Arab Emirates, Vietnam</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9.3以上地区/国家的划分、返点金额比例及媒体政策要求，最终以Pinterest实时更新的为准。</w:t>
      </w:r>
    </w:p>
    <w:p>
      <w:pPr>
        <w:spacing w:before="120" w:after="120" w:line="288" w:lineRule="auto"/>
        <w:ind w:left="0" w:firstLine="420"/>
        <w:jc w:val="left"/>
      </w:pPr>
      <w:r>
        <w:rPr>
          <w:rFonts w:eastAsia="等线" w:ascii="Arial" w:cs="Arial" w:hAnsi="Arial"/>
          <w:sz w:val="22"/>
        </w:rPr>
        <w:t>The division of the above Regions/Countries, the rebate amount ratio, and the media policy requirements are subject to the real-time updates from Pinterest.</w:t>
      </w:r>
    </w:p>
    <w:p>
      <w:pPr>
        <w:spacing w:before="120" w:after="120" w:line="288" w:lineRule="auto"/>
        <w:ind w:left="0" w:firstLine="420"/>
        <w:jc w:val="left"/>
      </w:pPr>
      <w:r>
        <w:rPr>
          <w:rFonts w:eastAsia="等线" w:ascii="Arial" w:cs="Arial" w:hAnsi="Arial"/>
          <w:sz w:val="22"/>
        </w:rPr>
        <w:t>9.4甲方已悉知针对Pinterest不提供返点部分的消耗金额或因Pinterest单方面决定不给予返点的,乙方也有权不向甲方提供任何返点，如乙方预先已提供的部分，则有权在下次结算时收回。</w:t>
      </w:r>
    </w:p>
    <w:p>
      <w:pPr>
        <w:spacing w:before="120" w:after="120" w:line="288" w:lineRule="auto"/>
        <w:ind w:left="0" w:firstLine="420"/>
        <w:jc w:val="left"/>
      </w:pPr>
      <w:r>
        <w:rPr>
          <w:rFonts w:eastAsia="等线" w:ascii="Arial" w:cs="Arial" w:hAnsi="Arial"/>
          <w:sz w:val="22"/>
        </w:rPr>
        <w:t>Party A is aware that for the consumption amount for which Pinterest does not provide rebates or if Pinterest unilaterally decides not to grant rebates, Party B also has the right not to provide any rebates to Party A. If any rebates have been provided in advance by Party B, Party B has the right to reclaim them during the next settlement.</w:t>
      </w:r>
    </w:p>
    <w:p>
      <w:pPr>
        <w:pStyle w:val="4"/>
        <w:spacing w:before="260" w:after="120" w:line="288" w:lineRule="auto"/>
        <w:ind w:left="0"/>
        <w:jc w:val="left"/>
        <w:outlineLvl w:val="3"/>
      </w:pPr>
      <w:bookmarkStart w:name="heading_5" w:id="5"/>
      <w:r>
        <w:rPr>
          <w:rFonts w:eastAsia="等线" w:ascii="Arial" w:cs="Arial" w:hAnsi="Arial"/>
          <w:b w:val="true"/>
          <w:sz w:val="28"/>
        </w:rPr>
        <w:t>四、新增媒体平台代投政策</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Policies for Agency Placement</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1. 如甲方委托乙方在媒体平台代投广告的，甲方每月应额外向乙方支付的代投服务费情况如下：</w:t>
      </w:r>
      <w:bookmarkEnd w:id="7"/>
    </w:p>
    <w:p>
      <w:pPr>
        <w:pStyle w:val="4"/>
        <w:spacing w:before="260" w:after="120" w:line="288" w:lineRule="auto"/>
        <w:ind w:left="0"/>
        <w:jc w:val="left"/>
        <w:outlineLvl w:val="3"/>
      </w:pPr>
      <w:bookmarkStart w:name="heading_8" w:id="8"/>
      <w:r>
        <w:rPr>
          <w:rFonts w:eastAsia="等线" w:ascii="Arial" w:cs="Arial" w:hAnsi="Arial"/>
          <w:b w:val="true"/>
          <w:sz w:val="28"/>
        </w:rPr>
        <w:t>If Party A entrusts Party B to place advertisements on media platforms on its behalf, the additional agency placement service fee that Party A should pay to Party B each month is as follows</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9" w:id="9"/>
            <w:r>
              <w:rPr>
                <w:rFonts w:eastAsia="等线" w:ascii="Arial" w:cs="Arial" w:hAnsi="Arial"/>
                <w:b w:val="true"/>
                <w:sz w:val="28"/>
              </w:rPr>
              <w:t>媒体</w:t>
            </w:r>
            <w:bookmarkEnd w:id="9"/>
          </w:p>
          <w:p>
            <w:pPr>
              <w:pStyle w:val="4"/>
              <w:spacing w:before="260" w:after="120" w:line="288" w:lineRule="auto"/>
              <w:ind w:left="0"/>
              <w:jc w:val="center"/>
              <w:outlineLvl w:val="3"/>
            </w:pPr>
            <w:bookmarkStart w:name="heading_10" w:id="10"/>
            <w:r>
              <w:rPr>
                <w:rFonts w:eastAsia="等线" w:ascii="Arial" w:cs="Arial" w:hAnsi="Arial"/>
                <w:b w:val="true"/>
                <w:sz w:val="28"/>
              </w:rPr>
              <w:t xml:space="preserve">Media </w:t>
            </w:r>
            <w:bookmarkEnd w:id="10"/>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11" w:id="11"/>
            <w:r>
              <w:rPr>
                <w:rFonts w:eastAsia="等线" w:ascii="Arial" w:cs="Arial" w:hAnsi="Arial"/>
                <w:b w:val="true"/>
                <w:sz w:val="28"/>
              </w:rPr>
              <w:t>代投服务费比例(%)</w:t>
            </w:r>
            <w:bookmarkEnd w:id="11"/>
          </w:p>
          <w:p>
            <w:pPr>
              <w:pStyle w:val="4"/>
              <w:spacing w:before="260" w:after="120" w:line="288" w:lineRule="auto"/>
              <w:ind w:left="0"/>
              <w:jc w:val="center"/>
              <w:outlineLvl w:val="3"/>
            </w:pPr>
            <w:bookmarkStart w:name="heading_12" w:id="12"/>
            <w:r>
              <w:rPr>
                <w:rFonts w:eastAsia="等线" w:ascii="Arial" w:cs="Arial" w:hAnsi="Arial"/>
                <w:b w:val="true"/>
                <w:sz w:val="28"/>
              </w:rPr>
              <w:t>Agency placement service fee</w:t>
            </w:r>
            <w:bookmarkEnd w:id="12"/>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3" w:id="13"/>
            <w:bookmarkEnd w:id="13"/>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14" w:id="14"/>
            <w:bookmarkEnd w:id="14"/>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5" w:id="15"/>
            <w:bookmarkEnd w:id="15"/>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6" w:id="16"/>
      <w:r>
        <w:rPr>
          <w:rFonts w:eastAsia="等线" w:ascii="Arial" w:cs="Arial" w:hAnsi="Arial"/>
          <w:b w:val="true"/>
          <w:sz w:val="28"/>
        </w:rPr>
        <w:t>2. 代投服务费的最低标准为每月【2500】美元。代投服务费可按固定金额或投放金额比例计算，若两者金额不一致，则以较高者为准。若按比例计算结果低于【2500】美元，则乙方有权按最低标准收取代投服务费。</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The minimum standard for the agency placement service fee is $2,500 per month. The agency placement service fee can be calculated based on a fixed amount or a proportion of the investment amount. If the two amounts are inconsistent, the higher one shall prevail. If the result calculated proportionally is less than $2,500, Party B has the right to charge the minimum standard for the agency investment service fee.</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3. 代投服务费独立于本合同项下的返点政策，与甲方是否取得返点及返点金额无关。返点为媒体激励返还，代投服务费为乙方提供广告优化、投放及账户管理等服务的对价，二者可并行执行。</w:t>
      </w:r>
      <w:bookmarkEnd w:id="18"/>
    </w:p>
    <w:p>
      <w:pPr>
        <w:pStyle w:val="4"/>
        <w:spacing w:before="260" w:after="120" w:line="288" w:lineRule="auto"/>
        <w:ind w:left="0"/>
        <w:jc w:val="left"/>
        <w:outlineLvl w:val="3"/>
      </w:pPr>
      <w:bookmarkStart w:name="heading_19" w:id="19"/>
      <w:r>
        <w:rPr>
          <w:rFonts w:eastAsia="等线" w:ascii="Arial" w:cs="Arial" w:hAnsi="Arial"/>
          <w:b w:val="true"/>
          <w:sz w:val="28"/>
        </w:rPr>
        <w:t>The agency placement service fee is independent of the rebate policy under this contract and is not affected by whether Party A obtains a rebate or the amount thereof. Rebates are incentives refunded by the media platform, while the agency placement service fee constitutes the consideration for services provided by Party B, including advertising optimization, placement, and account management. The two may be implemented concurrently.</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五、新增媒体平台结算方式</w:t>
      </w:r>
      <w:bookmarkEnd w:id="20"/>
    </w:p>
    <w:p>
      <w:pPr>
        <w:pStyle w:val="4"/>
        <w:spacing w:before="260" w:after="120" w:line="288" w:lineRule="auto"/>
        <w:ind w:left="0"/>
        <w:jc w:val="left"/>
        <w:outlineLvl w:val="3"/>
      </w:pPr>
      <w:bookmarkStart w:name="heading_21" w:id="21"/>
      <w:r>
        <w:rPr>
          <w:rFonts w:eastAsia="等线" w:ascii="Arial" w:cs="Arial" w:hAnsi="Arial"/>
          <w:b w:val="true"/>
          <w:sz w:val="28"/>
        </w:rPr>
        <w:t>Settlement Methods</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1. 广告发布费用和服务费的结算方式</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Settlement Methods for Advertising and Service Fees</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1.1.甲方同意按照如下第【】种方式支付广告发布费用和服务费用</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Party A agrees to pay the advertising and service fees in accordance with the following method:【】</w:t>
      </w:r>
      <w:bookmarkEnd w:id="25"/>
    </w:p>
    <w:p>
      <w:pPr>
        <w:numPr>
          <w:numId w:val="92"/>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u w:val="single"/>
        </w:rPr>
        <w:t>Advance payment</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invoice。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spacing w:before="120" w:after="120" w:line="288" w:lineRule="auto"/>
        <w:ind w:left="0" w:firstLine="420"/>
        <w:jc w:val="left"/>
      </w:pPr>
      <w:r>
        <w:rPr>
          <w:rFonts w:eastAsia="等线" w:ascii="Arial" w:cs="Arial" w:hAnsi="Arial"/>
          <w:sz w:val="22"/>
        </w:rPr>
        <w:t>Party A shall pay the fees (which include service fees) to the account designated by Party B in accordance with the time agreed upon by both parties. Party B shall issue an invoice to Party A for the equivalent amount. Upon receipt of the payment, Party B shall provide the services as stipulated in the contract and confirm the monthly expenditure amount with Party A on a calendar month basis. After Party B provides Party A with the settlement amount and tax details for the placements on various media platforms, Party A shall respond within 24 hours of receipt. If Party A does not respond within the aforementioned time frame, it shall be deemed that Party A has confirmed the content of the settlement amount and tax details (the specific settlement amount and tax details shall be based on the content provided by Party B in emails or other written documents). In the event that the placement fees exceed the actual prepayment amount due to issues related to media platforms, system operations, or Party A's own operations, both parties shall reconcile based on the actual monthly expenditure amount. Party A shall pay the excess amount in full within five (5) business days after receiving the notice from Party B.</w:t>
      </w:r>
    </w:p>
    <w:p>
      <w:pPr>
        <w:numPr>
          <w:numId w:val="93"/>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u w:val="single"/>
        </w:rPr>
        <w:t>Afterwards payment</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invoice。</w:t>
      </w:r>
    </w:p>
    <w:p>
      <w:pPr>
        <w:spacing w:before="120" w:after="120" w:line="288" w:lineRule="auto"/>
        <w:ind w:left="0" w:firstLine="420"/>
        <w:jc w:val="left"/>
      </w:pPr>
      <w:r>
        <w:rPr>
          <w:rFonts w:eastAsia="等线" w:ascii="Arial" w:cs="Arial" w:hAnsi="Arial"/>
          <w:sz w:val="22"/>
        </w:rPr>
        <w:t>Party B shall provide Party A with the billing amount and tax details of Party A's placement on each media platform for each natural month within 10 calendar days after the end of each natural month. Party A shall reply within 24 hours after receiving it. If Party A does not reply within the above time, Party A shall be deemed to confirm the contents of the settlement amount and tax details (the specific settlement amount and tax details shall be based on the contents of the email/other written documents provided by Party B to Party A). Party B will provide Party A with the corresponding invoice according to the actual settlement cost</w:t>
      </w:r>
    </w:p>
    <w:p>
      <w:pPr>
        <w:spacing w:before="120" w:after="120" w:line="288" w:lineRule="auto"/>
        <w:ind w:left="0" w:firstLine="420"/>
        <w:jc w:val="left"/>
      </w:pPr>
      <w:r>
        <w:rPr>
          <w:rFonts w:eastAsia="等线" w:ascii="Arial" w:cs="Arial" w:hAnsi="Arial"/>
          <w:b w:val="true"/>
          <w:sz w:val="22"/>
        </w:rPr>
        <w:t>账期：甲方在【】媒体平台进行的广告投放，甲方应于每自然月结束后的【】个自然日内将该自然月的结算费用汇入乙方指定账户，甲方支付的上述广告费用及服务费用应包含所有税费、手续费、各项代扣代缴税费等。</w:t>
      </w:r>
    </w:p>
    <w:p>
      <w:pPr>
        <w:spacing w:before="120" w:after="120" w:line="288" w:lineRule="auto"/>
        <w:ind w:left="0" w:firstLine="420"/>
        <w:jc w:val="left"/>
      </w:pPr>
      <w:r>
        <w:rPr>
          <w:rFonts w:eastAsia="等线" w:ascii="Arial" w:cs="Arial" w:hAnsi="Arial"/>
          <w:b w:val="true"/>
          <w:sz w:val="22"/>
        </w:rPr>
        <w:t>Billing Period: Party A shall remit the settlement fee of the natural month to the account designated by Party B within[ ] calendar days after the end of each natural month for the advertisement placement in [ ] media platform, and the above advertisement fee and service fee paid by Party A shall include all taxes, handling fees, various withholding taxes, etc.</w:t>
      </w:r>
    </w:p>
    <w:p>
      <w:pPr>
        <w:numPr>
          <w:numId w:val="94"/>
        </w:numPr>
        <w:spacing w:before="120" w:after="120" w:line="288" w:lineRule="auto"/>
        <w:ind w:left="453"/>
        <w:jc w:val="left"/>
      </w:pPr>
      <w:r>
        <w:rPr>
          <w:rFonts w:eastAsia="等线" w:ascii="Arial" w:cs="Arial" w:hAnsi="Arial"/>
          <w:sz w:val="22"/>
          <w:u w:val="single"/>
        </w:rPr>
        <w:t>预付费+后付费</w:t>
      </w:r>
    </w:p>
    <w:p>
      <w:pPr>
        <w:spacing w:before="120" w:after="120" w:line="288" w:lineRule="auto"/>
        <w:ind w:left="0" w:firstLine="420"/>
        <w:jc w:val="left"/>
      </w:pPr>
      <w:r>
        <w:rPr>
          <w:rFonts w:eastAsia="等线" w:ascii="Arial" w:cs="Arial" w:hAnsi="Arial"/>
          <w:sz w:val="22"/>
          <w:u w:val="single"/>
        </w:rPr>
        <w:t>Advance payment + Afterwards payment</w:t>
      </w:r>
    </w:p>
    <w:p>
      <w:pPr>
        <w:numPr>
          <w:numId w:val="95"/>
        </w:numPr>
        <w:spacing w:before="120" w:after="120" w:line="288" w:lineRule="auto"/>
        <w:ind w:left="0"/>
        <w:jc w:val="left"/>
      </w:pPr>
      <w:r>
        <w:rPr>
          <w:rFonts w:eastAsia="等线" w:ascii="Arial" w:cs="Arial" w:hAnsi="Arial"/>
          <w:sz w:val="22"/>
        </w:rPr>
        <w:t>甲方在【Yahoo-非日本、Naver、BING、Mytarget、Kakao、Google-海外账户】媒体平台进行的广告投放的应按照上述“a) 预付费”条款约定的对账方式和相关内容，预先将广告费用支付给乙方指定账户。</w:t>
      </w:r>
    </w:p>
    <w:p>
      <w:pPr>
        <w:spacing w:before="120" w:after="120" w:line="288" w:lineRule="auto"/>
        <w:ind w:left="0" w:firstLine="420"/>
        <w:jc w:val="left"/>
      </w:pPr>
      <w:r>
        <w:rPr>
          <w:rFonts w:eastAsia="等线" w:ascii="Arial" w:cs="Arial" w:hAnsi="Arial"/>
          <w:sz w:val="22"/>
        </w:rPr>
        <w:t>Party A shall pay the advertising fees to Party B's designated account in advance for advertising on [Yahoo-Non-Japan, Naver, BING, Mytarget, Kakao, Google-Overseas Account] media platforms in accordance with the reconciliation method and related contents as agreed in the "a) Advance payment" clause above.</w:t>
      </w:r>
    </w:p>
    <w:p>
      <w:pPr>
        <w:numPr>
          <w:numId w:val="96"/>
        </w:numPr>
        <w:spacing w:before="120" w:after="120" w:line="288" w:lineRule="auto"/>
        <w:ind w:left="0"/>
        <w:jc w:val="left"/>
      </w:pPr>
      <w:r>
        <w:rPr>
          <w:rFonts w:eastAsia="等线" w:ascii="Arial" w:cs="Arial" w:hAnsi="Arial"/>
          <w:b w:val="true"/>
          <w:sz w:val="22"/>
        </w:rPr>
        <w:t>账期：甲方在【】媒体平台进行的广告投放的，应按照上述“b) 后付费”条款约定的对账方式和相关内容支付广告费用。甲方应于每自然月结束后的【】个自然日内将该自然月的结算费用汇入乙方指定账户，甲方支付的上述广告费用及服务费用应包含所有税费、手续费、各项代扣代缴税费等。</w:t>
      </w:r>
    </w:p>
    <w:p>
      <w:pPr>
        <w:spacing w:before="120" w:after="120" w:line="288" w:lineRule="auto"/>
        <w:ind w:left="0" w:firstLine="420"/>
        <w:jc w:val="left"/>
      </w:pPr>
      <w:r>
        <w:rPr>
          <w:rFonts w:eastAsia="等线" w:ascii="Arial" w:cs="Arial" w:hAnsi="Arial"/>
          <w:b w:val="true"/>
          <w:sz w:val="22"/>
        </w:rPr>
        <w:t>Billing Period: Party A shall pay the advertising fees for advertising on [ ] media platform in accordance with the reconciliation method and relevant content as agreed in the above "b) Afterward payment " clause. Party A shall remit the settlement fees for each natural month to the account designated by Party B within [ ] calendar days after the end of that natural month. The above advertising fees and service fees paid by Party A shall include all taxes, handling fees and various withholding taxes.</w:t>
      </w:r>
    </w:p>
    <w:p>
      <w:pPr>
        <w:pStyle w:val="4"/>
        <w:spacing w:before="260" w:after="120" w:line="288" w:lineRule="auto"/>
        <w:ind w:left="0"/>
        <w:jc w:val="left"/>
        <w:outlineLvl w:val="3"/>
      </w:pPr>
      <w:bookmarkStart w:name="heading_26" w:id="26"/>
      <w:r>
        <w:rPr>
          <w:rFonts w:eastAsia="等线" w:ascii="Arial" w:cs="Arial" w:hAnsi="Arial"/>
          <w:b w:val="true"/>
          <w:sz w:val="28"/>
        </w:rPr>
        <w:t>1.2. 如甲方在按月付款期间平均日消耗低于1500美元／天，乙方有权要求甲方从次月开按照预付款方式结算费用。甲方延迟付款的，乙方有权暂停、终止投放，由此产生的一切法律责任及损失由甲方自行承担。</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If Party A's average daily expenditure falls below USD 1,500 per day during the monthly payment period, Party B shall have the right to require Party A to settle the fees on a prepayment basis starting from the following month. In the event of any delay in payment by Party A, Party B shall have the right to suspend or terminate the services, and all legal liabilities and losses arising therefrom shall be borne solely by Party A. The settlement amounts listed under this clause include service fees.</w:t>
      </w:r>
      <w:bookmarkEnd w:id="27"/>
    </w:p>
    <w:p>
      <w:pPr>
        <w:pStyle w:val="4"/>
        <w:spacing w:before="260" w:after="120" w:line="288" w:lineRule="auto"/>
        <w:ind w:left="0"/>
        <w:jc w:val="left"/>
        <w:outlineLvl w:val="3"/>
      </w:pPr>
      <w:bookmarkStart w:name="heading_28" w:id="28"/>
      <w:bookmarkEnd w:id="28"/>
    </w:p>
    <w:p>
      <w:pPr>
        <w:pStyle w:val="4"/>
        <w:spacing w:before="260" w:after="120" w:line="288" w:lineRule="auto"/>
        <w:ind w:left="0"/>
        <w:jc w:val="left"/>
        <w:outlineLvl w:val="3"/>
      </w:pPr>
      <w:bookmarkStart w:name="heading_29" w:id="29"/>
      <w:r>
        <w:rPr>
          <w:rFonts w:eastAsia="等线" w:ascii="Arial" w:cs="Arial" w:hAnsi="Arial"/>
          <w:b w:val="true"/>
          <w:sz w:val="28"/>
        </w:rPr>
        <w:t>2. 返点结算方式</w:t>
      </w:r>
      <w:bookmarkEnd w:id="29"/>
    </w:p>
    <w:p>
      <w:pPr>
        <w:pStyle w:val="4"/>
        <w:spacing w:before="260" w:after="120" w:line="288" w:lineRule="auto"/>
        <w:ind w:left="0"/>
        <w:jc w:val="left"/>
        <w:outlineLvl w:val="3"/>
      </w:pPr>
      <w:bookmarkStart w:name="heading_30" w:id="30"/>
      <w:r>
        <w:rPr>
          <w:rFonts w:eastAsia="等线" w:ascii="Arial" w:cs="Arial" w:hAnsi="Arial"/>
          <w:b w:val="true"/>
          <w:sz w:val="28"/>
        </w:rPr>
        <w:t>Settlement Methods for Rebates</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1. 双方同意按照如下第【】种方式支付返点金额：</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Both Parties agree to pay the rebates in the following [   ] manner:</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1).返点金额支付至甲方银行账号</w:t>
      </w:r>
      <w:bookmarkEnd w:id="33"/>
    </w:p>
    <w:p>
      <w:pPr>
        <w:pStyle w:val="4"/>
        <w:spacing w:before="260" w:after="120" w:line="288" w:lineRule="auto"/>
        <w:ind w:left="0"/>
        <w:jc w:val="left"/>
        <w:outlineLvl w:val="3"/>
      </w:pPr>
      <w:bookmarkStart w:name="heading_34" w:id="34"/>
      <w:r>
        <w:rPr>
          <w:rFonts w:eastAsia="等线" w:ascii="Arial" w:cs="Arial" w:hAnsi="Arial"/>
          <w:b w:val="true"/>
          <w:sz w:val="28"/>
        </w:rPr>
        <w:t>The rebates shall be paid to Party A's bank account</w:t>
      </w:r>
      <w:bookmarkEnd w:id="34"/>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 xml:space="preserve">Party A's bank account information is as follows: </w:t>
      </w:r>
    </w:p>
    <w:p>
      <w:pPr>
        <w:spacing w:before="120" w:after="120" w:line="288" w:lineRule="auto"/>
        <w:ind w:left="0" w:firstLine="420"/>
        <w:jc w:val="left"/>
      </w:pPr>
      <w:r>
        <w:rPr>
          <w:rFonts w:eastAsia="等线" w:ascii="Arial" w:cs="Arial" w:hAnsi="Arial"/>
          <w:sz w:val="22"/>
        </w:rPr>
        <w:t xml:space="preserve">Account Name: </w:t>
      </w:r>
    </w:p>
    <w:p>
      <w:pPr>
        <w:spacing w:before="120" w:after="120" w:line="288" w:lineRule="auto"/>
        <w:ind w:left="0" w:firstLine="420"/>
        <w:jc w:val="left"/>
      </w:pPr>
      <w:r>
        <w:rPr>
          <w:rFonts w:eastAsia="等线" w:ascii="Arial" w:cs="Arial" w:hAnsi="Arial"/>
          <w:sz w:val="22"/>
        </w:rPr>
        <w:t xml:space="preserve">Account Number: </w:t>
      </w:r>
    </w:p>
    <w:p>
      <w:pPr>
        <w:spacing w:before="120" w:after="120" w:line="288" w:lineRule="auto"/>
        <w:ind w:left="0" w:firstLine="420"/>
        <w:jc w:val="left"/>
      </w:pPr>
      <w:r>
        <w:rPr>
          <w:rFonts w:eastAsia="等线" w:ascii="Arial" w:cs="Arial" w:hAnsi="Arial"/>
          <w:sz w:val="22"/>
        </w:rPr>
        <w:t>Opening Bank:</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Bank address:</w:t>
      </w:r>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amount is verified and confirmed to be correct by both parties, Party B shall pay the rebate fee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transfer the rebate fee to Party A's bank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35" w:id="35"/>
      <w:r>
        <w:rPr>
          <w:rFonts w:eastAsia="等线" w:ascii="Arial" w:cs="Arial" w:hAnsi="Arial"/>
          <w:b w:val="true"/>
          <w:sz w:val="28"/>
        </w:rPr>
        <w:t>2).返点金额支付至甲方媒体账户</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Party B shall pay the rebates amount to Party A's platform account.</w:t>
      </w:r>
      <w:bookmarkEnd w:id="36"/>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Rebate fee is settled in a quarterly basis. After the rebate fee is verified and confirmed to be correct by both parties, Party B shall pay the rebate fee to Party A's media account within [] working days from the date when Party B receives the compliant and valid Invoice delivered by Party A. Party A shall be responsible for the transfer handling fees incurred thereby. Including the media placement of [] as stipulated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Party B shall, at the end of the natural year and upon receipt of the media rebate report, verify with Party A the rebate consumption incurred during the contract period. After the data of both parties are confirmed, Party B will pay the rebate fee to Party A's media account. This rebate settlement method is applicable to annual rebate media, including the media placement of [] as stipulated in this contract</w:t>
      </w:r>
    </w:p>
    <w:p>
      <w:pPr>
        <w:pStyle w:val="4"/>
        <w:spacing w:before="260" w:after="120" w:line="288" w:lineRule="auto"/>
        <w:ind w:left="0"/>
        <w:jc w:val="left"/>
        <w:outlineLvl w:val="3"/>
      </w:pPr>
      <w:bookmarkStart w:name="heading_37" w:id="37"/>
      <w:r>
        <w:rPr>
          <w:rFonts w:eastAsia="等线" w:ascii="Arial" w:cs="Arial" w:hAnsi="Arial"/>
          <w:b w:val="true"/>
          <w:sz w:val="28"/>
        </w:rPr>
        <w:t>3). 返点金额在账单中进行抵扣结算</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The rebates shall be applied to set off against the bills.</w:t>
      </w:r>
      <w:bookmarkEnd w:id="38"/>
    </w:p>
    <w:p>
      <w:pPr>
        <w:pStyle w:val="4"/>
        <w:spacing w:before="260" w:after="120" w:line="288" w:lineRule="auto"/>
        <w:ind w:left="0"/>
        <w:jc w:val="left"/>
        <w:outlineLvl w:val="3"/>
      </w:pPr>
      <w:bookmarkStart w:name="heading_39" w:id="39"/>
      <w:r>
        <w:rPr>
          <w:rFonts w:eastAsia="等线" w:ascii="Arial" w:cs="Arial" w:hAnsi="Arial"/>
          <w:b w:val="true"/>
          <w:sz w:val="28"/>
        </w:rPr>
        <w:t xml:space="preserve"> a.甲方返点金额在应付乙方的广告款中直接扣减。返点金额按季度结算，该季度返点金额于该季度返点确认完成后的首个账单中抵扣，包含本次合同约定的【 】媒体投放。</w:t>
      </w:r>
      <w:bookmarkEnd w:id="39"/>
    </w:p>
    <w:p>
      <w:pPr>
        <w:spacing w:before="120" w:after="120" w:line="288" w:lineRule="auto"/>
        <w:ind w:left="0" w:firstLine="420"/>
        <w:jc w:val="left"/>
      </w:pPr>
      <w:r>
        <w:rPr>
          <w:rFonts w:eastAsia="等线" w:ascii="Arial" w:cs="Arial" w:hAnsi="Arial"/>
          <w:sz w:val="22"/>
        </w:rPr>
        <w:t>The rebate amount due to Party A shall be directly deducted from the advertising fees payable to Party B. The rebate shall be settled on a quarterly basis, with the rebate for a given quarter being deducted from the first invoice issued after the quarter's rebate confirmation is completed，including the [ ] placement platform agreed in this contract</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After receipt from the media of rebates report after end of any calendar year, Party B will check with Party A with respect to consumption of rebates generated during the term of the contract. After both Parties confirm, Party B will remit the rebates to Party A's bank account or set off against the next year's bills. This rebates settlement applies to annual rebating media, including the [    ] placement platform agreed in this contract.</w:t>
      </w:r>
    </w:p>
    <w:p>
      <w:pPr>
        <w:spacing w:before="120" w:after="120" w:line="288" w:lineRule="auto"/>
        <w:ind w:left="0" w:firstLine="420"/>
        <w:jc w:val="left"/>
      </w:pPr>
      <w:r>
        <w:rPr>
          <w:rFonts w:eastAsia="等线" w:ascii="Arial" w:cs="Arial" w:hAnsi="Arial"/>
          <w:sz w:val="22"/>
        </w:rPr>
        <w:t>2. 返点结算时，甲方应向乙方交付正规的、符合乙方财务制度要求的Invoice。甲方交付的Invoice不符合要求的，乙方有权拒绝或延迟支付/扣减返点金额，直至收到有效Invoice为止，并且不承担逾期付款违约责任。</w:t>
      </w:r>
    </w:p>
    <w:p>
      <w:pPr>
        <w:spacing w:before="120" w:after="120" w:line="288" w:lineRule="auto"/>
        <w:ind w:left="0" w:firstLine="420"/>
        <w:jc w:val="left"/>
      </w:pPr>
      <w:r>
        <w:rPr>
          <w:rFonts w:eastAsia="等线" w:ascii="Arial" w:cs="Arial" w:hAnsi="Arial"/>
          <w:sz w:val="22"/>
        </w:rPr>
        <w:t>Party A shall deliver to Party B formal invoice that meets the requirements of Party B's financial system for purposes of rebates settlement. If the invoice delivered by Party A does not meet the requirements, Party B shall have the right to refuse to pay or delay paying or deduct the rebates until Party B receives the valid invoice, without any breach liability for overdue payment.</w:t>
      </w:r>
    </w:p>
    <w:p>
      <w:pPr>
        <w:spacing w:before="120" w:after="120" w:line="288" w:lineRule="auto"/>
        <w:ind w:left="0" w:firstLine="420"/>
        <w:jc w:val="left"/>
      </w:pPr>
      <w:r>
        <w:rPr>
          <w:rFonts w:eastAsia="等线" w:ascii="Arial" w:cs="Arial" w:hAnsi="Arial"/>
          <w:sz w:val="22"/>
        </w:rPr>
        <w:t>3. 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spacing w:before="120" w:after="120" w:line="288" w:lineRule="auto"/>
        <w:ind w:left="0" w:firstLine="420"/>
        <w:jc w:val="left"/>
      </w:pPr>
      <w:r>
        <w:rPr>
          <w:rFonts w:eastAsia="等线" w:ascii="Arial" w:cs="Arial" w:hAnsi="Arial"/>
          <w:sz w:val="22"/>
        </w:rPr>
        <w:t>In the event that Party A chooses “Afterward payment”, Party A expressly acknowledges and agrees that if Party A fails to make any payment in full and on time during the quarter, Party B shall have the right to deduct all of rebate due to Party A for that quarter. In such a case, if Party B agrees, upon negotiation, to grant a partial rebate, Party B shall have the right to deduct the agreed rebate amount from the invoice in the third month of the following quarter or to pay it using any other applicable payment method as stipulated in this clause.</w:t>
      </w:r>
    </w:p>
    <w:p>
      <w:pPr>
        <w:spacing w:before="120" w:after="120" w:line="288" w:lineRule="auto"/>
        <w:ind w:left="0" w:firstLine="420"/>
        <w:jc w:val="left"/>
      </w:pPr>
      <w:r>
        <w:rPr>
          <w:rFonts w:eastAsia="等线" w:ascii="Arial" w:cs="Arial" w:hAnsi="Arial"/>
          <w:sz w:val="22"/>
        </w:rPr>
        <w:t>4. 甲方对返点的计算和金额存在异议的，应当在收到返点对账单之日起15个自然日内书面通知乙方，否则视为甲方认可该笔返点的计算方式和金额。</w:t>
      </w:r>
    </w:p>
    <w:p>
      <w:pPr>
        <w:spacing w:before="120" w:after="120" w:line="288" w:lineRule="auto"/>
        <w:ind w:left="0" w:firstLine="420"/>
        <w:jc w:val="left"/>
      </w:pPr>
      <w:r>
        <w:rPr>
          <w:rFonts w:eastAsia="等线" w:ascii="Arial" w:cs="Arial" w:hAnsi="Arial"/>
          <w:sz w:val="22"/>
        </w:rPr>
        <w:t>If Party A has any objection to the calculation and amount of the rebate, it shall notify Party B in writing within 15 calendar days from the date of receipt of the rebate statement, failing which, Party A shall be deemed to have accepted the calculation method and amount of the rebate.</w:t>
      </w:r>
    </w:p>
    <w:p>
      <w:pPr>
        <w:spacing w:before="120" w:after="120" w:line="288" w:lineRule="auto"/>
        <w:ind w:left="0" w:firstLine="420"/>
        <w:jc w:val="left"/>
      </w:pPr>
      <w:r>
        <w:rPr>
          <w:rFonts w:eastAsia="等线" w:ascii="Arial" w:cs="Arial" w:hAnsi="Arial"/>
          <w:sz w:val="22"/>
        </w:rPr>
        <w:t>5. 乙方在收到媒体支付的返点款项后，按照双方约定的返点结算方式与甲方进行结算。若媒体延迟支付返点款项，则乙方有权顺延与甲方进行返点结算的时间，直至收到该笔返点款项为止。</w:t>
      </w:r>
    </w:p>
    <w:p>
      <w:pPr>
        <w:spacing w:before="120" w:after="120" w:line="288" w:lineRule="auto"/>
        <w:ind w:left="0" w:firstLine="420"/>
        <w:jc w:val="left"/>
      </w:pPr>
      <w:r>
        <w:rPr>
          <w:rFonts w:eastAsia="等线" w:ascii="Arial" w:cs="Arial" w:hAnsi="Arial"/>
          <w:sz w:val="22"/>
        </w:rPr>
        <w:t>After receiving the rebate payment from the media, Party B shall settle accounts with Party A in accordance with the agreed rebate settlement method by both parties. If the media delays the payment of the rebate amount, Party B has the right to extend the time for the rebate settlement with Party A until the rebate amount is received</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b w:val="true"/>
          <w:sz w:val="22"/>
        </w:rPr>
        <w:t>六、政策调整</w:t>
      </w:r>
    </w:p>
    <w:p>
      <w:pPr>
        <w:spacing w:before="120" w:after="120" w:line="288" w:lineRule="auto"/>
        <w:ind w:left="0" w:firstLine="420"/>
        <w:jc w:val="left"/>
      </w:pPr>
      <w:r>
        <w:rPr>
          <w:rFonts w:eastAsia="等线" w:ascii="Arial" w:cs="Arial" w:hAnsi="Arial"/>
          <w:b w:val="true"/>
          <w:sz w:val="22"/>
        </w:rPr>
        <w:t>Policy Adjustment</w:t>
      </w:r>
    </w:p>
    <w:p>
      <w:pPr>
        <w:spacing w:before="120" w:after="120" w:line="288" w:lineRule="auto"/>
        <w:ind w:left="0" w:firstLine="420"/>
        <w:jc w:val="left"/>
      </w:pPr>
      <w:r>
        <w:rPr>
          <w:rFonts w:eastAsia="等线" w:ascii="Arial" w:cs="Arial" w:hAnsi="Arial"/>
          <w:sz w:val="22"/>
        </w:rPr>
        <w:t>1. 合作期限内，因媒体平台相关政策调整的，乙方有权相应调整给予甲方的返点比例。</w:t>
      </w:r>
    </w:p>
    <w:p>
      <w:pPr>
        <w:spacing w:before="120" w:after="120" w:line="288" w:lineRule="auto"/>
        <w:ind w:left="0" w:firstLine="420"/>
        <w:jc w:val="left"/>
      </w:pPr>
      <w:r>
        <w:rPr>
          <w:rFonts w:eastAsia="等线" w:ascii="Arial" w:cs="Arial" w:hAnsi="Arial"/>
          <w:sz w:val="22"/>
        </w:rPr>
        <w:t>During the term of cooperation, Party B has the right to adjust the rebate rate applied to Party A according to adjustment of the relevant policies by the media platform.</w:t>
      </w:r>
    </w:p>
    <w:p>
      <w:pPr>
        <w:spacing w:before="120" w:after="120" w:line="288" w:lineRule="auto"/>
        <w:ind w:left="0" w:firstLine="420"/>
        <w:jc w:val="left"/>
      </w:pPr>
      <w:r>
        <w:rPr>
          <w:rFonts w:eastAsia="等线" w:ascii="Arial" w:cs="Arial" w:hAnsi="Arial"/>
          <w:sz w:val="22"/>
        </w:rPr>
        <w:t>2. 每季度或年度媒体给予乙方返点比例确定时，若媒体给予乙方的返点比例低于乙方给予甲方的返点比例，则乙方有权调整乙方给予甲方的返点比例。</w:t>
      </w:r>
    </w:p>
    <w:p>
      <w:pPr>
        <w:spacing w:before="120" w:after="120" w:line="288" w:lineRule="auto"/>
        <w:ind w:left="0" w:firstLine="420"/>
        <w:jc w:val="left"/>
      </w:pPr>
      <w:r>
        <w:rPr>
          <w:rFonts w:eastAsia="等线" w:ascii="Arial" w:cs="Arial" w:hAnsi="Arial"/>
          <w:sz w:val="22"/>
        </w:rPr>
        <w:t>Party B shall have the right to adjust the rebate rate applicable to Party A, annually or quarterly, if the rebate rate provided by media to Party B is lower than that originally offered by Party B to Party A.</w:t>
      </w:r>
    </w:p>
    <w:p>
      <w:pPr>
        <w:spacing w:before="120" w:after="120" w:line="288" w:lineRule="auto"/>
        <w:ind w:left="0" w:firstLine="420"/>
        <w:jc w:val="left"/>
      </w:pPr>
      <w:r>
        <w:rPr>
          <w:rFonts w:eastAsia="等线" w:ascii="Arial" w:cs="Arial" w:hAnsi="Arial"/>
          <w:sz w:val="22"/>
        </w:rPr>
        <w:t>3. 乙方向甲方提供的返点报告的数据以媒体提供为准，媒体数据报告为最终双方的结算依据。</w:t>
      </w:r>
    </w:p>
    <w:p>
      <w:pPr>
        <w:spacing w:before="120" w:after="120" w:line="288" w:lineRule="auto"/>
        <w:ind w:left="0" w:firstLine="420"/>
        <w:jc w:val="left"/>
      </w:pPr>
      <w:r>
        <w:rPr>
          <w:rFonts w:eastAsia="等线" w:ascii="Arial" w:cs="Arial" w:hAnsi="Arial"/>
          <w:sz w:val="22"/>
        </w:rPr>
        <w:t>The data of rebates reports provided by Party B to Party A shall be follow the data of rebates report provided by the media. The data report from the media shall base on the final settlement between Party B and the media.</w:t>
      </w:r>
    </w:p>
    <w:p>
      <w:pPr>
        <w:spacing w:before="120" w:after="120" w:line="288" w:lineRule="auto"/>
        <w:ind w:left="0" w:firstLine="0"/>
        <w:jc w:val="left"/>
      </w:pPr>
      <w:r>
        <w:rPr>
          <w:rFonts w:eastAsia="等线" w:ascii="Arial" w:cs="Arial" w:hAnsi="Arial"/>
          <w:b w:val="true"/>
          <w:sz w:val="22"/>
        </w:rPr>
        <w:t xml:space="preserve">七、 原合同约定的其它内容不变，任何未尽事宜，以原合同约定为准，并本协议自甲、乙双方盖章完毕之日起生效。 </w:t>
      </w:r>
    </w:p>
    <w:p>
      <w:pPr>
        <w:spacing w:before="120" w:after="120" w:line="288" w:lineRule="auto"/>
        <w:ind w:left="0" w:firstLine="420"/>
        <w:jc w:val="left"/>
      </w:pPr>
      <w:r>
        <w:rPr>
          <w:rFonts w:eastAsia="等线" w:ascii="Arial" w:cs="Arial" w:hAnsi="Arial"/>
          <w:sz w:val="22"/>
        </w:rPr>
        <w:t>The other terms stipulated in the original contract remain unchanged. Any unresolved matters shall be subject to the provisions of the original contract. This agreement shall take effect from the date when both parties, Party A and Party B, have affixed their seals.</w:t>
      </w:r>
    </w:p>
    <w:p>
      <w:pPr>
        <w:spacing w:before="120" w:after="120" w:line="288" w:lineRule="auto"/>
        <w:ind w:left="0" w:firstLine="0"/>
        <w:jc w:val="left"/>
      </w:pPr>
      <w:r>
        <w:rPr>
          <w:rFonts w:eastAsia="等线" w:ascii="Arial" w:cs="Arial" w:hAnsi="Arial"/>
          <w:b w:val="true"/>
          <w:sz w:val="22"/>
        </w:rPr>
        <w:t>八、本协议一式二份，双方各执一份，具有同等法律效力。</w:t>
      </w:r>
    </w:p>
    <w:p>
      <w:pPr>
        <w:spacing w:before="120" w:after="120" w:line="288" w:lineRule="auto"/>
        <w:ind w:left="0" w:firstLine="420"/>
        <w:jc w:val="left"/>
      </w:pPr>
      <w:r>
        <w:rPr>
          <w:rFonts w:eastAsia="等线" w:ascii="Arial" w:cs="Arial" w:hAnsi="Arial"/>
          <w:sz w:val="22"/>
        </w:rPr>
        <w:t>This Agreement is made in two counterparts with each party holding one counterpart, all of which shall have the same legal effect.</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（以下无正文，为签字盖章页）</w:t>
      </w:r>
    </w:p>
    <w:p>
      <w:pPr>
        <w:spacing w:before="120" w:after="120" w:line="288" w:lineRule="auto"/>
        <w:ind w:left="0" w:firstLine="0"/>
        <w:jc w:val="left"/>
      </w:pPr>
      <w:r>
        <w:rPr>
          <w:rFonts w:eastAsia="等线" w:ascii="Arial" w:cs="Arial" w:hAnsi="Arial"/>
          <w:sz w:val="22"/>
        </w:rPr>
        <w:t>(The page below is for signature only)</w:t>
      </w: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甲方（签字/盖章）：                     乙方（签字/盖章）：</w:t>
      </w:r>
    </w:p>
    <w:p>
      <w:pPr>
        <w:spacing w:before="120" w:after="120" w:line="288" w:lineRule="auto"/>
        <w:ind w:left="0" w:firstLine="420"/>
        <w:jc w:val="left"/>
      </w:pPr>
      <w:r>
        <w:rPr>
          <w:rFonts w:eastAsia="等线" w:ascii="Arial" w:cs="Arial" w:hAnsi="Arial"/>
          <w:sz w:val="22"/>
        </w:rPr>
        <w:t>Party A(Sign/Seal): [           ]          Party B(Sign/Seal): [            ]</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签订日期：                               签订日期：</w:t>
      </w:r>
    </w:p>
    <w:p>
      <w:pPr>
        <w:spacing w:before="120" w:after="120" w:line="288" w:lineRule="auto"/>
        <w:ind w:left="0" w:firstLine="420"/>
        <w:jc w:val="left"/>
      </w:pPr>
      <w:r>
        <w:rPr>
          <w:rFonts w:eastAsia="等线" w:ascii="Arial" w:cs="Arial" w:hAnsi="Arial"/>
          <w:sz w:val="22"/>
        </w:rPr>
        <w:t>Signing Date:                              Signing Date:</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48692">
    <w:lvl>
      <w:start w:val="1"/>
      <w:numFmt w:val="decimal"/>
      <w:suff w:val="tab"/>
      <w:lvlText w:val="%1."/>
      <w:rPr>
        <w:color w:val="3370ff"/>
      </w:rPr>
    </w:lvl>
  </w:abstractNum>
  <w:abstractNum w:abstractNumId="448693">
    <w:lvl>
      <w:start w:val="2"/>
      <w:numFmt w:val="decimal"/>
      <w:suff w:val="tab"/>
      <w:lvlText w:val="%1."/>
      <w:rPr>
        <w:color w:val="3370ff"/>
      </w:rPr>
    </w:lvl>
  </w:abstractNum>
  <w:abstractNum w:abstractNumId="448694">
    <w:lvl>
      <w:start w:val="1"/>
      <w:numFmt w:val="decimal"/>
      <w:suff w:val="tab"/>
      <w:lvlText w:val="%1."/>
      <w:rPr>
        <w:color w:val="3370ff"/>
      </w:rPr>
    </w:lvl>
  </w:abstractNum>
  <w:abstractNum w:abstractNumId="448695">
    <w:lvl>
      <w:start w:val="2"/>
      <w:numFmt w:val="decimal"/>
      <w:suff w:val="tab"/>
      <w:lvlText w:val="%1."/>
      <w:rPr>
        <w:color w:val="3370ff"/>
      </w:rPr>
    </w:lvl>
  </w:abstractNum>
  <w:abstractNum w:abstractNumId="448696">
    <w:lvl>
      <w:start w:val="3"/>
      <w:numFmt w:val="decimal"/>
      <w:suff w:val="tab"/>
      <w:lvlText w:val="%1."/>
      <w:rPr>
        <w:color w:val="3370ff"/>
      </w:rPr>
    </w:lvl>
  </w:abstractNum>
  <w:abstractNum w:abstractNumId="448697">
    <w:lvl>
      <w:start w:val="4"/>
      <w:numFmt w:val="decimal"/>
      <w:suff w:val="tab"/>
      <w:lvlText w:val="%1."/>
      <w:rPr>
        <w:color w:val="3370ff"/>
      </w:rPr>
    </w:lvl>
  </w:abstractNum>
  <w:abstractNum w:abstractNumId="448698">
    <w:lvl>
      <w:start w:val="5"/>
      <w:numFmt w:val="decimal"/>
      <w:suff w:val="tab"/>
      <w:lvlText w:val="%1."/>
      <w:rPr>
        <w:color w:val="3370ff"/>
      </w:rPr>
    </w:lvl>
  </w:abstractNum>
  <w:abstractNum w:abstractNumId="448699">
    <w:lvl>
      <w:start w:val="6"/>
      <w:numFmt w:val="decimal"/>
      <w:suff w:val="tab"/>
      <w:lvlText w:val="%1."/>
      <w:rPr>
        <w:color w:val="3370ff"/>
      </w:rPr>
    </w:lvl>
  </w:abstractNum>
  <w:abstractNum w:abstractNumId="448700">
    <w:lvl>
      <w:start w:val="7"/>
      <w:numFmt w:val="decimal"/>
      <w:suff w:val="tab"/>
      <w:lvlText w:val="%1."/>
      <w:rPr>
        <w:color w:val="3370ff"/>
      </w:rPr>
    </w:lvl>
  </w:abstractNum>
  <w:abstractNum w:abstractNumId="448701">
    <w:lvl>
      <w:start w:val="1"/>
      <w:numFmt w:val="decimal"/>
      <w:suff w:val="tab"/>
      <w:lvlText w:val="%1."/>
      <w:rPr>
        <w:color w:val="3370ff"/>
      </w:rPr>
    </w:lvl>
  </w:abstractNum>
  <w:abstractNum w:abstractNumId="448702">
    <w:lvl>
      <w:start w:val="1"/>
      <w:numFmt w:val="decimal"/>
      <w:suff w:val="tab"/>
      <w:lvlText w:val="%1."/>
      <w:rPr>
        <w:color w:val="3370ff"/>
      </w:rPr>
    </w:lvl>
  </w:abstractNum>
  <w:abstractNum w:abstractNumId="448703">
    <w:lvl>
      <w:start w:val="2"/>
      <w:numFmt w:val="decimal"/>
      <w:suff w:val="tab"/>
      <w:lvlText w:val="%1."/>
      <w:rPr>
        <w:color w:val="3370ff"/>
      </w:rPr>
    </w:lvl>
  </w:abstractNum>
  <w:abstractNum w:abstractNumId="448704">
    <w:lvl>
      <w:start w:val="2"/>
      <w:numFmt w:val="decimal"/>
      <w:suff w:val="tab"/>
      <w:lvlText w:val="%1."/>
      <w:rPr>
        <w:color w:val="3370ff"/>
      </w:rPr>
    </w:lvl>
  </w:abstractNum>
  <w:abstractNum w:abstractNumId="448705">
    <w:lvl>
      <w:start w:val="3"/>
      <w:numFmt w:val="decimal"/>
      <w:suff w:val="tab"/>
      <w:lvlText w:val="%1."/>
      <w:rPr>
        <w:color w:val="3370ff"/>
      </w:rPr>
    </w:lvl>
  </w:abstractNum>
  <w:abstractNum w:abstractNumId="448706">
    <w:lvl>
      <w:numFmt w:val="bullet"/>
      <w:suff w:val="tab"/>
      <w:lvlText w:val="•"/>
      <w:rPr>
        <w:color w:val="3370ff"/>
      </w:rPr>
    </w:lvl>
  </w:abstractNum>
  <w:abstractNum w:abstractNumId="448707">
    <w:lvl>
      <w:numFmt w:val="bullet"/>
      <w:suff w:val="tab"/>
      <w:lvlText w:val="•"/>
      <w:rPr>
        <w:color w:val="3370ff"/>
      </w:rPr>
    </w:lvl>
  </w:abstractNum>
  <w:abstractNum w:abstractNumId="448708">
    <w:lvl>
      <w:numFmt w:val="bullet"/>
      <w:suff w:val="tab"/>
      <w:lvlText w:val="•"/>
      <w:rPr>
        <w:color w:val="3370ff"/>
      </w:rPr>
    </w:lvl>
  </w:abstractNum>
  <w:abstractNum w:abstractNumId="448709">
    <w:lvl>
      <w:numFmt w:val="bullet"/>
      <w:suff w:val="tab"/>
      <w:lvlText w:val="•"/>
      <w:rPr>
        <w:color w:val="3370ff"/>
      </w:rPr>
    </w:lvl>
  </w:abstractNum>
  <w:abstractNum w:abstractNumId="448710">
    <w:lvl>
      <w:start w:val="3"/>
      <w:numFmt w:val="decimal"/>
      <w:suff w:val="tab"/>
      <w:lvlText w:val="%1."/>
      <w:rPr>
        <w:color w:val="3370ff"/>
      </w:rPr>
    </w:lvl>
  </w:abstractNum>
  <w:abstractNum w:abstractNumId="448711">
    <w:lvl>
      <w:start w:val="1"/>
      <w:numFmt w:val="decimal"/>
      <w:suff w:val="tab"/>
      <w:lvlText w:val="%1."/>
      <w:rPr>
        <w:color w:val="3370ff"/>
      </w:rPr>
    </w:lvl>
  </w:abstractNum>
  <w:abstractNum w:abstractNumId="448712">
    <w:lvl>
      <w:start w:val="1"/>
      <w:numFmt w:val="decimal"/>
      <w:suff w:val="tab"/>
      <w:lvlText w:val="%1."/>
      <w:rPr>
        <w:color w:val="3370ff"/>
      </w:rPr>
    </w:lvl>
  </w:abstractNum>
  <w:abstractNum w:abstractNumId="448713">
    <w:lvl>
      <w:start w:val="2"/>
      <w:numFmt w:val="decimal"/>
      <w:suff w:val="tab"/>
      <w:lvlText w:val="%1."/>
      <w:rPr>
        <w:color w:val="3370ff"/>
      </w:rPr>
    </w:lvl>
  </w:abstractNum>
  <w:abstractNum w:abstractNumId="448714">
    <w:lvl>
      <w:start w:val="3"/>
      <w:numFmt w:val="decimal"/>
      <w:suff w:val="tab"/>
      <w:lvlText w:val="%1."/>
      <w:rPr>
        <w:color w:val="3370ff"/>
      </w:rPr>
    </w:lvl>
  </w:abstractNum>
  <w:abstractNum w:abstractNumId="448715">
    <w:lvl>
      <w:start w:val="4"/>
      <w:numFmt w:val="decimal"/>
      <w:suff w:val="tab"/>
      <w:lvlText w:val="%1."/>
      <w:rPr>
        <w:color w:val="3370ff"/>
      </w:rPr>
    </w:lvl>
  </w:abstractNum>
  <w:abstractNum w:abstractNumId="448716">
    <w:lvl>
      <w:start w:val="2"/>
      <w:numFmt w:val="decimal"/>
      <w:suff w:val="tab"/>
      <w:lvlText w:val="%1."/>
      <w:rPr>
        <w:color w:val="3370ff"/>
      </w:rPr>
    </w:lvl>
  </w:abstractNum>
  <w:abstractNum w:abstractNumId="448717">
    <w:lvl>
      <w:start w:val="1"/>
      <w:numFmt w:val="decimal"/>
      <w:suff w:val="tab"/>
      <w:lvlText w:val="%1."/>
      <w:rPr>
        <w:color w:val="3370ff"/>
      </w:rPr>
    </w:lvl>
  </w:abstractNum>
  <w:abstractNum w:abstractNumId="448718">
    <w:lvl>
      <w:start w:val="2"/>
      <w:numFmt w:val="decimal"/>
      <w:suff w:val="tab"/>
      <w:lvlText w:val="%1."/>
      <w:rPr>
        <w:color w:val="3370ff"/>
      </w:rPr>
    </w:lvl>
  </w:abstractNum>
  <w:abstractNum w:abstractNumId="448719">
    <w:lvl>
      <w:start w:val="3"/>
      <w:numFmt w:val="decimal"/>
      <w:suff w:val="tab"/>
      <w:lvlText w:val="%1."/>
      <w:rPr>
        <w:color w:val="3370ff"/>
      </w:rPr>
    </w:lvl>
  </w:abstractNum>
  <w:abstractNum w:abstractNumId="448720">
    <w:lvl>
      <w:start w:val="1"/>
      <w:numFmt w:val="decimal"/>
      <w:suff w:val="tab"/>
      <w:lvlText w:val="%1."/>
      <w:rPr>
        <w:color w:val="3370ff"/>
      </w:rPr>
    </w:lvl>
  </w:abstractNum>
  <w:abstractNum w:abstractNumId="448721">
    <w:lvl>
      <w:start w:val="2"/>
      <w:numFmt w:val="decimal"/>
      <w:suff w:val="tab"/>
      <w:lvlText w:val="%1."/>
      <w:rPr>
        <w:color w:val="3370ff"/>
      </w:rPr>
    </w:lvl>
  </w:abstractNum>
  <w:abstractNum w:abstractNumId="448722">
    <w:lvl>
      <w:start w:val="3"/>
      <w:numFmt w:val="decimal"/>
      <w:suff w:val="tab"/>
      <w:lvlText w:val="%1."/>
      <w:rPr>
        <w:color w:val="3370ff"/>
      </w:rPr>
    </w:lvl>
  </w:abstractNum>
  <w:abstractNum w:abstractNumId="448723">
    <w:lvl>
      <w:start w:val="4"/>
      <w:numFmt w:val="decimal"/>
      <w:suff w:val="tab"/>
      <w:lvlText w:val="%1."/>
      <w:rPr>
        <w:color w:val="3370ff"/>
      </w:rPr>
    </w:lvl>
  </w:abstractNum>
  <w:abstractNum w:abstractNumId="448724">
    <w:lvl>
      <w:start w:val="4"/>
      <w:numFmt w:val="decimal"/>
      <w:suff w:val="tab"/>
      <w:lvlText w:val="%1."/>
      <w:rPr>
        <w:color w:val="3370ff"/>
      </w:rPr>
    </w:lvl>
  </w:abstractNum>
  <w:abstractNum w:abstractNumId="448725">
    <w:lvl>
      <w:start w:val="1"/>
      <w:numFmt w:val="decimal"/>
      <w:suff w:val="tab"/>
      <w:lvlText w:val="%1."/>
      <w:rPr>
        <w:color w:val="3370ff"/>
      </w:rPr>
    </w:lvl>
  </w:abstractNum>
  <w:abstractNum w:abstractNumId="448726">
    <w:lvl>
      <w:start w:val="2"/>
      <w:numFmt w:val="decimal"/>
      <w:suff w:val="tab"/>
      <w:lvlText w:val="%1."/>
      <w:rPr>
        <w:color w:val="3370ff"/>
      </w:rPr>
    </w:lvl>
  </w:abstractNum>
  <w:abstractNum w:abstractNumId="448727">
    <w:lvl>
      <w:start w:val="4"/>
      <w:numFmt w:val="decimal"/>
      <w:suff w:val="tab"/>
      <w:lvlText w:val="%1."/>
      <w:rPr>
        <w:color w:val="3370ff"/>
      </w:rPr>
    </w:lvl>
  </w:abstractNum>
  <w:abstractNum w:abstractNumId="448728">
    <w:lvl>
      <w:start w:val="5"/>
      <w:numFmt w:val="decimal"/>
      <w:suff w:val="tab"/>
      <w:lvlText w:val="%1."/>
      <w:rPr>
        <w:color w:val="3370ff"/>
      </w:rPr>
    </w:lvl>
  </w:abstractNum>
  <w:abstractNum w:abstractNumId="448729">
    <w:lvl>
      <w:start w:val="1"/>
      <w:numFmt w:val="decimal"/>
      <w:suff w:val="tab"/>
      <w:lvlText w:val="%1."/>
      <w:rPr>
        <w:color w:val="3370ff"/>
      </w:rPr>
    </w:lvl>
  </w:abstractNum>
  <w:abstractNum w:abstractNumId="448730">
    <w:lvl>
      <w:start w:val="2"/>
      <w:numFmt w:val="decimal"/>
      <w:suff w:val="tab"/>
      <w:lvlText w:val="%1."/>
      <w:rPr>
        <w:color w:val="3370ff"/>
      </w:rPr>
    </w:lvl>
  </w:abstractNum>
  <w:abstractNum w:abstractNumId="448731">
    <w:lvl>
      <w:start w:val="3"/>
      <w:numFmt w:val="decimal"/>
      <w:suff w:val="tab"/>
      <w:lvlText w:val="%1."/>
      <w:rPr>
        <w:color w:val="3370ff"/>
      </w:rPr>
    </w:lvl>
  </w:abstractNum>
  <w:abstractNum w:abstractNumId="448732">
    <w:lvl>
      <w:start w:val="4"/>
      <w:numFmt w:val="decimal"/>
      <w:suff w:val="tab"/>
      <w:lvlText w:val="%1."/>
      <w:rPr>
        <w:color w:val="3370ff"/>
      </w:rPr>
    </w:lvl>
  </w:abstractNum>
  <w:abstractNum w:abstractNumId="448733">
    <w:lvl>
      <w:start w:val="5"/>
      <w:numFmt w:val="decimal"/>
      <w:suff w:val="tab"/>
      <w:lvlText w:val="%1."/>
      <w:rPr>
        <w:color w:val="3370ff"/>
      </w:rPr>
    </w:lvl>
  </w:abstractNum>
  <w:abstractNum w:abstractNumId="448734">
    <w:lvl>
      <w:start w:val="6"/>
      <w:numFmt w:val="decimal"/>
      <w:suff w:val="tab"/>
      <w:lvlText w:val="%1."/>
      <w:rPr>
        <w:color w:val="3370ff"/>
      </w:rPr>
    </w:lvl>
  </w:abstractNum>
  <w:abstractNum w:abstractNumId="448735">
    <w:lvl>
      <w:start w:val="6"/>
      <w:numFmt w:val="decimal"/>
      <w:suff w:val="tab"/>
      <w:lvlText w:val="%1."/>
      <w:rPr>
        <w:color w:val="3370ff"/>
      </w:rPr>
    </w:lvl>
  </w:abstractNum>
  <w:abstractNum w:abstractNumId="448736">
    <w:lvl>
      <w:start w:val="7"/>
      <w:numFmt w:val="decimal"/>
      <w:suff w:val="tab"/>
      <w:lvlText w:val="%1."/>
      <w:rPr>
        <w:color w:val="3370ff"/>
      </w:rPr>
    </w:lvl>
  </w:abstractNum>
  <w:abstractNum w:abstractNumId="448737">
    <w:lvl>
      <w:start w:val="1"/>
      <w:numFmt w:val="decimal"/>
      <w:suff w:val="tab"/>
      <w:lvlText w:val="%1."/>
      <w:rPr>
        <w:color w:val="3370ff"/>
      </w:rPr>
    </w:lvl>
  </w:abstractNum>
  <w:abstractNum w:abstractNumId="448738">
    <w:lvl>
      <w:start w:val="2"/>
      <w:numFmt w:val="decimal"/>
      <w:suff w:val="tab"/>
      <w:lvlText w:val="%1."/>
      <w:rPr>
        <w:color w:val="3370ff"/>
      </w:rPr>
    </w:lvl>
  </w:abstractNum>
  <w:abstractNum w:abstractNumId="448739">
    <w:lvl>
      <w:start w:val="3"/>
      <w:numFmt w:val="decimal"/>
      <w:suff w:val="tab"/>
      <w:lvlText w:val="%1."/>
      <w:rPr>
        <w:color w:val="3370ff"/>
      </w:rPr>
    </w:lvl>
  </w:abstractNum>
  <w:abstractNum w:abstractNumId="448740">
    <w:lvl>
      <w:start w:val="4"/>
      <w:numFmt w:val="decimal"/>
      <w:suff w:val="tab"/>
      <w:lvlText w:val="%1."/>
      <w:rPr>
        <w:color w:val="3370ff"/>
      </w:rPr>
    </w:lvl>
  </w:abstractNum>
  <w:abstractNum w:abstractNumId="448741">
    <w:lvl>
      <w:start w:val="5"/>
      <w:numFmt w:val="decimal"/>
      <w:suff w:val="tab"/>
      <w:lvlText w:val="%1."/>
      <w:rPr>
        <w:color w:val="3370ff"/>
      </w:rPr>
    </w:lvl>
  </w:abstractNum>
  <w:abstractNum w:abstractNumId="448742">
    <w:lvl>
      <w:start w:val="8"/>
      <w:numFmt w:val="decimal"/>
      <w:suff w:val="tab"/>
      <w:lvlText w:val="%1."/>
      <w:rPr>
        <w:color w:val="3370ff"/>
      </w:rPr>
    </w:lvl>
  </w:abstractNum>
  <w:abstractNum w:abstractNumId="448743">
    <w:lvl>
      <w:start w:val="1"/>
      <w:numFmt w:val="decimal"/>
      <w:suff w:val="tab"/>
      <w:lvlText w:val="%1."/>
      <w:rPr>
        <w:color w:val="3370ff"/>
      </w:rPr>
    </w:lvl>
  </w:abstractNum>
  <w:abstractNum w:abstractNumId="448744">
    <w:lvl>
      <w:start w:val="2"/>
      <w:numFmt w:val="decimal"/>
      <w:suff w:val="tab"/>
      <w:lvlText w:val="%1."/>
      <w:rPr>
        <w:color w:val="3370ff"/>
      </w:rPr>
    </w:lvl>
  </w:abstractNum>
  <w:abstractNum w:abstractNumId="448745">
    <w:lvl>
      <w:start w:val="3"/>
      <w:numFmt w:val="decimal"/>
      <w:suff w:val="tab"/>
      <w:lvlText w:val="%1."/>
      <w:rPr>
        <w:color w:val="3370ff"/>
      </w:rPr>
    </w:lvl>
  </w:abstractNum>
  <w:abstractNum w:abstractNumId="448746">
    <w:lvl>
      <w:start w:val="4"/>
      <w:numFmt w:val="decimal"/>
      <w:suff w:val="tab"/>
      <w:lvlText w:val="%1."/>
      <w:rPr>
        <w:color w:val="3370ff"/>
      </w:rPr>
    </w:lvl>
  </w:abstractNum>
  <w:abstractNum w:abstractNumId="448747">
    <w:lvl>
      <w:start w:val="9"/>
      <w:numFmt w:val="decimal"/>
      <w:suff w:val="tab"/>
      <w:lvlText w:val="%1."/>
      <w:rPr>
        <w:color w:val="3370ff"/>
      </w:rPr>
    </w:lvl>
  </w:abstractNum>
  <w:abstractNum w:abstractNumId="448748">
    <w:lvl>
      <w:start w:val="1"/>
      <w:numFmt w:val="decimal"/>
      <w:suff w:val="tab"/>
      <w:lvlText w:val="%1."/>
      <w:rPr>
        <w:color w:val="3370ff"/>
      </w:rPr>
    </w:lvl>
  </w:abstractNum>
  <w:abstractNum w:abstractNumId="448749">
    <w:lvl>
      <w:start w:val="2"/>
      <w:numFmt w:val="decimal"/>
      <w:suff w:val="tab"/>
      <w:lvlText w:val="%1."/>
      <w:rPr>
        <w:color w:val="3370ff"/>
      </w:rPr>
    </w:lvl>
  </w:abstractNum>
  <w:abstractNum w:abstractNumId="448750">
    <w:lvl>
      <w:start w:val="3"/>
      <w:numFmt w:val="decimal"/>
      <w:suff w:val="tab"/>
      <w:lvlText w:val="%1."/>
      <w:rPr>
        <w:color w:val="3370ff"/>
      </w:rPr>
    </w:lvl>
  </w:abstractNum>
  <w:abstractNum w:abstractNumId="448751">
    <w:lvl>
      <w:start w:val="4"/>
      <w:numFmt w:val="decimal"/>
      <w:suff w:val="tab"/>
      <w:lvlText w:val="%1."/>
      <w:rPr>
        <w:color w:val="3370ff"/>
      </w:rPr>
    </w:lvl>
  </w:abstractNum>
  <w:abstractNum w:abstractNumId="448752">
    <w:lvl>
      <w:start w:val="1"/>
      <w:numFmt w:val="decimal"/>
      <w:suff w:val="tab"/>
      <w:lvlText w:val="%1."/>
      <w:rPr>
        <w:color w:val="3370ff"/>
      </w:rPr>
    </w:lvl>
  </w:abstractNum>
  <w:abstractNum w:abstractNumId="448753">
    <w:lvl>
      <w:start w:val="2"/>
      <w:numFmt w:val="decimal"/>
      <w:suff w:val="tab"/>
      <w:lvlText w:val="%1."/>
      <w:rPr>
        <w:color w:val="3370ff"/>
      </w:rPr>
    </w:lvl>
  </w:abstractNum>
  <w:abstractNum w:abstractNumId="448754">
    <w:lvl>
      <w:start w:val="3"/>
      <w:numFmt w:val="decimal"/>
      <w:suff w:val="tab"/>
      <w:lvlText w:val="%1."/>
      <w:rPr>
        <w:color w:val="3370ff"/>
      </w:rPr>
    </w:lvl>
  </w:abstractNum>
  <w:abstractNum w:abstractNumId="448755">
    <w:lvl>
      <w:start w:val="4"/>
      <w:numFmt w:val="decimal"/>
      <w:suff w:val="tab"/>
      <w:lvlText w:val="%1."/>
      <w:rPr>
        <w:color w:val="3370ff"/>
      </w:rPr>
    </w:lvl>
  </w:abstractNum>
  <w:abstractNum w:abstractNumId="448756">
    <w:lvl>
      <w:start w:val="10"/>
      <w:numFmt w:val="decimal"/>
      <w:suff w:val="tab"/>
      <w:lvlText w:val="%1."/>
      <w:rPr>
        <w:color w:val="3370ff"/>
      </w:rPr>
    </w:lvl>
  </w:abstractNum>
  <w:abstractNum w:abstractNumId="448757">
    <w:lvl>
      <w:numFmt w:val="bullet"/>
      <w:suff w:val="tab"/>
      <w:lvlText w:val="￮"/>
      <w:rPr>
        <w:color w:val="3370ff"/>
      </w:rPr>
    </w:lvl>
  </w:abstractNum>
  <w:abstractNum w:abstractNumId="448758">
    <w:lvl>
      <w:numFmt w:val="bullet"/>
      <w:suff w:val="tab"/>
      <w:lvlText w:val="￮"/>
      <w:rPr>
        <w:color w:val="3370ff"/>
      </w:rPr>
    </w:lvl>
  </w:abstractNum>
  <w:abstractNum w:abstractNumId="448759">
    <w:lvl>
      <w:numFmt w:val="bullet"/>
      <w:suff w:val="tab"/>
      <w:lvlText w:val="￮"/>
      <w:rPr>
        <w:color w:val="3370ff"/>
      </w:rPr>
    </w:lvl>
  </w:abstractNum>
  <w:abstractNum w:abstractNumId="448760">
    <w:lvl>
      <w:numFmt w:val="bullet"/>
      <w:suff w:val="tab"/>
      <w:lvlText w:val="￮"/>
      <w:rPr>
        <w:color w:val="3370ff"/>
      </w:rPr>
    </w:lvl>
  </w:abstractNum>
  <w:abstractNum w:abstractNumId="448761">
    <w:lvl>
      <w:start w:val="1"/>
      <w:numFmt w:val="decimal"/>
      <w:suff w:val="tab"/>
      <w:lvlText w:val="%1."/>
      <w:rPr>
        <w:color w:val="3370ff"/>
      </w:rPr>
    </w:lvl>
  </w:abstractNum>
  <w:abstractNum w:abstractNumId="448762">
    <w:lvl>
      <w:start w:val="2"/>
      <w:numFmt w:val="decimal"/>
      <w:suff w:val="tab"/>
      <w:lvlText w:val="%1."/>
      <w:rPr>
        <w:color w:val="3370ff"/>
      </w:rPr>
    </w:lvl>
  </w:abstractNum>
  <w:abstractNum w:abstractNumId="448763">
    <w:lvl>
      <w:start w:val="3"/>
      <w:numFmt w:val="decimal"/>
      <w:suff w:val="tab"/>
      <w:lvlText w:val="%1."/>
      <w:rPr>
        <w:color w:val="3370ff"/>
      </w:rPr>
    </w:lvl>
  </w:abstractNum>
  <w:abstractNum w:abstractNumId="448764">
    <w:lvl>
      <w:start w:val="4"/>
      <w:numFmt w:val="decimal"/>
      <w:suff w:val="tab"/>
      <w:lvlText w:val="%1."/>
      <w:rPr>
        <w:color w:val="3370ff"/>
      </w:rPr>
    </w:lvl>
  </w:abstractNum>
  <w:abstractNum w:abstractNumId="448765">
    <w:lvl>
      <w:start w:val="5"/>
      <w:numFmt w:val="decimal"/>
      <w:suff w:val="tab"/>
      <w:lvlText w:val="%1."/>
      <w:rPr>
        <w:color w:val="3370ff"/>
      </w:rPr>
    </w:lvl>
  </w:abstractNum>
  <w:abstractNum w:abstractNumId="448766">
    <w:lvl>
      <w:start w:val="6"/>
      <w:numFmt w:val="decimal"/>
      <w:suff w:val="tab"/>
      <w:lvlText w:val="%1."/>
      <w:rPr>
        <w:color w:val="3370ff"/>
      </w:rPr>
    </w:lvl>
  </w:abstractNum>
  <w:abstractNum w:abstractNumId="448767">
    <w:lvl>
      <w:start w:val="7"/>
      <w:numFmt w:val="decimal"/>
      <w:suff w:val="tab"/>
      <w:lvlText w:val="%1."/>
      <w:rPr>
        <w:color w:val="3370ff"/>
      </w:rPr>
    </w:lvl>
  </w:abstractNum>
  <w:abstractNum w:abstractNumId="448768">
    <w:lvl>
      <w:start w:val="8"/>
      <w:numFmt w:val="decimal"/>
      <w:suff w:val="tab"/>
      <w:lvlText w:val="%1."/>
      <w:rPr>
        <w:color w:val="3370ff"/>
      </w:rPr>
    </w:lvl>
  </w:abstractNum>
  <w:abstractNum w:abstractNumId="448769">
    <w:lvl>
      <w:start w:val="9"/>
      <w:numFmt w:val="decimal"/>
      <w:suff w:val="tab"/>
      <w:lvlText w:val="%1."/>
      <w:rPr>
        <w:color w:val="3370ff"/>
      </w:rPr>
    </w:lvl>
  </w:abstractNum>
  <w:abstractNum w:abstractNumId="448770">
    <w:lvl>
      <w:start w:val="10"/>
      <w:numFmt w:val="decimal"/>
      <w:suff w:val="tab"/>
      <w:lvlText w:val="%1."/>
      <w:rPr>
        <w:color w:val="3370ff"/>
      </w:rPr>
    </w:lvl>
  </w:abstractNum>
  <w:abstractNum w:abstractNumId="448771">
    <w:lvl>
      <w:start w:val="11"/>
      <w:numFmt w:val="decimal"/>
      <w:suff w:val="tab"/>
      <w:lvlText w:val="%1."/>
      <w:rPr>
        <w:color w:val="3370ff"/>
      </w:rPr>
    </w:lvl>
  </w:abstractNum>
  <w:abstractNum w:abstractNumId="448772">
    <w:lvl>
      <w:start w:val="12"/>
      <w:numFmt w:val="decimal"/>
      <w:suff w:val="tab"/>
      <w:lvlText w:val="%1."/>
      <w:rPr>
        <w:color w:val="3370ff"/>
      </w:rPr>
    </w:lvl>
  </w:abstractNum>
  <w:abstractNum w:abstractNumId="448773">
    <w:lvl>
      <w:start w:val="13"/>
      <w:numFmt w:val="decimal"/>
      <w:suff w:val="tab"/>
      <w:lvlText w:val="%1."/>
      <w:rPr>
        <w:color w:val="3370ff"/>
      </w:rPr>
    </w:lvl>
  </w:abstractNum>
  <w:abstractNum w:abstractNumId="448774">
    <w:lvl>
      <w:start w:val="14"/>
      <w:numFmt w:val="decimal"/>
      <w:suff w:val="tab"/>
      <w:lvlText w:val="%1."/>
      <w:rPr>
        <w:color w:val="3370ff"/>
      </w:rPr>
    </w:lvl>
  </w:abstractNum>
  <w:abstractNum w:abstractNumId="448775">
    <w:lvl>
      <w:start w:val="15"/>
      <w:numFmt w:val="decimal"/>
      <w:suff w:val="tab"/>
      <w:lvlText w:val="%1."/>
      <w:rPr>
        <w:color w:val="3370ff"/>
      </w:rPr>
    </w:lvl>
  </w:abstractNum>
  <w:abstractNum w:abstractNumId="448776">
    <w:lvl>
      <w:start w:val="16"/>
      <w:numFmt w:val="decimal"/>
      <w:suff w:val="tab"/>
      <w:lvlText w:val="%1."/>
      <w:rPr>
        <w:color w:val="3370ff"/>
      </w:rPr>
    </w:lvl>
  </w:abstractNum>
  <w:abstractNum w:abstractNumId="448777">
    <w:lvl>
      <w:start w:val="17"/>
      <w:numFmt w:val="decimal"/>
      <w:suff w:val="tab"/>
      <w:lvlText w:val="%1."/>
      <w:rPr>
        <w:color w:val="3370ff"/>
      </w:rPr>
    </w:lvl>
  </w:abstractNum>
  <w:abstractNum w:abstractNumId="448778">
    <w:lvl>
      <w:start w:val="2"/>
      <w:numFmt w:val="decimal"/>
      <w:suff w:val="tab"/>
      <w:lvlText w:val="%1."/>
      <w:rPr>
        <w:color w:val="3370ff"/>
      </w:rPr>
    </w:lvl>
  </w:abstractNum>
  <w:abstractNum w:abstractNumId="448779">
    <w:lvl>
      <w:start w:val="3"/>
      <w:numFmt w:val="decimal"/>
      <w:suff w:val="tab"/>
      <w:lvlText w:val="%1."/>
      <w:rPr>
        <w:color w:val="3370ff"/>
      </w:rPr>
    </w:lvl>
  </w:abstractNum>
  <w:abstractNum w:abstractNumId="448780">
    <w:lvl>
      <w:start w:val="4"/>
      <w:numFmt w:val="decimal"/>
      <w:suff w:val="tab"/>
      <w:lvlText w:val="%1."/>
      <w:rPr>
        <w:color w:val="3370ff"/>
      </w:rPr>
    </w:lvl>
  </w:abstractNum>
  <w:abstractNum w:abstractNumId="448781">
    <w:lvl>
      <w:start w:val="5"/>
      <w:numFmt w:val="decimal"/>
      <w:suff w:val="tab"/>
      <w:lvlText w:val="%1."/>
      <w:rPr>
        <w:color w:val="3370ff"/>
      </w:rPr>
    </w:lvl>
  </w:abstractNum>
  <w:abstractNum w:abstractNumId="448782">
    <w:lvl>
      <w:start w:val="6"/>
      <w:numFmt w:val="decimal"/>
      <w:suff w:val="tab"/>
      <w:lvlText w:val="%1."/>
      <w:rPr>
        <w:color w:val="3370ff"/>
      </w:rPr>
    </w:lvl>
  </w:abstractNum>
  <w:abstractNum w:abstractNumId="448783">
    <w:lvl>
      <w:start w:val="1"/>
      <w:numFmt w:val="decimal"/>
      <w:suff w:val="tab"/>
      <w:lvlText w:val="%1."/>
      <w:rPr>
        <w:color w:val="3370ff"/>
      </w:rPr>
    </w:lvl>
  </w:abstractNum>
  <w:abstractNum w:abstractNumId="448784">
    <w:lvl>
      <w:start w:val="2"/>
      <w:numFmt w:val="lowerLetter"/>
      <w:suff w:val="tab"/>
      <w:lvlText w:val="%1."/>
      <w:rPr>
        <w:color w:val="3370ff"/>
      </w:rPr>
    </w:lvl>
  </w:abstractNum>
  <w:abstractNum w:abstractNumId="448785">
    <w:lvl>
      <w:start w:val="3"/>
      <w:numFmt w:val="lowerLetter"/>
      <w:suff w:val="tab"/>
      <w:lvlText w:val="%1."/>
      <w:rPr>
        <w:color w:val="3370ff"/>
      </w:rPr>
    </w:lvl>
  </w:abstractNum>
  <w:abstractNum w:abstractNumId="448786">
    <w:lvl>
      <w:start w:val="1"/>
      <w:numFmt w:val="decimal"/>
      <w:suff w:val="tab"/>
      <w:lvlText w:val="%1."/>
      <w:rPr>
        <w:color w:val="3370ff"/>
      </w:rPr>
    </w:lvl>
  </w:abstractNum>
  <w:abstractNum w:abstractNumId="448787">
    <w:lvl>
      <w:start w:val="2"/>
      <w:numFmt w:val="decimal"/>
      <w:suff w:val="tab"/>
      <w:lvlText w:val="%1."/>
      <w:rPr>
        <w:color w:val="3370ff"/>
      </w:rPr>
    </w:lvl>
  </w:abstractNum>
  <w:num w:numId="1">
    <w:abstractNumId w:val="448692"/>
  </w:num>
  <w:num w:numId="2">
    <w:abstractNumId w:val="448693"/>
  </w:num>
  <w:num w:numId="3">
    <w:abstractNumId w:val="448694"/>
  </w:num>
  <w:num w:numId="4">
    <w:abstractNumId w:val="448695"/>
  </w:num>
  <w:num w:numId="5">
    <w:abstractNumId w:val="448696"/>
  </w:num>
  <w:num w:numId="6">
    <w:abstractNumId w:val="448697"/>
  </w:num>
  <w:num w:numId="7">
    <w:abstractNumId w:val="448698"/>
  </w:num>
  <w:num w:numId="8">
    <w:abstractNumId w:val="448699"/>
  </w:num>
  <w:num w:numId="9">
    <w:abstractNumId w:val="448700"/>
  </w:num>
  <w:num w:numId="10">
    <w:abstractNumId w:val="448701"/>
  </w:num>
  <w:num w:numId="11">
    <w:abstractNumId w:val="448702"/>
  </w:num>
  <w:num w:numId="12">
    <w:abstractNumId w:val="448703"/>
  </w:num>
  <w:num w:numId="13">
    <w:abstractNumId w:val="448704"/>
  </w:num>
  <w:num w:numId="14">
    <w:abstractNumId w:val="448705"/>
  </w:num>
  <w:num w:numId="15">
    <w:abstractNumId w:val="448706"/>
  </w:num>
  <w:num w:numId="16">
    <w:abstractNumId w:val="448707"/>
  </w:num>
  <w:num w:numId="17">
    <w:abstractNumId w:val="448708"/>
  </w:num>
  <w:num w:numId="18">
    <w:abstractNumId w:val="448709"/>
  </w:num>
  <w:num w:numId="19">
    <w:abstractNumId w:val="448710"/>
  </w:num>
  <w:num w:numId="20">
    <w:abstractNumId w:val="448711"/>
  </w:num>
  <w:num w:numId="21">
    <w:abstractNumId w:val="448712"/>
  </w:num>
  <w:num w:numId="22">
    <w:abstractNumId w:val="448713"/>
  </w:num>
  <w:num w:numId="23">
    <w:abstractNumId w:val="448714"/>
  </w:num>
  <w:num w:numId="24">
    <w:abstractNumId w:val="448715"/>
  </w:num>
  <w:num w:numId="25">
    <w:abstractNumId w:val="448716"/>
  </w:num>
  <w:num w:numId="26">
    <w:abstractNumId w:val="448717"/>
  </w:num>
  <w:num w:numId="27">
    <w:abstractNumId w:val="448718"/>
  </w:num>
  <w:num w:numId="28">
    <w:abstractNumId w:val="448719"/>
  </w:num>
  <w:num w:numId="29">
    <w:abstractNumId w:val="448720"/>
  </w:num>
  <w:num w:numId="30">
    <w:abstractNumId w:val="448721"/>
  </w:num>
  <w:num w:numId="31">
    <w:abstractNumId w:val="448722"/>
  </w:num>
  <w:num w:numId="32">
    <w:abstractNumId w:val="448723"/>
  </w:num>
  <w:num w:numId="33">
    <w:abstractNumId w:val="448724"/>
  </w:num>
  <w:num w:numId="34">
    <w:abstractNumId w:val="448725"/>
  </w:num>
  <w:num w:numId="35">
    <w:abstractNumId w:val="448726"/>
  </w:num>
  <w:num w:numId="36">
    <w:abstractNumId w:val="448727"/>
  </w:num>
  <w:num w:numId="37">
    <w:abstractNumId w:val="448728"/>
  </w:num>
  <w:num w:numId="38">
    <w:abstractNumId w:val="448729"/>
  </w:num>
  <w:num w:numId="39">
    <w:abstractNumId w:val="448730"/>
  </w:num>
  <w:num w:numId="40">
    <w:abstractNumId w:val="448731"/>
  </w:num>
  <w:num w:numId="41">
    <w:abstractNumId w:val="448732"/>
  </w:num>
  <w:num w:numId="42">
    <w:abstractNumId w:val="448733"/>
  </w:num>
  <w:num w:numId="43">
    <w:abstractNumId w:val="448734"/>
  </w:num>
  <w:num w:numId="44">
    <w:abstractNumId w:val="448735"/>
  </w:num>
  <w:num w:numId="45">
    <w:abstractNumId w:val="448736"/>
  </w:num>
  <w:num w:numId="46">
    <w:abstractNumId w:val="448737"/>
  </w:num>
  <w:num w:numId="47">
    <w:abstractNumId w:val="448738"/>
  </w:num>
  <w:num w:numId="48">
    <w:abstractNumId w:val="448739"/>
  </w:num>
  <w:num w:numId="49">
    <w:abstractNumId w:val="448740"/>
  </w:num>
  <w:num w:numId="50">
    <w:abstractNumId w:val="448741"/>
  </w:num>
  <w:num w:numId="51">
    <w:abstractNumId w:val="448742"/>
  </w:num>
  <w:num w:numId="52">
    <w:abstractNumId w:val="448743"/>
  </w:num>
  <w:num w:numId="53">
    <w:abstractNumId w:val="448744"/>
  </w:num>
  <w:num w:numId="54">
    <w:abstractNumId w:val="448745"/>
  </w:num>
  <w:num w:numId="55">
    <w:abstractNumId w:val="448746"/>
  </w:num>
  <w:num w:numId="56">
    <w:abstractNumId w:val="448747"/>
  </w:num>
  <w:num w:numId="57">
    <w:abstractNumId w:val="448748"/>
  </w:num>
  <w:num w:numId="58">
    <w:abstractNumId w:val="448749"/>
  </w:num>
  <w:num w:numId="59">
    <w:abstractNumId w:val="448750"/>
  </w:num>
  <w:num w:numId="60">
    <w:abstractNumId w:val="448751"/>
  </w:num>
  <w:num w:numId="61">
    <w:abstractNumId w:val="448752"/>
  </w:num>
  <w:num w:numId="62">
    <w:abstractNumId w:val="448753"/>
  </w:num>
  <w:num w:numId="63">
    <w:abstractNumId w:val="448754"/>
  </w:num>
  <w:num w:numId="64">
    <w:abstractNumId w:val="448755"/>
  </w:num>
  <w:num w:numId="65">
    <w:abstractNumId w:val="448756"/>
  </w:num>
  <w:num w:numId="66">
    <w:abstractNumId w:val="448757"/>
  </w:num>
  <w:num w:numId="67">
    <w:abstractNumId w:val="448758"/>
  </w:num>
  <w:num w:numId="68">
    <w:abstractNumId w:val="448759"/>
  </w:num>
  <w:num w:numId="69">
    <w:abstractNumId w:val="448760"/>
  </w:num>
  <w:num w:numId="70">
    <w:abstractNumId w:val="448761"/>
  </w:num>
  <w:num w:numId="71">
    <w:abstractNumId w:val="448762"/>
  </w:num>
  <w:num w:numId="72">
    <w:abstractNumId w:val="448763"/>
  </w:num>
  <w:num w:numId="73">
    <w:abstractNumId w:val="448764"/>
  </w:num>
  <w:num w:numId="74">
    <w:abstractNumId w:val="448765"/>
  </w:num>
  <w:num w:numId="75">
    <w:abstractNumId w:val="448766"/>
  </w:num>
  <w:num w:numId="76">
    <w:abstractNumId w:val="448767"/>
  </w:num>
  <w:num w:numId="77">
    <w:abstractNumId w:val="448768"/>
  </w:num>
  <w:num w:numId="78">
    <w:abstractNumId w:val="448769"/>
  </w:num>
  <w:num w:numId="79">
    <w:abstractNumId w:val="448770"/>
  </w:num>
  <w:num w:numId="80">
    <w:abstractNumId w:val="448771"/>
  </w:num>
  <w:num w:numId="81">
    <w:abstractNumId w:val="448772"/>
  </w:num>
  <w:num w:numId="82">
    <w:abstractNumId w:val="448773"/>
  </w:num>
  <w:num w:numId="83">
    <w:abstractNumId w:val="448774"/>
  </w:num>
  <w:num w:numId="84">
    <w:abstractNumId w:val="448775"/>
  </w:num>
  <w:num w:numId="85">
    <w:abstractNumId w:val="448776"/>
  </w:num>
  <w:num w:numId="86">
    <w:abstractNumId w:val="448777"/>
  </w:num>
  <w:num w:numId="87">
    <w:abstractNumId w:val="448778"/>
  </w:num>
  <w:num w:numId="88">
    <w:abstractNumId w:val="448779"/>
  </w:num>
  <w:num w:numId="89">
    <w:abstractNumId w:val="448780"/>
  </w:num>
  <w:num w:numId="90">
    <w:abstractNumId w:val="448781"/>
  </w:num>
  <w:num w:numId="91">
    <w:abstractNumId w:val="448782"/>
  </w:num>
  <w:num w:numId="92">
    <w:abstractNumId w:val="448783"/>
  </w:num>
  <w:num w:numId="93">
    <w:abstractNumId w:val="448784"/>
  </w:num>
  <w:num w:numId="94">
    <w:abstractNumId w:val="448785"/>
  </w:num>
  <w:num w:numId="95">
    <w:abstractNumId w:val="448786"/>
  </w:num>
  <w:num w:numId="96">
    <w:abstractNumId w:val="4487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2025-12-10T07:50:26Z</dcterms:created>
  <dc:creator>Apache POI</dc:creator>
</cp:coreProperties>
</file>