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drawing>
          <wp:inline distT="0" distB="0" distL="0" distR="0">
            <wp:extent cx="1571625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54649C" w:sz="12" w:space="1"/>
        </w:pBdr>
        <w:spacing w:after="360" w:before="0"/>
      </w:pPr>
      <w:r>
        <w:t xml:space="preserve"/>
      </w:r>
    </w:p>
    <w:p>
      <w:pPr>
        <w:spacing w:after="360"/>
        <w:jc w:val="righ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Sete Lagoas/MG, 22 de maio de 2026.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D4A75"/>
          <w:sz w:val="22"/>
          <w:szCs w:val="22"/>
        </w:rPr>
        <w:t xml:space="preserve">Cliente: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LBF EMPREENDIMENTOS IMOBILIÁRIOS LTDA. — EPP</w:t>
      </w:r>
    </w:p>
    <w:p>
      <w:p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CNPJ 17.418.992/0001-74</w:t>
      </w:r>
    </w:p>
    <w:p>
      <w:p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Rua Joaquim Henrique Nogueira, 482 — Sala 1 — Novo Horizonte — Sete Lagoas/MG</w:t>
      </w:r>
    </w:p>
    <w:p>
      <w:pPr>
        <w:spacing w:after="240"/>
      </w:pPr>
      <w:r>
        <w:rPr>
          <w:rFonts w:ascii="Arial" w:cs="Arial" w:eastAsia="Arial" w:hAnsi="Arial"/>
          <w:color w:val="636363"/>
          <w:sz w:val="22"/>
          <w:szCs w:val="22"/>
        </w:rPr>
        <w:t xml:space="preserve">A/C: Sra. Maria Lúcia Henriques Nogueira (Sócia-Administradora)</w:t>
      </w:r>
    </w:p>
    <w:p>
      <w:pPr>
        <w:spacing w:after="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3D4A75"/>
          <w:sz w:val="28"/>
          <w:szCs w:val="28"/>
        </w:rPr>
        <w:t xml:space="preserve">MEMORANDO TÉCNICO Nº 001/2026</w:t>
      </w:r>
    </w:p>
    <w:p>
      <w:pPr>
        <w:spacing w:after="360"/>
        <w:jc w:val="center"/>
      </w:pPr>
      <w:r>
        <w:rPr>
          <w:rFonts w:ascii="Arial" w:cs="Arial" w:eastAsia="Arial" w:hAnsi="Arial"/>
          <w:color w:val="636363"/>
          <w:sz w:val="22"/>
          <w:szCs w:val="22"/>
        </w:rPr>
        <w:t xml:space="preserve">Apuração de Valores para Destrato Contratual</w:t>
      </w:r>
    </w:p>
    <w:p>
      <w:pPr>
        <w:spacing w:after="3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Ref.: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Instrumento Particular de Opção de Compra e Venda nº 07/2024 — Lote 17, Quadra 03 (Condomínio Rural Fazenda Laranjeiras) — Promissário Comprador: Fábricio Fernandes dos Santos.</w:t>
      </w:r>
    </w:p>
    <w:p>
      <w:pPr>
        <w:spacing w:after="240" w:line="3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Prezada Sra. Maria Lúcia,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 atendimento à solicitação dessa empresa, a MJC. Assessoria Contábil apresenta a apuração dos valores referentes ao destrato do Instrumento Particular de Opção de Compra e Venda nº 07/2024, firmado em 29 de novembro de 2024 com o Sr. Fábricio Fernandes dos Santos, que tem por objeto o Lote 17 da Quadra 03 do Condomínio Rural Fazenda Laranjeiras.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apuração abaixo considera as competências efetivamente pagas pelo Promissário Comprador até a presente data, a multa rescisória de 20% prevista na Cláusula Quarta, Parágrafo Único, do contrato, bem como as demais deduções informadas por essa empresa (honorários advocatícios e débito junto à ASSOFAL), resultando no valor líquido a ser devolvido ao Promissário Comprador.</w:t>
      </w:r>
    </w:p>
    <w:p>
      <w:pPr>
        <w:shd w:fill="54649C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COMPETÊNCIAS PAGAS PELO PROMISSÁRIO COMPRADOR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200"/>
        <w:gridCol w:w="1700"/>
        <w:gridCol w:w="1472"/>
      </w:tblGrid>
      <w:tr>
        <w:trPr>
          <w:tblHeader/>
        </w:trPr>
        <w:tc>
          <w:tcPr>
            <w:tcW w:type="dxa" w:w="1900"/>
            <w:tcBorders>
              <w:top w:val="single" w:color="3D4A75" w:sz="6"/>
              <w:left w:val="single" w:color="3D4A75" w:sz="6"/>
              <w:bottom w:val="single" w:color="3D4A75" w:sz="6"/>
              <w:right w:val="single" w:color="3D4A75" w:sz="6"/>
            </w:tcBorders>
            <w:shd w:fill="3D4A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1800"/>
            <w:tcBorders>
              <w:top w:val="single" w:color="3D4A75" w:sz="6"/>
              <w:left w:val="single" w:color="3D4A75" w:sz="6"/>
              <w:bottom w:val="single" w:color="3D4A75" w:sz="6"/>
              <w:right w:val="single" w:color="3D4A75" w:sz="6"/>
            </w:tcBorders>
            <w:shd w:fill="3D4A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Nominal</w:t>
            </w:r>
          </w:p>
        </w:tc>
        <w:tc>
          <w:tcPr>
            <w:tcW w:type="dxa" w:w="2200"/>
            <w:tcBorders>
              <w:top w:val="single" w:color="3D4A75" w:sz="6"/>
              <w:left w:val="single" w:color="3D4A75" w:sz="6"/>
              <w:bottom w:val="single" w:color="3D4A75" w:sz="6"/>
              <w:right w:val="single" w:color="3D4A75" w:sz="6"/>
            </w:tcBorders>
            <w:shd w:fill="3D4A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Atualizado até 30/04/25</w:t>
            </w:r>
          </w:p>
        </w:tc>
        <w:tc>
          <w:tcPr>
            <w:tcW w:type="dxa" w:w="1700"/>
            <w:tcBorders>
              <w:top w:val="single" w:color="3D4A75" w:sz="6"/>
              <w:left w:val="single" w:color="3D4A75" w:sz="6"/>
              <w:bottom w:val="single" w:color="3D4A75" w:sz="6"/>
              <w:right w:val="single" w:color="3D4A75" w:sz="6"/>
            </w:tcBorders>
            <w:shd w:fill="3D4A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Considerado</w:t>
            </w:r>
          </w:p>
        </w:tc>
        <w:tc>
          <w:tcPr>
            <w:tcW w:type="dxa" w:w="1472"/>
            <w:tcBorders>
              <w:top w:val="single" w:color="3D4A75" w:sz="6"/>
              <w:left w:val="single" w:color="3D4A75" w:sz="6"/>
              <w:bottom w:val="single" w:color="3D4A75" w:sz="6"/>
              <w:right w:val="single" w:color="3D4A75" w:sz="6"/>
            </w:tcBorders>
            <w:shd w:fill="3D4A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Nov/2024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R$ 2.500,00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R$ 2.534,61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R$ 2.534,61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363"/>
                <w:sz w:val="20"/>
                <w:szCs w:val="20"/>
              </w:rPr>
              <w:t xml:space="preserve">Atualizado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Jan/2025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R$ 2.500,00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R$ 2.478,78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R$ 2.500,00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363"/>
                <w:sz w:val="20"/>
                <w:szCs w:val="20"/>
              </w:rPr>
              <w:t xml:space="preserve">Nominal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Fev/2025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R$ 2.500,00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R$ 2.472,10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R$ 2.500,00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363"/>
                <w:sz w:val="20"/>
                <w:szCs w:val="20"/>
              </w:rPr>
              <w:t xml:space="preserve">Nominal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Mar/2025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R$ 2.500,00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R$ 2.446,17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R$ 2.500,00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363"/>
                <w:sz w:val="20"/>
                <w:szCs w:val="20"/>
              </w:rPr>
              <w:t xml:space="preserve">Nominal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Abr/2025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R$ 2.500,00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R$ 2.454,52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R$ 2.500,00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363"/>
                <w:sz w:val="20"/>
                <w:szCs w:val="20"/>
              </w:rPr>
              <w:t xml:space="preserve">Nominal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649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PAGO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649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R$ 12.500,00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649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R$ 12.386,18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649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R$ 12.534,61</w:t>
            </w:r>
          </w:p>
        </w:tc>
        <w:tc>
          <w:tcPr>
            <w:tcW w:type="dxa" w:w="1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649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hd w:fill="54649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CÁLCULO DO DESTRATO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200"/>
        <w:gridCol w:w="2172"/>
      </w:tblGrid>
      <w:tr>
        <w:trPr>
          <w:tblHeader/>
        </w:trPr>
        <w:tc>
          <w:tcPr>
            <w:tcW w:type="dxa" w:w="4700"/>
            <w:tcBorders>
              <w:top w:val="single" w:color="3D4A75" w:sz="6"/>
              <w:left w:val="single" w:color="3D4A75" w:sz="6"/>
              <w:bottom w:val="single" w:color="3D4A75" w:sz="6"/>
              <w:right w:val="single" w:color="3D4A75" w:sz="6"/>
            </w:tcBorders>
            <w:shd w:fill="3D4A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3D4A75" w:sz="6"/>
              <w:left w:val="single" w:color="3D4A75" w:sz="6"/>
              <w:bottom w:val="single" w:color="3D4A75" w:sz="6"/>
              <w:right w:val="single" w:color="3D4A75" w:sz="6"/>
            </w:tcBorders>
            <w:shd w:fill="3D4A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Memória de Cálculo</w:t>
            </w:r>
          </w:p>
        </w:tc>
        <w:tc>
          <w:tcPr>
            <w:tcW w:type="dxa" w:w="2172"/>
            <w:tcBorders>
              <w:top w:val="single" w:color="3D4A75" w:sz="6"/>
              <w:left w:val="single" w:color="3D4A75" w:sz="6"/>
              <w:bottom w:val="single" w:color="3D4A75" w:sz="6"/>
              <w:right w:val="single" w:color="3D4A75" w:sz="6"/>
            </w:tcBorders>
            <w:shd w:fill="3D4A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(R$)</w:t>
            </w:r>
          </w:p>
        </w:tc>
      </w:tr>
      <w:t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(+) Valor pago pelo Promissário Comprador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363"/>
                <w:sz w:val="20"/>
                <w:szCs w:val="20"/>
              </w:rPr>
              <w:t xml:space="preserve">Total da Seção 1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R$ 12.534,61</w:t>
            </w:r>
          </w:p>
        </w:tc>
      </w:tr>
      <w:t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504D"/>
                <w:sz w:val="20"/>
                <w:szCs w:val="20"/>
              </w:rPr>
              <w:t xml:space="preserve">(−) Multa rescisória — 20% (Cláusula 4ª, Parágrafo Único)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363"/>
                <w:sz w:val="20"/>
                <w:szCs w:val="20"/>
              </w:rPr>
              <w:t xml:space="preserve">20% × R$ 12.534,61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504D"/>
                <w:sz w:val="20"/>
                <w:szCs w:val="20"/>
              </w:rPr>
              <w:t xml:space="preserve">(R$ 2.506,92)</w:t>
            </w:r>
          </w:p>
        </w:tc>
      </w:tr>
      <w:t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504D"/>
                <w:sz w:val="20"/>
                <w:szCs w:val="20"/>
              </w:rPr>
              <w:t xml:space="preserve">(−) Despesas com honorários advocatícios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363"/>
                <w:sz w:val="20"/>
                <w:szCs w:val="20"/>
              </w:rPr>
              <w:t xml:space="preserve">Valor fixo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504D"/>
                <w:sz w:val="20"/>
                <w:szCs w:val="20"/>
              </w:rPr>
              <w:t xml:space="preserve">(R$ 400,00)</w:t>
            </w:r>
          </w:p>
        </w:tc>
      </w:tr>
      <w:t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504D"/>
                <w:sz w:val="20"/>
                <w:szCs w:val="20"/>
              </w:rPr>
              <w:t xml:space="preserve">(−) Dívida ASSOFAL (cotas em atraso)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363"/>
                <w:sz w:val="20"/>
                <w:szCs w:val="20"/>
              </w:rPr>
              <w:t xml:space="preserve">R$ 940,69 + R$ 181,05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504D"/>
                <w:sz w:val="20"/>
                <w:szCs w:val="20"/>
              </w:rPr>
              <w:t xml:space="preserve">(R$ 1.121,74)</w:t>
            </w:r>
          </w:p>
        </w:tc>
      </w:tr>
      <w:t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(=) VALOR LÍQUIDO A SER DEVOLVIDO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E"/>
                <w:sz w:val="20"/>
                <w:szCs w:val="20"/>
              </w:rPr>
              <w:t xml:space="preserve">Pago − Multa − Honorários − ASSOFAL</w:t>
            </w:r>
          </w:p>
        </w:tc>
        <w:tc>
          <w:tcPr>
            <w:tcW w:type="dxa" w:w="2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5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R$ 8.505,95</w:t>
            </w:r>
          </w:p>
        </w:tc>
      </w:tr>
    </w:tbl>
    <w:p>
      <w:pPr>
        <w:shd w:fill="54649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CONDIÇÃO DE PAGAMENTO PROPOSTA PARA A DEVOLUÇÃO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72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Valor total a devolver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Número de parcelas</w:t>
            </w:r>
          </w:p>
        </w:tc>
        <w:tc>
          <w:tcPr>
            <w:tcW w:type="dxa" w:w="3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Valor de cada parcela mensal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4A75"/>
                <w:sz w:val="28"/>
                <w:szCs w:val="28"/>
              </w:rPr>
              <w:t xml:space="preserve">R$ 8.505,95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4A75"/>
                <w:sz w:val="28"/>
                <w:szCs w:val="28"/>
              </w:rPr>
              <w:t xml:space="preserve">5</w:t>
            </w:r>
          </w:p>
        </w:tc>
        <w:tc>
          <w:tcPr>
            <w:tcW w:type="dxa" w:w="3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5B"/>
                <w:sz w:val="28"/>
                <w:szCs w:val="28"/>
              </w:rPr>
              <w:t xml:space="preserve">R$ 1.701,19</w:t>
            </w:r>
          </w:p>
        </w:tc>
      </w:tr>
    </w:tbl>
    <w:p>
      <w:pPr>
        <w:shd w:fill="54649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OBSERVAÇÕES TÉCNICAS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A multa rescisória de 20% foi calculada sobre o valor efetivamente pago (R$ 12.534,61), em estrita observância ao previsto na Cláusula Quarta, Parágrafo Único, do contrato.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Para a competência de novembro/2024, foi considerado o valor atualizado (R$ 2.534,61), por se tratar de parcela já vencida. Para as demais competências (jan/2025 a abr/2025), foi considerado o valor nominal, uma vez que ainda não havia decorrido o período anual para aplicação do reajuste pelo IGP-M/FGV previsto no Parágrafo Primeiro da Cláusula Terceira.</w:t>
      </w:r>
    </w:p>
    <w:p>
      <w:pPr>
        <w:spacing w:after="120" w:line="3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As deduções referentes à dívida ASSOFAL (R$ 1.121,74) e honorários advocatícios (R$ 400,00) foram incluídas conforme informado por essa empresa. Recomenda-se a manutenção dos respectivos comprovantes para eventual demonstração.</w:t>
      </w:r>
    </w:p>
    <w:p>
      <w:pPr>
        <w:spacing w:after="240" w:line="3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Sugerimos a formalização do destrato por meio de Instrumento Particular de Distrato, com firma reconhecida das partes, fazendo constar expressamente a quitação mútua e a liberação do imóvel para nova negociação.</w:t>
      </w:r>
    </w:p>
    <w:p>
      <w:pPr>
        <w:spacing w:after="120" w:before="120" w:line="3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Os valores acima foram apurados com base nos dados e informações fornecidos por essa empresa e nas cláusulas contratuais. Eventuais alterações nos parâmetros (datas, deduções adicionais, condições de pagamento) implicarão nova apuração.</w:t>
      </w:r>
    </w:p>
    <w:p>
      <w:pPr>
        <w:spacing w:after="360" w:line="32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Permanecemos à disposição para esclarecimentos adicionais, ajustes nos parâmetros adotados ou elaboração do instrumento de distrato.</w:t>
      </w:r>
    </w:p>
    <w:p>
      <w:pPr>
        <w:spacing w:after="480" w:line="3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Atenciosamente,</w:t>
      </w:r>
    </w:p>
    <w:p>
      <w:pPr>
        <w:pBdr>
          <w:top w:val="single" w:color="54649C" w:sz="6" w:space="1"/>
        </w:pBdr>
        <w:spacing w:after="0"/>
        <w:jc w:val="left"/>
      </w:pPr>
      <w:r>
        <w:t xml:space="preserve"/>
      </w:r>
    </w:p>
    <w:p>
      <w:pPr>
        <w:spacing w:after="0" w:before="60"/>
        <w:jc w:val="left"/>
      </w:pPr>
      <w:r>
        <w:rPr>
          <w:rFonts w:ascii="Arial" w:cs="Arial" w:eastAsia="Arial" w:hAnsi="Arial"/>
          <w:b/>
          <w:bCs/>
          <w:color w:val="3D4A75"/>
          <w:sz w:val="22"/>
          <w:szCs w:val="22"/>
        </w:rPr>
        <w:t xml:space="preserve">MJC. ASSESSORIA CONTÁBIL</w:t>
      </w:r>
    </w:p>
    <w:p>
      <w:pPr>
        <w:spacing w:after="0"/>
        <w:jc w:val="left"/>
      </w:pPr>
      <w:r>
        <w:rPr>
          <w:rFonts w:ascii="Arial" w:cs="Arial" w:eastAsia="Arial" w:hAnsi="Arial"/>
          <w:color w:val="636363"/>
          <w:sz w:val="20"/>
          <w:szCs w:val="20"/>
        </w:rPr>
        <w:t xml:space="preserve">Departamento Financeiro / Contábil</w:t>
      </w:r>
    </w:p>
    <w:sectPr>
      <w:footerReference w:type="default" r:id="rId7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4649C" w:sz="4" w:space="4"/>
      </w:pBdr>
      <w:spacing w:after="0" w:before="120"/>
      <w:jc w:val="center"/>
    </w:pPr>
    <w:r>
      <w:rPr>
        <w:rFonts w:ascii="Arial" w:cs="Arial" w:eastAsia="Arial" w:hAnsi="Arial"/>
        <w:b/>
        <w:bCs/>
        <w:color w:val="3D4A75"/>
        <w:sz w:val="16"/>
        <w:szCs w:val="16"/>
      </w:rPr>
      <w:t xml:space="preserve">MJC. Assessoria Contábil</w:t>
    </w:r>
    <w:r>
      <w:rPr>
        <w:rFonts w:ascii="Arial" w:cs="Arial" w:eastAsia="Arial" w:hAnsi="Arial"/>
        <w:color w:val="636363"/>
        <w:sz w:val="16"/>
        <w:szCs w:val="16"/>
      </w:rPr>
      <w:t xml:space="preserve">  ·  R. Prof. Marciano Taô, 399 — Santa Luzia, Sete Lagoas/MG  ·  (31) 3773-6962  ·  financeiro@mjcassessoria.com.br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b46c4cb8b796f0898f424fc6bb2c2d400ab5b8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2026-05-22T13:35:34.241Z</dcterms:created>
  <dcterms:modified xsi:type="dcterms:W3CDTF">2026-05-22T13:35:34.241Z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