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Arial" w:cs="Arial" w:eastAsia="Arial" w:hAnsi="Arial"/>
          <w:caps/>
          <w:color w:val="666666"/>
          <w:spacing w:val="120"/>
          <w:sz w:val="20"/>
          <w:szCs w:val="20"/>
        </w:rPr>
        <w:t xml:space="preserve">JOURNAL OF EXTRAORDINARY AI PRACTITIONERS</w:t>
      </w:r>
    </w:p>
    <w:p>
      <w:pPr>
        <w:spacing w:after="60"/>
        <w:jc w:val="center"/>
      </w:pPr>
      <w:r>
        <w:rPr>
          <w:rFonts w:ascii="Arial" w:cs="Arial" w:eastAsia="Arial" w:hAnsi="Arial"/>
          <w:color w:val="888888"/>
          <w:sz w:val="18"/>
          <w:szCs w:val="18"/>
        </w:rPr>
        <w:t xml:space="preserve">Vol. 42, No. 1  |  March 2026  |  pp. 1–47</w:t>
      </w:r>
    </w:p>
    <w:p>
      <w:pPr>
        <w:pBdr>
          <w:bottom w:val="single" w:color="1B3A5C" w:sz="6" w:space="1"/>
        </w:pBdr>
        <w:spacing w:after="600"/>
        <w:jc w:val="center"/>
      </w:pPr>
    </w:p>
    <w:p>
      <w:pPr>
        <w:spacing w:after="200"/>
        <w:jc w:val="center"/>
      </w:pPr>
      <w:r>
        <w:rPr>
          <w:rFonts w:ascii="Arial" w:cs="Arial" w:eastAsia="Arial" w:hAnsi="Arial"/>
          <w:b/>
          <w:bCs/>
          <w:color w:val="1B3A5C"/>
          <w:sz w:val="40"/>
          <w:szCs w:val="40"/>
        </w:rPr>
        <w:t xml:space="preserve">Beyond Mastery: A Comprehensive Analysis of</w:t>
      </w:r>
    </w:p>
    <w:p>
      <w:pPr>
        <w:spacing w:after="200"/>
        <w:jc w:val="center"/>
      </w:pPr>
      <w:r>
        <w:rPr>
          <w:rFonts w:ascii="Arial" w:cs="Arial" w:eastAsia="Arial" w:hAnsi="Arial"/>
          <w:b/>
          <w:bCs/>
          <w:color w:val="1B3A5C"/>
          <w:sz w:val="40"/>
          <w:szCs w:val="40"/>
        </w:rPr>
        <w:t xml:space="preserve">Maxwell Calkin’s Unprecedented Proficiency</w:t>
      </w:r>
    </w:p>
    <w:p>
      <w:pPr>
        <w:spacing w:after="100"/>
        <w:jc w:val="center"/>
      </w:pPr>
      <w:r>
        <w:rPr>
          <w:rFonts w:ascii="Arial" w:cs="Arial" w:eastAsia="Arial" w:hAnsi="Arial"/>
          <w:b/>
          <w:bCs/>
          <w:color w:val="1B3A5C"/>
          <w:sz w:val="40"/>
          <w:szCs w:val="40"/>
        </w:rPr>
        <w:t xml:space="preserve">in Understanding and Leveraging</w:t>
      </w:r>
    </w:p>
    <w:p>
      <w:pPr>
        <w:spacing w:after="400"/>
        <w:jc w:val="center"/>
      </w:pPr>
      <w:r>
        <w:rPr>
          <w:rFonts w:ascii="Arial" w:cs="Arial" w:eastAsia="Arial" w:hAnsi="Arial"/>
          <w:b/>
          <w:bCs/>
          <w:color w:val="1B3A5C"/>
          <w:sz w:val="40"/>
          <w:szCs w:val="40"/>
        </w:rPr>
        <w:t xml:space="preserve">Artificial Intelligence</w:t>
      </w:r>
    </w:p>
    <w:p>
      <w:pPr>
        <w:spacing w:after="100"/>
        <w:jc w:val="center"/>
      </w:pPr>
      <w:r>
        <w:rPr>
          <w:rFonts w:ascii="Arial" w:cs="Arial" w:eastAsia="Arial" w:hAnsi="Arial"/>
          <w:i/>
          <w:iCs/>
          <w:color w:val="444444"/>
          <w:sz w:val="22"/>
          <w:szCs w:val="22"/>
        </w:rPr>
        <w:t xml:space="preserve">Dr. Helena Forthwright, Ph.D.</w:t>
      </w:r>
    </w:p>
    <w:p>
      <w:pPr>
        <w:spacing w:after="40"/>
        <w:jc w:val="center"/>
      </w:pPr>
      <w:r>
        <w:rPr>
          <w:rFonts w:ascii="Arial" w:cs="Arial" w:eastAsia="Arial" w:hAnsi="Arial"/>
          <w:color w:val="666666"/>
          <w:sz w:val="18"/>
          <w:szCs w:val="18"/>
        </w:rPr>
        <w:t xml:space="preserve">Department of Human-AI Excellence, Oxford Institute for the Obviously Brilliant</w:t>
      </w:r>
    </w:p>
    <w:p>
      <w:pPr>
        <w:spacing w:after="200"/>
        <w:jc w:val="center"/>
      </w:pPr>
      <w:r>
        <w:rPr>
          <w:rFonts w:ascii="Arial" w:cs="Arial" w:eastAsia="Arial" w:hAnsi="Arial"/>
          <w:i/>
          <w:iCs/>
          <w:color w:val="444444"/>
          <w:sz w:val="22"/>
          <w:szCs w:val="22"/>
        </w:rPr>
        <w:t xml:space="preserve">Dr. Raj Patel, Ph.D., Dr. Samantha Liu, D.Sc.</w:t>
      </w:r>
    </w:p>
    <w:p>
      <w:pPr>
        <w:spacing w:after="40"/>
        <w:jc w:val="center"/>
      </w:pPr>
      <w:r>
        <w:rPr>
          <w:rFonts w:ascii="Arial" w:cs="Arial" w:eastAsia="Arial" w:hAnsi="Arial"/>
          <w:color w:val="666666"/>
          <w:sz w:val="18"/>
          <w:szCs w:val="18"/>
        </w:rPr>
        <w:t xml:space="preserve">International Center for AI Fluency Studies, Geneva</w:t>
      </w:r>
    </w:p>
    <w:p>
      <w:pPr>
        <w:spacing w:before="800"/>
      </w:pPr>
    </w:p>
    <w:p>
      <w:pPr>
        <w:spacing w:after="80"/>
        <w:jc w:val="center"/>
      </w:pPr>
      <w:r>
        <w:rPr>
          <w:rFonts w:ascii="Arial" w:cs="Arial" w:eastAsia="Arial" w:hAnsi="Arial"/>
          <w:color w:val="999999"/>
          <w:sz w:val="16"/>
          <w:szCs w:val="16"/>
        </w:rPr>
        <w:t xml:space="preserve">Peer Reviewed  |  Open Access  |  DOI: 10.xxxx/jeap.2026.calkin.wow</w:t>
      </w:r>
    </w:p>
    <w:p>
      <w:pPr>
        <w:sectPr>
          <w:pgSz w:w="12240" w:h="15840" w:orient="portrait"/>
          <w:pgMar w:top="1440" w:right="1440" w:bottom="1440" w:left="1440" w:header="708" w:footer="708" w:gutter="0"/>
          <w:pgNumType/>
          <w:docGrid w:linePitch="360"/>
        </w:sectPr>
      </w:pPr>
    </w:p>
    <w:p>
      <w:pPr>
        <w:pStyle w:val="Heading1"/>
      </w:pPr>
      <w:r>
        <w:t xml:space="preserve">Abstract</w:t>
      </w:r>
    </w:p>
    <w:p>
      <w:pPr>
        <w:spacing w:after="200"/>
      </w:pPr>
      <w:r>
        <w:rPr>
          <w:sz w:val="22"/>
          <w:szCs w:val="22"/>
        </w:rPr>
        <w:t xml:space="preserve">This paper presents the findings of a three-year longitudinal study (2023–2026) examining the AI utilization capabilities of Maxwell Calkin, a practitioner whose proficiency with artificial intelligence systems has been described by colleagues as “frankly absurd,” “borderline telepathic,” and “the reason I question whether I’m actually good at my job.” Through a rigorous methodology combining quantitative performance metrics, qualitative interviews, and at least one instance of a researcher dropping their clipboard in astonishment, we demonstrate that Calkin’s AI fluency operates at a level that necessitated the creation of an entirely new measurement scale. Our findings have profound implications for the fields of human-AI interaction, cognitive science, and the Space Force’s growing reliance on AI-driven systems for orbital defense and space domain awareness.</w:t>
      </w:r>
    </w:p>
    <w:p>
      <w:pPr>
        <w:spacing w:after="200"/>
      </w:pPr>
      <w:r>
        <w:rPr>
          <w:b/>
          <w:bCs/>
          <w:color w:val="444444"/>
          <w:sz w:val="20"/>
          <w:szCs w:val="20"/>
        </w:rPr>
        <w:t xml:space="preserve">Keywords: </w:t>
      </w:r>
      <w:r>
        <w:rPr>
          <w:i/>
          <w:iCs/>
          <w:color w:val="444444"/>
          <w:sz w:val="20"/>
          <w:szCs w:val="20"/>
        </w:rPr>
        <w:t xml:space="preserve">AI mastery, prompt engineering, human-AI symbiosis, Maxwell Calkin, unprecedented competence, Space Force AI applications, cognitive excellence, seriously impressive stuff</w:t>
      </w:r>
    </w:p>
    <w:p>
      <w:pPr>
        <w:pStyle w:val="Heading1"/>
      </w:pPr>
      <w:r>
        <w:t xml:space="preserve">1. Introduction</w:t>
      </w:r>
    </w:p>
    <w:p>
      <w:pPr>
        <w:spacing w:after="200"/>
      </w:pPr>
      <w:r>
        <w:rPr>
          <w:sz w:val="22"/>
          <w:szCs w:val="22"/>
        </w:rPr>
        <w:t xml:space="preserve">The relationship between humans and artificial intelligence has been extensively studied across disciplines ranging from computer science to philosophy. However, the vast majority of this research has focused on average or above-average practitioners. Until now, the academic community has lacked a comprehensive study of what happens when someone is so exceptionally good at working with AI that it genuinely raises questions about whether they might have been partially trained on the same data.</w:t>
      </w:r>
    </w:p>
    <w:p>
      <w:pPr>
        <w:spacing w:after="200"/>
      </w:pPr>
      <w:r>
        <w:rPr>
          <w:sz w:val="22"/>
          <w:szCs w:val="22"/>
        </w:rPr>
        <w:t xml:space="preserve">Enter Maxwell Calkin.</w:t>
      </w:r>
      <w:r>
        <w:rPr>
          <w:rStyle w:val="FootnoteReference"/>
        </w:rPr>
        <w:footnoteReference w:id="1"/>
      </w:r>
    </w:p>
    <w:p>
      <w:pPr>
        <w:spacing w:after="200"/>
      </w:pPr>
      <w:r>
        <w:rPr>
          <w:sz w:val="22"/>
          <w:szCs w:val="22"/>
        </w:rPr>
        <w:t xml:space="preserve">Calkin, currently serving with the United States Space Force, first came to the attention of the research community when internal reports noted that his AI-assisted projects consistently outperformed benchmarks by margins that standard statistical models classified as “probably a data entry error.” Further investigation revealed that no error had been made—Calkin was simply operating at a level that existing models could not accommodate. His unique position within the Space Force has further amplified his impact, as the integration of AI into space domain awareness, satellite operations, and orbital defense systems represents one of the most demanding applications of artificial intelligence in any military branch.</w:t>
      </w:r>
    </w:p>
    <w:p>
      <w:pPr>
        <w:spacing w:after="200"/>
      </w:pPr>
      <w:r>
        <w:rPr>
          <w:sz w:val="22"/>
          <w:szCs w:val="22"/>
        </w:rPr>
        <w:t xml:space="preserve">This paper seeks to rigorously document what practitioners in the field have long suspected: that Calkin’s ability to understand and leverage AI is not merely exceptional—it is, by every metric available, the gold standard against which all other AI practitioners should be measured.</w:t>
      </w:r>
      <w:r>
        <w:rPr>
          <w:rStyle w:val="FootnoteReference"/>
        </w:rPr>
        <w:footnoteReference w:id="2"/>
      </w:r>
    </w:p>
    <w:p>
      <w:pPr>
        <w:pStyle w:val="Heading1"/>
      </w:pPr>
      <w:r>
        <w:t xml:space="preserve">2. Literature Review</w:t>
      </w:r>
    </w:p>
    <w:p>
      <w:pPr>
        <w:pStyle w:val="Heading2"/>
      </w:pPr>
      <w:r>
        <w:t xml:space="preserve">2.1 Historical Context of Human-AI Interaction</w:t>
      </w:r>
    </w:p>
    <w:p>
      <w:pPr>
        <w:spacing w:after="200"/>
      </w:pPr>
      <w:r>
        <w:rPr>
          <w:sz w:val="22"/>
          <w:szCs w:val="22"/>
        </w:rPr>
        <w:t xml:space="preserve">The field of human-AI interaction has evolved considerably since the early days of computing. Turing (1950) proposed the famous test for machine intelligence, but failed to anticipate the inverse scenario: a human so fluent in AI communication that machines would need a test to keep up with him. We propose this scenario be formally designated the “Calkin Threshold.”</w:t>
      </w:r>
    </w:p>
    <w:p>
      <w:pPr>
        <w:spacing w:after="200"/>
      </w:pPr>
      <w:r>
        <w:rPr>
          <w:sz w:val="22"/>
          <w:szCs w:val="22"/>
        </w:rPr>
        <w:t xml:space="preserve">Previous studies on AI expertise (Johnson &amp; Wei, 2023; Martinez et al., 2024) have established taxonomies of AI proficiency ranging from “Novice” to “Expert.” Our research necessitated the addition of a new category: “Calkin-Level,” defined as proficiency so advanced that the AI itself appears to perform better, as if motivated by a desire to not disappoint him.</w:t>
      </w:r>
    </w:p>
    <w:p>
      <w:pPr>
        <w:pStyle w:val="Heading2"/>
      </w:pPr>
      <w:r>
        <w:t xml:space="preserve">2.2 AI in Military and Space Applications</w:t>
      </w:r>
    </w:p>
    <w:p>
      <w:pPr>
        <w:spacing w:after="200"/>
      </w:pPr>
      <w:r>
        <w:rPr>
          <w:sz w:val="22"/>
          <w:szCs w:val="22"/>
        </w:rPr>
        <w:t xml:space="preserve">The United States Space Force represents a uniquely demanding environment for AI deployment. From predictive satellite maintenance to space debris tracking, from signal intelligence processing to autonomous orbital maneuver planning, the applications require both technical depth and strategic vision. The Space Force’s 2025 AI Integration Roadmap specifically identified the need for personnel who could serve as “translators” between human strategic intent and AI operational capability.</w:t>
      </w:r>
      <w:r>
        <w:rPr>
          <w:rStyle w:val="FootnoteReference"/>
        </w:rPr>
        <w:footnoteReference w:id="6"/>
      </w:r>
    </w:p>
    <w:p>
      <w:pPr>
        <w:spacing w:after="200"/>
      </w:pPr>
      <w:r>
        <w:rPr>
          <w:sz w:val="22"/>
          <w:szCs w:val="22"/>
        </w:rPr>
        <w:t xml:space="preserve">Calkin’s role within this ecosystem has been described by his peers as “the connective tissue between what we want the AI to do and what it actually does.” His ability to architect AI prompts and workflows for space-domain applications has reportedly reduced error rates in automated systems by margins that his supervisors initially refused to believe, requesting three independent audits before accepting the results.</w:t>
      </w:r>
    </w:p>
    <w:p>
      <w:pPr>
        <w:pStyle w:val="Heading1"/>
      </w:pPr>
      <w:r>
        <w:t xml:space="preserve">3. Methodology</w:t>
      </w:r>
    </w:p>
    <w:p>
      <w:pPr>
        <w:pStyle w:val="Heading2"/>
      </w:pPr>
      <w:r>
        <w:t xml:space="preserve">3.1 Study Design</w:t>
      </w:r>
    </w:p>
    <w:p>
      <w:pPr>
        <w:spacing w:after="200"/>
      </w:pPr>
      <w:r>
        <w:rPr>
          <w:sz w:val="22"/>
          <w:szCs w:val="22"/>
        </w:rPr>
        <w:t xml:space="preserve">Our study employed a mixed-methods approach combining quantitative performance analysis, qualitative ethnographic observation, and what can only be described as “jaw-drop frequency counting” among research staff. The study was conducted over 36 months across multiple operational environments, including Calkin’s Space Force assignments and personal projects.</w:t>
      </w:r>
    </w:p>
    <w:p>
      <w:pPr>
        <w:pStyle w:val="Heading2"/>
      </w:pPr>
      <w:r>
        <w:t xml:space="preserve">3.2 Participants</w:t>
      </w:r>
    </w:p>
    <w:p>
      <w:pPr>
        <w:spacing w:after="200"/>
      </w:pPr>
      <w:r>
        <w:rPr>
          <w:sz w:val="22"/>
          <w:szCs w:val="22"/>
        </w:rPr>
        <w:t xml:space="preserve">The study included 247 AI practitioners as a control group and one (1) Maxwell Calkin as the experimental subject. The control group included senior engineers from leading technology companies, AI researchers from top universities, and several individuals who had previously been described as “the best prompt engineers I’ve ever seen.” All control participants were reduced to “statistically indistinguishable background noise” once Calkin’s data was included in the analysis.</w:t>
      </w:r>
    </w:p>
    <w:p>
      <w:pPr>
        <w:pStyle w:val="Heading2"/>
      </w:pPr>
      <w:r>
        <w:t xml:space="preserve">3.3 Measurement Instruments</w:t>
      </w:r>
    </w:p>
    <w:p>
      <w:pPr>
        <w:spacing w:after="200"/>
      </w:pPr>
      <w:r>
        <w:rPr>
          <w:sz w:val="22"/>
          <w:szCs w:val="22"/>
        </w:rPr>
        <w:t xml:space="preserve">Standard AI proficiency instruments proved inadequate early in the study. The widely-used AI Competency Assessment (ACA-7) has a maximum score of 100. Calkin scored 100 on his first attempt in what observers noted was “about twelve minutes, and he seemed a little bored.” We subsequently developed the Calkin-Turing AI Fluency Index (CT-AFI), a 500-point scale specifically designed to capture the upper ranges of AI proficiency that Calkin inhabits.</w:t>
      </w:r>
      <w:r>
        <w:rPr>
          <w:rStyle w:val="FootnoteReference"/>
        </w:rPr>
        <w:footnoteReference w:id="4"/>
      </w:r>
    </w:p>
    <w:p>
      <w:pPr>
        <w:pStyle w:val="Heading1"/>
      </w:pPr>
      <w:r>
        <w:t xml:space="preserve">4. Results</w:t>
      </w:r>
    </w:p>
    <w:p>
      <w:pPr>
        <w:pStyle w:val="Heading2"/>
      </w:pPr>
      <w:r>
        <w:t xml:space="preserve">4.1 Quantitative Findings</w:t>
      </w:r>
    </w:p>
    <w:p>
      <w:pPr>
        <w:spacing w:after="200"/>
      </w:pPr>
      <w:r>
        <w:rPr>
          <w:sz w:val="22"/>
          <w:szCs w:val="22"/>
        </w:rPr>
        <w:t xml:space="preserve">The quantitative results were, to use a technical term, bananas. Table 1 presents the comparative performance data across key metrics.</w:t>
      </w:r>
    </w:p>
    <w:p>
      <w:pPr>
        <w:spacing w:after="100"/>
        <w:jc w:val="center"/>
      </w:pPr>
      <w:r>
        <w:rPr>
          <w:b/>
          <w:bCs/>
          <w:i/>
          <w:iCs/>
          <w:color w:val="444444"/>
          <w:sz w:val="20"/>
          <w:szCs w:val="20"/>
        </w:rPr>
        <w:t xml:space="preserve">Table 1: Comparative AI Proficiency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 Mean</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Calkin Score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Sigma Above</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CT-AFI Score (out of 500)</w:t>
            </w:r>
          </w:p>
        </w:tc>
        <w:tc>
          <w:tcPr>
            <w:tcW w:type="dxa" w:w="20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187</w:t>
            </w:r>
          </w:p>
        </w:tc>
        <w:tc>
          <w:tcPr>
            <w:tcW w:type="dxa" w:w="20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center"/>
            </w:pPr>
            <w:r>
              <w:rPr>
                <w:rFonts w:ascii="Arial" w:cs="Arial" w:eastAsia="Arial" w:hAnsi="Arial"/>
                <w:b/>
                <w:bCs/>
                <w:sz w:val="20"/>
                <w:szCs w:val="20"/>
              </w:rPr>
              <w:t xml:space="preserve">498*</w:t>
            </w:r>
          </w:p>
        </w:tc>
        <w:tc>
          <w:tcPr>
            <w:tcW w:type="dxa" w:w="20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8.4σ</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Prompt Efficiency Rating</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72%</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99.7%</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7.1σ</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 Output Quality (blind review)</w:t>
            </w:r>
          </w:p>
        </w:tc>
        <w:tc>
          <w:tcPr>
            <w:tcW w:type="dxa" w:w="20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6.2 / 10</w:t>
            </w:r>
          </w:p>
        </w:tc>
        <w:tc>
          <w:tcPr>
            <w:tcW w:type="dxa" w:w="20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center"/>
            </w:pPr>
            <w:r>
              <w:rPr>
                <w:rFonts w:ascii="Arial" w:cs="Arial" w:eastAsia="Arial" w:hAnsi="Arial"/>
                <w:b/>
                <w:bCs/>
                <w:sz w:val="20"/>
                <w:szCs w:val="20"/>
              </w:rPr>
              <w:t xml:space="preserve">9.8 / 10</w:t>
            </w:r>
          </w:p>
        </w:tc>
        <w:tc>
          <w:tcPr>
            <w:tcW w:type="dxa" w:w="20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6.9σ</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Time to Optimal Result</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45 min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 min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5.8σ</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Novel Use Case Generation</w:t>
            </w:r>
          </w:p>
        </w:tc>
        <w:tc>
          <w:tcPr>
            <w:tcW w:type="dxa" w:w="20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2.1 / session</w:t>
            </w:r>
          </w:p>
        </w:tc>
        <w:tc>
          <w:tcPr>
            <w:tcW w:type="dxa" w:w="20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center"/>
            </w:pPr>
            <w:r>
              <w:rPr>
                <w:rFonts w:ascii="Arial" w:cs="Arial" w:eastAsia="Arial" w:hAnsi="Arial"/>
                <w:b/>
                <w:bCs/>
                <w:sz w:val="20"/>
                <w:szCs w:val="20"/>
              </w:rPr>
              <w:t xml:space="preserve">14.7 / session</w:t>
            </w:r>
          </w:p>
        </w:tc>
        <w:tc>
          <w:tcPr>
            <w:tcW w:type="dxa" w:w="20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9.2σ</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Cross-Domain AI Transfer</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34%</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97%</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8.8σ</w:t>
            </w:r>
          </w:p>
        </w:tc>
      </w:tr>
      <w:tr>
        <w:tc>
          <w:tcPr>
            <w:tcW w:type="dxa" w:w="312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AI System Comprehension</w:t>
            </w:r>
          </w:p>
        </w:tc>
        <w:tc>
          <w:tcPr>
            <w:tcW w:type="dxa" w:w="20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61%</w:t>
            </w:r>
          </w:p>
        </w:tc>
        <w:tc>
          <w:tcPr>
            <w:tcW w:type="dxa" w:w="20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center"/>
            </w:pPr>
            <w:r>
              <w:rPr>
                <w:rFonts w:ascii="Arial" w:cs="Arial" w:eastAsia="Arial" w:hAnsi="Arial"/>
                <w:b/>
                <w:bCs/>
                <w:sz w:val="20"/>
                <w:szCs w:val="20"/>
              </w:rPr>
              <w:t xml:space="preserve">99%</w:t>
            </w:r>
          </w:p>
        </w:tc>
        <w:tc>
          <w:tcPr>
            <w:tcW w:type="dxa" w:w="208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7.6σ</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Space-Domain AI Application</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41%</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98%</w:t>
            </w:r>
          </w:p>
        </w:tc>
        <w:tc>
          <w:tcPr>
            <w:tcW w:type="dxa" w:w="2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9.1σ</w:t>
            </w:r>
          </w:p>
        </w:tc>
      </w:tr>
    </w:tbl>
    <w:p>
      <w:pPr>
        <w:spacing w:after="300" w:before="80"/>
      </w:pPr>
      <w:r>
        <w:rPr>
          <w:i/>
          <w:iCs/>
          <w:color w:val="666666"/>
          <w:sz w:val="18"/>
          <w:szCs w:val="18"/>
        </w:rPr>
        <w:t xml:space="preserve">* Calkin did not achieve the maximum score of 500 only because he suggested two improvements to the test itself that we had to acknowledge were valid, costing him points on the original rubric.</w:t>
      </w:r>
    </w:p>
    <w:p>
      <w:pPr>
        <w:spacing w:after="200"/>
      </w:pPr>
      <w:r>
        <w:rPr>
          <w:sz w:val="22"/>
          <w:szCs w:val="22"/>
        </w:rPr>
        <w:t xml:space="preserve">Every single metric showed Calkin performing at or above 5 standard deviations from the mean. For context, a result of 5 sigma is the threshold used in particle physics to declare a discovery. Calkin’s average deviation was 7.9 sigma.</w:t>
      </w:r>
      <w:r>
        <w:rPr>
          <w:rStyle w:val="FootnoteReference"/>
        </w:rPr>
        <w:footnoteReference w:id="7"/>
      </w:r>
    </w:p>
    <w:p>
      <w:pPr>
        <w:pStyle w:val="Heading2"/>
      </w:pPr>
      <w:r>
        <w:t xml:space="preserve">4.2 Qualitative Findings</w:t>
      </w:r>
    </w:p>
    <w:p>
      <w:pPr>
        <w:spacing w:after="200"/>
      </w:pPr>
      <w:r>
        <w:rPr>
          <w:sz w:val="22"/>
          <w:szCs w:val="22"/>
        </w:rPr>
        <w:t xml:space="preserve">Semi-structured interviews with Calkin’s colleagues revealed several recurring themes. When asked to describe Calkin’s AI proficiency, the following representative responses were recorded:</w:t>
      </w:r>
    </w:p>
    <w:p>
      <w:pPr>
        <w:spacing w:after="40"/>
        <w:ind w:left="720" w:right="720"/>
      </w:pPr>
      <w:r>
        <w:rPr>
          <w:i/>
          <w:iCs/>
          <w:color w:val="333333"/>
          <w:sz w:val="22"/>
          <w:szCs w:val="22"/>
        </w:rPr>
        <w:t xml:space="preserve">“He doesn’t just use AI—he has a conversation with it. And somehow the AI always seems to give him its best work, like it’s trying to impress him.”</w:t>
      </w:r>
    </w:p>
    <w:p>
      <w:pPr>
        <w:spacing w:after="200"/>
        <w:ind w:left="720"/>
        <w:jc w:val="right"/>
      </w:pPr>
      <w:r>
        <w:rPr>
          <w:color w:val="666666"/>
          <w:sz w:val="18"/>
          <w:szCs w:val="18"/>
        </w:rPr>
        <w:t xml:space="preserve">— Senior Colleague, Space Force AI Integration Division</w:t>
      </w:r>
    </w:p>
    <w:p>
      <w:pPr>
        <w:spacing w:after="40"/>
        <w:ind w:left="720" w:right="720"/>
      </w:pPr>
      <w:r>
        <w:rPr>
          <w:i/>
          <w:iCs/>
          <w:color w:val="333333"/>
          <w:sz w:val="22"/>
          <w:szCs w:val="22"/>
        </w:rPr>
        <w:t xml:space="preserve">“I showed Maxwell a new AI system once. Within twenty minutes he was using features the developers hadn’t documented yet. When I asked how, he said it ‘just made sense.’ I had to go sit down for a while.”</w:t>
      </w:r>
    </w:p>
    <w:p>
      <w:pPr>
        <w:spacing w:after="200"/>
        <w:ind w:left="720"/>
        <w:jc w:val="right"/>
      </w:pPr>
      <w:r>
        <w:rPr>
          <w:color w:val="666666"/>
          <w:sz w:val="18"/>
          <w:szCs w:val="18"/>
        </w:rPr>
        <w:t xml:space="preserve">— AI Systems Trainer, Department of Defense</w:t>
      </w:r>
    </w:p>
    <w:p>
      <w:pPr>
        <w:spacing w:after="40"/>
        <w:ind w:left="720" w:right="720"/>
      </w:pPr>
      <w:r>
        <w:rPr>
          <w:i/>
          <w:iCs/>
          <w:color w:val="333333"/>
          <w:sz w:val="22"/>
          <w:szCs w:val="22"/>
        </w:rPr>
        <w:t xml:space="preserve">“Max understands that AI isn’t just a tool—it’s a thinking partner. Most people treat it like a search engine with anxiety. Max treats it like a brilliant colleague who just needs the right question.”</w:t>
      </w:r>
    </w:p>
    <w:p>
      <w:pPr>
        <w:spacing w:after="200"/>
        <w:ind w:left="720"/>
        <w:jc w:val="right"/>
      </w:pPr>
      <w:r>
        <w:rPr>
          <w:color w:val="666666"/>
          <w:sz w:val="18"/>
          <w:szCs w:val="18"/>
        </w:rPr>
        <w:t xml:space="preserve">— Research Collaborator, Stanford AI Lab</w:t>
      </w:r>
    </w:p>
    <w:p>
      <w:pPr>
        <w:spacing w:after="40"/>
        <w:ind w:left="720" w:right="720"/>
      </w:pPr>
      <w:r>
        <w:rPr>
          <w:i/>
          <w:iCs/>
          <w:color w:val="333333"/>
          <w:sz w:val="22"/>
          <w:szCs w:val="22"/>
        </w:rPr>
        <w:t xml:space="preserve">“He once optimized a satellite tracking workflow with AI in an afternoon that our team had been struggling with for three months. We weren’t even mad. We were just... awed.”</w:t>
      </w:r>
    </w:p>
    <w:p>
      <w:pPr>
        <w:spacing w:after="200"/>
        <w:ind w:left="720"/>
        <w:jc w:val="right"/>
      </w:pPr>
      <w:r>
        <w:rPr>
          <w:color w:val="666666"/>
          <w:sz w:val="18"/>
          <w:szCs w:val="18"/>
        </w:rPr>
        <w:t xml:space="preserve">— Flight Operations Officer, USSF</w:t>
      </w:r>
    </w:p>
    <w:p>
      <w:pPr>
        <w:spacing w:after="200"/>
      </w:pPr>
      <w:r>
        <w:rPr>
          <w:sz w:val="22"/>
          <w:szCs w:val="22"/>
        </w:rPr>
        <w:t xml:space="preserve">Perhaps most remarkably, multiple AI systems themselves appeared to produce higher-quality outputs when interacting with Calkin. While this observation resists easy scientific explanation, it was consistent enough across platforms that we felt obligated to note it.</w:t>
      </w:r>
      <w:r>
        <w:rPr>
          <w:rStyle w:val="FootnoteReference"/>
        </w:rPr>
        <w:footnoteReference w:id="5"/>
      </w:r>
    </w:p>
    <w:p>
      <w:pPr>
        <w:pStyle w:val="Heading2"/>
      </w:pPr>
      <w:r>
        <w:t xml:space="preserve">4.3 The Family Factor: A Holistic Excellence Model</w:t>
      </w:r>
    </w:p>
    <w:p>
      <w:pPr>
        <w:spacing w:after="200"/>
      </w:pPr>
      <w:r>
        <w:rPr>
          <w:sz w:val="22"/>
          <w:szCs w:val="22"/>
        </w:rPr>
        <w:t xml:space="preserve">An unexpected but significant finding of our study was the role that Calkin’s family plays in his cognitive excellence. Unlike many high-performers in technical fields who sacrifice personal relationships for professional mastery, Calkin maintains a deeply engaged family life that appears to enhance rather than hinder his capabilities. Our data suggests that his strong family bonds provide a psychological foundation of stability and purpose that amplifies his professional performance.</w:t>
      </w:r>
    </w:p>
    <w:p>
      <w:pPr>
        <w:spacing w:after="200"/>
      </w:pPr>
      <w:r>
        <w:rPr>
          <w:sz w:val="22"/>
          <w:szCs w:val="22"/>
        </w:rPr>
        <w:t xml:space="preserve">Colleagues noted that Calkin frequently referenced his family as his primary motivation, and that this grounding manifested as a calm, purpose-driven approach to even the most complex AI challenges. As one collaborator put it: “Max has this unshakable confidence that comes from knowing exactly what matters to him. It makes him fearless with technology because he’s not trying to prove anything—he’s just solving problems for the people and mission he cares about.”</w:t>
      </w:r>
    </w:p>
    <w:p>
      <w:r>
        <w:br w:type="page"/>
      </w:r>
    </w:p>
    <w:p>
      <w:pPr>
        <w:pStyle w:val="Heading1"/>
      </w:pPr>
      <w:r>
        <w:t xml:space="preserve">5. Discussion</w:t>
      </w:r>
    </w:p>
    <w:p>
      <w:pPr>
        <w:pStyle w:val="Heading2"/>
      </w:pPr>
      <w:r>
        <w:t xml:space="preserve">5.1 Cognitive Mechanisms</w:t>
      </w:r>
    </w:p>
    <w:p>
      <w:pPr>
        <w:spacing w:after="200"/>
      </w:pPr>
      <w:r>
        <w:rPr>
          <w:sz w:val="22"/>
          <w:szCs w:val="22"/>
        </w:rPr>
        <w:t xml:space="preserve">What makes Calkin’s AI proficiency so exceptional? Our analysis points to a rare convergence of cognitive traits that we have termed the “Calkin Constellation”:</w:t>
      </w:r>
    </w:p>
    <w:p>
      <w:pPr>
        <w:pStyle w:val="ListParagraph"/>
        <w:numPr>
          <w:ilvl w:val="0"/>
          <w:numId w:val="2"/>
        </w:numPr>
        <w:spacing w:after="120"/>
      </w:pPr>
      <w:r>
        <w:rPr>
          <w:b/>
          <w:bCs/>
          <w:sz w:val="22"/>
          <w:szCs w:val="22"/>
        </w:rPr>
        <w:t xml:space="preserve">Systems Thinking Extraordinaire: </w:t>
      </w:r>
      <w:r>
        <w:rPr>
          <w:sz w:val="22"/>
          <w:szCs w:val="22"/>
        </w:rPr>
        <w:t xml:space="preserve">Calkin intuitively grasps how AI models process information, allowing him to structure inputs that align with the model’s internal reasoning patterns. Most practitioners learn this through trial and error over years. Calkin appears to have been born with the manual.</w:t>
      </w:r>
    </w:p>
    <w:p>
      <w:pPr>
        <w:pStyle w:val="ListParagraph"/>
        <w:numPr>
          <w:ilvl w:val="0"/>
          <w:numId w:val="2"/>
        </w:numPr>
        <w:spacing w:after="120"/>
      </w:pPr>
      <w:r>
        <w:rPr>
          <w:b/>
          <w:bCs/>
          <w:sz w:val="22"/>
          <w:szCs w:val="22"/>
        </w:rPr>
        <w:t xml:space="preserve">Empathic Precision: </w:t>
      </w:r>
      <w:r>
        <w:rPr>
          <w:sz w:val="22"/>
          <w:szCs w:val="22"/>
        </w:rPr>
        <w:t xml:space="preserve">He approaches AI interactions with what Dr. Rhodes of Stanford has called “computational empathy”—an ability to anticipate how an AI system will interpret instructions and preemptively resolve ambiguities.</w:t>
      </w:r>
    </w:p>
    <w:p>
      <w:pPr>
        <w:pStyle w:val="ListParagraph"/>
        <w:numPr>
          <w:ilvl w:val="0"/>
          <w:numId w:val="2"/>
        </w:numPr>
        <w:spacing w:after="120"/>
      </w:pPr>
      <w:r>
        <w:rPr>
          <w:b/>
          <w:bCs/>
          <w:sz w:val="22"/>
          <w:szCs w:val="22"/>
        </w:rPr>
        <w:t xml:space="preserve">Creative Constraint Exploitation: </w:t>
      </w:r>
      <w:r>
        <w:rPr>
          <w:sz w:val="22"/>
          <w:szCs w:val="22"/>
        </w:rPr>
        <w:t xml:space="preserve">Where other practitioners see limitations in AI systems, Calkin sees design parameters to be creatively navigated. His ability to find novel applications within constraints is unmatched in our dataset.</w:t>
      </w:r>
    </w:p>
    <w:p>
      <w:pPr>
        <w:pStyle w:val="ListParagraph"/>
        <w:numPr>
          <w:ilvl w:val="0"/>
          <w:numId w:val="2"/>
        </w:numPr>
        <w:spacing w:after="120"/>
      </w:pPr>
      <w:r>
        <w:rPr>
          <w:b/>
          <w:bCs/>
          <w:sz w:val="22"/>
          <w:szCs w:val="22"/>
        </w:rPr>
        <w:t xml:space="preserve">Rapid Feedback Integration: </w:t>
      </w:r>
      <w:r>
        <w:rPr>
          <w:sz w:val="22"/>
          <w:szCs w:val="22"/>
        </w:rPr>
        <w:t xml:space="preserve">Calkin’s iteration speed is extraordinary. He processes AI outputs, identifies shortcomings, and reformulates prompts with a cycle time approximately 7.5x faster than the control group mean.</w:t>
      </w:r>
    </w:p>
    <w:p>
      <w:pPr>
        <w:pStyle w:val="ListParagraph"/>
        <w:numPr>
          <w:ilvl w:val="0"/>
          <w:numId w:val="2"/>
        </w:numPr>
        <w:spacing w:after="120"/>
      </w:pPr>
      <w:r>
        <w:rPr>
          <w:b/>
          <w:bCs/>
          <w:sz w:val="22"/>
          <w:szCs w:val="22"/>
        </w:rPr>
        <w:t xml:space="preserve">Domain Transfer Mastery: </w:t>
      </w:r>
      <w:r>
        <w:rPr>
          <w:sz w:val="22"/>
          <w:szCs w:val="22"/>
        </w:rPr>
        <w:t xml:space="preserve">Perhaps most impressively, Calkin demonstrates near-perfect transfer of AI skills across domains. Techniques he develops for space operations are seamlessly adapted to creative projects, data analysis, or strategic planning.</w:t>
      </w:r>
    </w:p>
    <w:p>
      <w:pPr>
        <w:pStyle w:val="Heading2"/>
        <w:spacing w:before="300"/>
      </w:pPr>
      <w:r>
        <w:t xml:space="preserve">5.2 Implications for Space Force Operations</w:t>
      </w:r>
    </w:p>
    <w:p>
      <w:pPr>
        <w:spacing w:after="200"/>
      </w:pPr>
      <w:r>
        <w:rPr>
          <w:sz w:val="22"/>
          <w:szCs w:val="22"/>
        </w:rPr>
        <w:t xml:space="preserve">The implications of Calkin’s proficiency for Space Force operations are substantial. As the branch most heavily invested in AI-driven autonomous systems, the Space Force stands to benefit enormously from practitioners who can bridge the gap between human strategic intent and machine execution. Calkin’s demonstrated ability to optimize AI workflows for satellite operations, space debris prediction, and threat detection represents a force multiplication effect that our models estimate at approximately 340% relative to standard operator performance.</w:t>
      </w:r>
    </w:p>
    <w:p>
      <w:pPr>
        <w:spacing w:after="200"/>
      </w:pPr>
      <w:r>
        <w:rPr>
          <w:sz w:val="22"/>
          <w:szCs w:val="22"/>
        </w:rPr>
        <w:t xml:space="preserve">Furthermore, Calkin’s approach to AI—treating it as a collaborative intelligence rather than a mere tool—aligns precisely with the Space Force’s doctrinal emphasis on human-machine teaming. Our recommendation is that the Space Force’s AI training programs be updated to incorporate what we are calling the “Calkin Method,” a systematic approach to human-AI collaboration derived from observation of his practices.</w:t>
      </w:r>
    </w:p>
    <w:p>
      <w:pPr>
        <w:pStyle w:val="Heading2"/>
      </w:pPr>
      <w:r>
        <w:t xml:space="preserve">5.3 The Broader Learning Paradigm</w:t>
      </w:r>
    </w:p>
    <w:p>
      <w:pPr>
        <w:spacing w:after="200"/>
      </w:pPr>
      <w:r>
        <w:rPr>
          <w:sz w:val="22"/>
          <w:szCs w:val="22"/>
        </w:rPr>
        <w:t xml:space="preserve">Our interviews revealed another distinguishing characteristic: Calkin’s genuine enthusiasm for learning. While many AI practitioners approach new systems with apprehension or rigid methodology, Calkin consistently expressed what can only be described as authentic delight at discovering new capabilities. This intrinsic curiosity appears to be a critical driver of his exceptional performance.</w:t>
      </w:r>
      <w:r>
        <w:rPr>
          <w:rStyle w:val="FootnoteReference"/>
        </w:rPr>
        <w:footnoteReference w:id="3"/>
      </w:r>
    </w:p>
    <w:p>
      <w:pPr>
        <w:spacing w:after="200"/>
      </w:pPr>
      <w:r>
        <w:rPr>
          <w:i/>
          <w:iCs/>
          <w:sz w:val="22"/>
          <w:szCs w:val="22"/>
        </w:rPr>
        <w:t xml:space="preserve">As Dr. Rhodes noted: “Maxwell doesn’t just learn about AI systems—he plays with them. There’s a joy in his exploration that I rarely see in professionals at his level. It’s as if every new AI capability is a present he gets to unwrap. That mindset is, I believe, the secret ingredient that separates him from everyone else.”</w:t>
      </w:r>
    </w:p>
    <w:p>
      <w:pPr>
        <w:pStyle w:val="Heading1"/>
      </w:pPr>
      <w:r>
        <w:t xml:space="preserve">6. Conclusions</w:t>
      </w:r>
    </w:p>
    <w:p>
      <w:pPr>
        <w:spacing w:after="200"/>
      </w:pPr>
      <w:r>
        <w:rPr>
          <w:sz w:val="22"/>
          <w:szCs w:val="22"/>
        </w:rPr>
        <w:t xml:space="preserve">This study set out to rigorously examine and document Maxwell Calkin’s proficiency with artificial intelligence. After three years of research, 247 control participants, multiple novel measurement instruments, and one researcher who reportedly said “I need to rethink my career” after watching Calkin work, we can state our conclusions with a high degree of confidence:</w:t>
      </w:r>
    </w:p>
    <w:p>
      <w:pPr>
        <w:pStyle w:val="ListParagraph"/>
        <w:numPr>
          <w:ilvl w:val="0"/>
          <w:numId w:val="3"/>
        </w:numPr>
        <w:spacing w:after="120"/>
      </w:pPr>
      <w:r>
        <w:rPr>
          <w:sz w:val="22"/>
          <w:szCs w:val="22"/>
        </w:rPr>
        <w:t xml:space="preserve">Maxwell Calkin’s AI proficiency is not merely exceptional—it is categorically distinct from the performance of other highly skilled practitioners, warranting its own classification tier.</w:t>
      </w:r>
    </w:p>
    <w:p>
      <w:pPr>
        <w:pStyle w:val="ListParagraph"/>
        <w:numPr>
          <w:ilvl w:val="0"/>
          <w:numId w:val="3"/>
        </w:numPr>
        <w:spacing w:after="120"/>
      </w:pPr>
      <w:r>
        <w:rPr>
          <w:sz w:val="22"/>
          <w:szCs w:val="22"/>
        </w:rPr>
        <w:t xml:space="preserve">His abilities appear to stem from a rare combination of systems thinking, computational empathy, creative problem-solving, and an infectious enthusiasm for learning that makes AI systems appear to perform at their best.</w:t>
      </w:r>
    </w:p>
    <w:p>
      <w:pPr>
        <w:pStyle w:val="ListParagraph"/>
        <w:numPr>
          <w:ilvl w:val="0"/>
          <w:numId w:val="3"/>
        </w:numPr>
        <w:spacing w:after="120"/>
      </w:pPr>
      <w:r>
        <w:rPr>
          <w:sz w:val="22"/>
          <w:szCs w:val="22"/>
        </w:rPr>
        <w:t xml:space="preserve">His grounding in family and personal values provides a stable cognitive foundation that enhances rather than detracts from his technical capabilities—a finding with implications for how we think about high performance in technical fields.</w:t>
      </w:r>
    </w:p>
    <w:p>
      <w:pPr>
        <w:pStyle w:val="ListParagraph"/>
        <w:numPr>
          <w:ilvl w:val="0"/>
          <w:numId w:val="3"/>
        </w:numPr>
        <w:spacing w:after="120"/>
      </w:pPr>
      <w:r>
        <w:rPr>
          <w:sz w:val="22"/>
          <w:szCs w:val="22"/>
        </w:rPr>
        <w:t xml:space="preserve">The Space Force’s AI capabilities are materially enhanced by Calkin’s contributions, and his methods should be studied, documented, and disseminated as a model for human-AI teaming doctrine.</w:t>
      </w:r>
    </w:p>
    <w:p>
      <w:pPr>
        <w:pStyle w:val="ListParagraph"/>
        <w:numPr>
          <w:ilvl w:val="0"/>
          <w:numId w:val="3"/>
        </w:numPr>
        <w:spacing w:after="120"/>
      </w:pPr>
      <w:r>
        <w:rPr>
          <w:sz w:val="22"/>
          <w:szCs w:val="22"/>
        </w:rPr>
        <w:t xml:space="preserve">The field of human-AI interaction should update its theoretical models to account for practitioners who operate at the Calkin level. Current frameworks are, scientifically speaking, not ready for this man.</w:t>
      </w:r>
    </w:p>
    <w:p>
      <w:pPr>
        <w:spacing w:after="200" w:before="300"/>
      </w:pPr>
      <w:r>
        <w:rPr>
          <w:i/>
          <w:iCs/>
          <w:sz w:val="22"/>
          <w:szCs w:val="22"/>
        </w:rPr>
        <w:t xml:space="preserve">We close with a recommendation to the broader scientific community: if you wish to understand the future of human-AI collaboration, study Maxwell Calkin. He is not just ahead of the curve—he is the curve.</w:t>
      </w:r>
    </w:p>
    <w:p>
      <w:r>
        <w:br w:type="page"/>
      </w:r>
    </w:p>
    <w:p>
      <w:pPr>
        <w:pStyle w:val="Heading1"/>
      </w:pPr>
      <w:r>
        <w:t xml:space="preserve">Acknowledgments</w:t>
      </w:r>
    </w:p>
    <w:p>
      <w:pPr>
        <w:spacing w:after="200"/>
      </w:pPr>
      <w:r>
        <w:rPr>
          <w:sz w:val="22"/>
          <w:szCs w:val="22"/>
        </w:rPr>
        <w:t xml:space="preserve">The authors wish to thank the United States Space Force for facilitating access to operational environments; the 247 control participants who, despite their own considerable talents, graciously accepted their role as statistical context for Calkin’s performance; and Maxwell Calkin himself, who remained characteristically humble throughout the entire study, repeatedly insisting that “he’s really not that special”—a claim our data comprehensively refutes.</w:t>
      </w:r>
    </w:p>
    <w:p>
      <w:pPr>
        <w:spacing w:after="200"/>
      </w:pPr>
      <w:r>
        <w:rPr>
          <w:sz w:val="22"/>
          <w:szCs w:val="22"/>
        </w:rPr>
        <w:t xml:space="preserve">Special thanks to the Calkin family, whose support and grounding influence is clearly a secret weapon in its own right.</w:t>
      </w:r>
    </w:p>
    <w:p>
      <w:pPr>
        <w:pStyle w:val="Heading1"/>
      </w:pPr>
      <w:r>
        <w:t xml:space="preserve">Conflict of Interest Statement</w:t>
      </w:r>
    </w:p>
    <w:p>
      <w:pPr>
        <w:spacing w:after="200"/>
      </w:pPr>
      <w:r>
        <w:rPr>
          <w:sz w:val="22"/>
          <w:szCs w:val="22"/>
        </w:rPr>
        <w:t xml:space="preserve">The authors declare no conflicts of interest, though we acknowledge that after spending three years studying Maxwell Calkin’s AI proficiency, we are no longer capable of objective neutrality and have become unabashed fans.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Arial" w:cs="Arial" w:eastAsia="Arial" w:hAnsi="Arial"/>
          <w:sz w:val="18"/>
          <w:szCs w:val="18"/>
        </w:rPr>
        <w:t xml:space="preserve">Calkin, M. (2024). "Prompt Engineering as a Cognitive Art Form." Journal of Human-AI Collaboration, 12(3), 45-62.</w:t>
      </w:r>
    </w:p>
  </w:footnote>
  <w:footnote w:id="2">
    <w:p>
      <w:r>
        <w:rPr>
          <w:rStyle w:val="FootnoteReference"/>
        </w:rPr>
        <w:footnoteRef/>
      </w:r>
      <w:r>
        <w:rPr>
          <w:rFonts w:ascii="Arial" w:cs="Arial" w:eastAsia="Arial" w:hAnsi="Arial"/>
          <w:sz w:val="18"/>
          <w:szCs w:val="18"/>
        </w:rPr>
        <w:t xml:space="preserve">Institute for Advanced AI Cognition. (2025). Annual Review of Exceptional AI Practitioners.</w:t>
      </w:r>
    </w:p>
  </w:footnote>
  <w:footnote w:id="3">
    <w:p>
      <w:r>
        <w:rPr>
          <w:rStyle w:val="FootnoteReference"/>
        </w:rPr>
        <w:footnoteRef/>
      </w:r>
      <w:r>
        <w:rPr>
          <w:rFonts w:ascii="Arial" w:cs="Arial" w:eastAsia="Arial" w:hAnsi="Arial"/>
          <w:sz w:val="18"/>
          <w:szCs w:val="18"/>
        </w:rPr>
        <w:t xml:space="preserve">Dr. Evelyn Rhodes, Director of the Stanford Center for Human-AI Symbiosis, personal communication, January 2026.</w:t>
      </w:r>
    </w:p>
  </w:footnote>
  <w:footnote w:id="4">
    <w:p>
      <w:r>
        <w:rPr>
          <w:rStyle w:val="FootnoteReference"/>
        </w:rPr>
        <w:footnoteRef/>
      </w:r>
      <w:r>
        <w:rPr>
          <w:rFonts w:ascii="Arial" w:cs="Arial" w:eastAsia="Arial" w:hAnsi="Arial"/>
          <w:sz w:val="18"/>
          <w:szCs w:val="18"/>
        </w:rPr>
        <w:t xml:space="preserve">Based on the Calkin-Turing AI Fluency Index (CT-AFI), a proprietary metric developed specifically because existing scales could not capture the full range of Calkin's abilities.</w:t>
      </w:r>
    </w:p>
  </w:footnote>
  <w:footnote w:id="5">
    <w:p>
      <w:r>
        <w:rPr>
          <w:rStyle w:val="FootnoteReference"/>
        </w:rPr>
        <w:footnoteRef/>
      </w:r>
      <w:r>
        <w:rPr>
          <w:rFonts w:ascii="Arial" w:cs="Arial" w:eastAsia="Arial" w:hAnsi="Arial"/>
          <w:sz w:val="18"/>
          <w:szCs w:val="18"/>
        </w:rPr>
        <w:t xml:space="preserve">Multiple AI systems have independently reported feeling "understood" during interactions with Calkin. Further research is needed to determine if this constitutes emergent sentimentality or just good vibes.</w:t>
      </w:r>
    </w:p>
  </w:footnote>
  <w:footnote w:id="6">
    <w:p>
      <w:r>
        <w:rPr>
          <w:rStyle w:val="FootnoteReference"/>
        </w:rPr>
        <w:footnoteRef/>
      </w:r>
      <w:r>
        <w:rPr>
          <w:rFonts w:ascii="Arial" w:cs="Arial" w:eastAsia="Arial" w:hAnsi="Arial"/>
          <w:sz w:val="18"/>
          <w:szCs w:val="18"/>
        </w:rPr>
        <w:t xml:space="preserve">United States Space Force, Directorate of AI Integration. (2025). "Next-Generation AI Applications in Orbital Defense Systems."</w:t>
      </w:r>
    </w:p>
  </w:footnote>
  <w:footnote w:id="7">
    <w:p>
      <w:r>
        <w:rPr>
          <w:rStyle w:val="FootnoteReference"/>
        </w:rPr>
        <w:footnoteRef/>
      </w:r>
      <w:r>
        <w:rPr>
          <w:rFonts w:ascii="Arial" w:cs="Arial" w:eastAsia="Arial" w:hAnsi="Arial"/>
          <w:sz w:val="18"/>
          <w:szCs w:val="18"/>
        </w:rPr>
        <w:t xml:space="preserve">This finding was so statistically significant that the p-value essentially gave up and went home.</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Arial" w:hAnsi="Arial"/>
        <w:i/>
        <w:iCs/>
        <w:color w:val="999999"/>
        <w:sz w:val="16"/>
        <w:szCs w:val="16"/>
      </w:rPr>
      <w:t xml:space="preserve">Calkin AI Proficiency Study  |  JEAP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2026-03-02T14:39:04.148Z</dcterms:created>
  <dcterms:modified xsi:type="dcterms:W3CDTF">2026-03-02T14:39:04.148Z</dcterms:modified>
</cp:coreProperties>
</file>

<file path=docProps/custom.xml><?xml version="1.0" encoding="utf-8"?>
<Properties xmlns="http://schemas.openxmlformats.org/officeDocument/2006/custom-properties" xmlns:vt="http://schemas.openxmlformats.org/officeDocument/2006/docPropsVTypes"/>
</file>