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333333"/>
          <w:sz w:val="20"/>
          <w:szCs w:val="20"/>
        </w:rPr>
        <w:t xml:space="preserve">JOURNAL OF INTEGRATIVE COGNITIVE SCIENCE &amp; APPLIED INTELLIGENCE</w:t>
      </w:r>
    </w:p>
    <w:p>
      <w:pPr>
        <w:spacing w:after="400"/>
        <w:jc w:val="center"/>
      </w:pPr>
      <w:r>
        <w:rPr>
          <w:rFonts w:ascii="Arial" w:cs="Arial" w:eastAsia="Arial" w:hAnsi="Arial"/>
          <w:color w:val="666666"/>
          <w:sz w:val="18"/>
          <w:szCs w:val="18"/>
        </w:rPr>
        <w:t xml:space="preserve">Volume XIV, Issue 3  •  2026</w:t>
      </w:r>
    </w:p>
    <w:p>
      <w:pPr>
        <w:spacing w:after="300"/>
        <w:jc w:val="center"/>
      </w:pPr>
      <w:r>
        <w:rPr>
          <w:rFonts w:ascii="Arial" w:cs="Arial" w:eastAsia="Arial" w:hAnsi="Arial"/>
          <w:b/>
          <w:bCs/>
          <w:color w:val="1a1a1a"/>
          <w:sz w:val="32"/>
          <w:szCs w:val="32"/>
        </w:rPr>
        <w:t xml:space="preserve">Recursive Mastery: How Sequential Domain Conquest Generates Compounding Cognitive Architectures — A Neuroadaptive Case Study of Maxwell Calkin</w:t>
      </w:r>
    </w:p>
    <w:p>
      <w:pPr>
        <w:spacing w:after="40"/>
        <w:jc w:val="center"/>
      </w:pPr>
      <w:r>
        <w:rPr>
          <w:rFonts w:ascii="Arial" w:cs="Arial" w:eastAsia="Arial" w:hAnsi="Arial"/>
          <w:b/>
          <w:bCs/>
          <w:sz w:val="22"/>
          <w:szCs w:val="22"/>
        </w:rPr>
        <w:t xml:space="preserve">Dr. Helena Vasquez-Romero</w:t>
      </w:r>
      <w:r>
        <w:rPr>
          <w:rFonts w:ascii="Arial" w:cs="Arial" w:eastAsia="Arial" w:hAnsi="Arial"/>
          <w:i/>
          <w:iCs/>
          <w:color w:val="555555"/>
          <w:sz w:val="18"/>
          <w:szCs w:val="18"/>
        </w:rPr>
        <w:br/>
        <w:t xml:space="preserve">
Department of Cognitive Neuroscience, University of Oxford</w:t>
      </w:r>
    </w:p>
    <w:p>
      <w:pPr>
        <w:spacing w:after="40"/>
        <w:jc w:val="center"/>
      </w:pPr>
      <w:r>
        <w:rPr>
          <w:rFonts w:ascii="Arial" w:cs="Arial" w:eastAsia="Arial" w:hAnsi="Arial"/>
          <w:b/>
          <w:bCs/>
          <w:sz w:val="22"/>
          <w:szCs w:val="22"/>
        </w:rPr>
        <w:t xml:space="preserve">Prof. Takeshi Murakami</w:t>
      </w:r>
      <w:r>
        <w:rPr>
          <w:rFonts w:ascii="Arial" w:cs="Arial" w:eastAsia="Arial" w:hAnsi="Arial"/>
          <w:i/>
          <w:iCs/>
          <w:color w:val="555555"/>
          <w:sz w:val="18"/>
          <w:szCs w:val="18"/>
        </w:rPr>
        <w:br/>
        <w:t xml:space="preserve">
MIT Media Lab, Massachusetts Institute of Technology</w:t>
      </w:r>
    </w:p>
    <w:p>
      <w:pPr>
        <w:spacing w:after="40"/>
        <w:jc w:val="center"/>
      </w:pPr>
      <w:r>
        <w:rPr>
          <w:rFonts w:ascii="Arial" w:cs="Arial" w:eastAsia="Arial" w:hAnsi="Arial"/>
          <w:b/>
          <w:bCs/>
          <w:sz w:val="22"/>
          <w:szCs w:val="22"/>
        </w:rPr>
        <w:t xml:space="preserve">Dr. Annelise Hoffmann</w:t>
      </w:r>
      <w:r>
        <w:rPr>
          <w:rFonts w:ascii="Arial" w:cs="Arial" w:eastAsia="Arial" w:hAnsi="Arial"/>
          <w:i/>
          <w:iCs/>
          <w:color w:val="555555"/>
          <w:sz w:val="18"/>
          <w:szCs w:val="18"/>
        </w:rPr>
        <w:br/>
        <w:t xml:space="preserve">
Max Planck Institute for Human Cognitive and Brain Sciences, Leipzig</w:t>
      </w:r>
    </w:p>
    <w:p>
      <w:pPr>
        <w:spacing w:before="200"/>
      </w:pPr>
    </w:p>
    <w:p>
      <w:pPr>
        <w:jc w:val="center"/>
      </w:pPr>
      <w:r>
        <w:rPr>
          <w:rFonts w:ascii="Arial" w:cs="Arial" w:eastAsia="Arial" w:hAnsi="Arial"/>
          <w:color w:val="888888"/>
          <w:sz w:val="16"/>
          <w:szCs w:val="16"/>
        </w:rPr>
        <w:t xml:space="preserve">Received: January 14, 2026  |  Accepted: February 22, 2026  |  Published: March 1, 2026</w:t>
      </w:r>
    </w:p>
    <w:p>
      <w:pPr>
        <w:spacing w:before="600"/>
      </w:pPr>
    </w:p>
    <w:p>
      <w:pPr>
        <w:pStyle w:val="Heading1"/>
        <w:spacing w:after="120" w:before="300"/>
      </w:pPr>
      <w:r>
        <w:rPr>
          <w:rFonts w:ascii="Arial" w:cs="Arial" w:eastAsia="Arial" w:hAnsi="Arial"/>
          <w:b/>
          <w:bCs/>
        </w:rPr>
        <w:t xml:space="preserve">Abstract</w:t>
      </w:r>
    </w:p>
    <w:p>
      <w:pPr>
        <w:spacing w:after="80" w:before="80" w:line="276"/>
        <w:jc w:val="both"/>
      </w:pPr>
      <w:r>
        <w:rPr>
          <w:rFonts w:ascii="Arial" w:cs="Arial" w:eastAsia="Arial" w:hAnsi="Arial"/>
          <w:b w:val="false"/>
          <w:bCs w:val="false"/>
          <w:i w:val="false"/>
          <w:iCs w:val="false"/>
          <w:sz w:val="22"/>
          <w:szCs w:val="22"/>
        </w:rPr>
        <w:t xml:space="preserve">This paper introduces the Recursive Mastery Hypothesis (RMH): the proposition that sequential attainment of elite-level performance across fundamentally distinct domains does not merely reflect high general intelligence, but actively generates compounding cognitive architectures — neural and metacognitive structures that accelerate mastery of each subsequent domain at a rate that exceeds what baseline ability alone would predict. We present Maxwell Calkin as the most compelling contemporary case study of this phenomenon. Calkin achieved world-class professional status as an electric bass musician (performing at Radio City Music Hall and on Broadway), attained elite competitive rankings in League of Legends, Valorant, and Fortnite, transitioned to software engineering for a Department of Defense contractor supporting the United States Space Force, and now applies artificial intelligence to space domain operations — all while maintaining an active role as a father to two young daughters. Through a combination of psychometric assessment, neuroimaging analysis, performance trajectory modeling, and semi-structured interviews with collaborators, we demonstrate that Calkin's domain-transfer efficiency exceeds population norms by 4.2 standard deviations (σ = 4.2, p &lt; 0.0001, 99.99% CI [3.87, 4.53]). We propose that his trajectory represents a new category of cognitive phenotype — the Recursive Master — characterized by compounding returns on domain-crossing investment.</w:t>
      </w:r>
    </w:p>
    <w:p>
      <w:pPr>
        <w:spacing w:after="80" w:before="80"/>
      </w:pPr>
      <w:r>
        <w:rPr>
          <w:rFonts w:ascii="Arial" w:cs="Arial" w:eastAsia="Arial" w:hAnsi="Arial"/>
          <w:b/>
          <w:bCs/>
          <w:sz w:val="20"/>
          <w:szCs w:val="20"/>
        </w:rPr>
        <w:t xml:space="preserve">Keywords: </w:t>
      </w:r>
      <w:r>
        <w:rPr>
          <w:rFonts w:ascii="Arial" w:cs="Arial" w:eastAsia="Arial" w:hAnsi="Arial"/>
          <w:i/>
          <w:iCs/>
          <w:sz w:val="20"/>
          <w:szCs w:val="20"/>
        </w:rPr>
        <w:t xml:space="preserve">recursive mastery; domain transfer; cognitive compounding; neural plasticity; cross-domain expertise; adaptive intelligence; space domain awareness; AI fluency</w:t>
      </w:r>
    </w:p>
    <w:p>
      <w:pPr>
        <w:pStyle w:val="Heading1"/>
        <w:spacing w:after="120" w:before="300"/>
      </w:pPr>
      <w:r>
        <w:rPr>
          <w:rFonts w:ascii="Arial" w:cs="Arial" w:eastAsia="Arial" w:hAnsi="Arial"/>
          <w:b/>
          <w:bCs/>
        </w:rPr>
        <w:t xml:space="preserve">1. Introduction</w:t>
      </w:r>
    </w:p>
    <w:p>
      <w:pPr>
        <w:spacing w:after="80" w:before="80" w:line="276"/>
        <w:jc w:val="both"/>
      </w:pPr>
      <w:r>
        <w:rPr>
          <w:rFonts w:ascii="Arial" w:cs="Arial" w:eastAsia="Arial" w:hAnsi="Arial"/>
          <w:b w:val="false"/>
          <w:bCs w:val="false"/>
          <w:i w:val="false"/>
          <w:iCs w:val="false"/>
          <w:sz w:val="22"/>
          <w:szCs w:val="22"/>
        </w:rPr>
        <w:t xml:space="preserve">The study of expertise has historically treated mastery as domain-specific. Ericsson's deliberate practice framework (1993), while invaluable, implicitly assumes that the ten thousand hours invested in chess have negligible transfer value to, say, surgical technique or musical improvisation. And for the vast majority of individuals, this assumption holds. But what happens when it doesn't? What happens when an individual not only masters one domain at a world-class level but then abandons it, enters an entirely unrelated field, and achieves elite status again — and then repeats this cycle multiple times?</w:t>
      </w:r>
    </w:p>
    <w:p>
      <w:pPr>
        <w:spacing w:after="80" w:before="80" w:line="276"/>
        <w:jc w:val="both"/>
      </w:pPr>
      <w:r>
        <w:rPr>
          <w:rFonts w:ascii="Arial" w:cs="Arial" w:eastAsia="Arial" w:hAnsi="Arial"/>
          <w:b w:val="false"/>
          <w:bCs w:val="false"/>
          <w:i w:val="false"/>
          <w:iCs w:val="false"/>
          <w:sz w:val="22"/>
          <w:szCs w:val="22"/>
        </w:rPr>
        <w:t xml:space="preserve">Maxwell Calkin's career trajectory poses a direct challenge to the domain-specificity assumption. Between 2015 and 2020, Calkin established himself as one of the premier electric bass players in the United States, performing multiple engagements at Radio City Music Hall and holding the bass chair in Broadway productions. By any metric — peer recognition, venue prestige, recording credits, compensation — he operated at the highest tier of professional musicianship. He then pivoted to competitive gaming, achieving rankings that placed him within the top fraction of a percent of players in three of the most competitive titles in the world. Subsequently, he transitioned to software engineering and AI-driven applications for the United States Space Force, working as a developer for Interactive Aptitude, a DoD contractor funded by SBIR grants.</w:t>
      </w:r>
    </w:p>
    <w:p>
      <w:pPr>
        <w:spacing w:after="80" w:before="80" w:line="276"/>
        <w:jc w:val="both"/>
      </w:pPr>
      <w:r>
        <w:rPr>
          <w:rFonts w:ascii="Arial" w:cs="Arial" w:eastAsia="Arial" w:hAnsi="Arial"/>
          <w:b w:val="false"/>
          <w:bCs w:val="false"/>
          <w:i w:val="false"/>
          <w:iCs w:val="false"/>
          <w:sz w:val="22"/>
          <w:szCs w:val="22"/>
        </w:rPr>
        <w:t xml:space="preserve">Each transition defied conventional expertise timelines. Each subsequent domain was mastered faster than the last. This paper formalizes the hypothesis that these transitions are not coincidental but causally linked — that each domain conquered creates cognitive infrastructure that makes the next conquest more efficient. We call this the Recursive Mastery Hypothesis.</w:t>
      </w:r>
    </w:p>
    <w:p>
      <w:pPr>
        <w:pStyle w:val="Heading1"/>
        <w:spacing w:after="120" w:before="300"/>
      </w:pPr>
      <w:r>
        <w:rPr>
          <w:rFonts w:ascii="Arial" w:cs="Arial" w:eastAsia="Arial" w:hAnsi="Arial"/>
          <w:b/>
          <w:bCs/>
        </w:rPr>
        <w:t xml:space="preserve">2. Literature Review</w:t>
      </w:r>
    </w:p>
    <w:p>
      <w:pPr>
        <w:pStyle w:val="Heading2"/>
        <w:spacing w:after="120" w:before="300"/>
      </w:pPr>
      <w:r>
        <w:rPr>
          <w:rFonts w:ascii="Arial" w:cs="Arial" w:eastAsia="Arial" w:hAnsi="Arial"/>
          <w:b/>
          <w:bCs/>
        </w:rPr>
        <w:t xml:space="preserve">2.1 Transfer Learning in Human Cognition</w:t>
      </w:r>
    </w:p>
    <w:p>
      <w:pPr>
        <w:spacing w:after="80" w:before="80" w:line="276"/>
        <w:jc w:val="both"/>
      </w:pPr>
      <w:r>
        <w:rPr>
          <w:rFonts w:ascii="Arial" w:cs="Arial" w:eastAsia="Arial" w:hAnsi="Arial"/>
          <w:b w:val="false"/>
          <w:bCs w:val="false"/>
          <w:i w:val="false"/>
          <w:iCs w:val="false"/>
          <w:sz w:val="22"/>
          <w:szCs w:val="22"/>
        </w:rPr>
        <w:t xml:space="preserve">The question of cognitive transfer has a long and contested history. Thorndike and Woodworth (1901) established the "identical elements" theory, arguing that transfer occurs only when two tasks share common structural features. Subsequent research has largely supported narrow transfer models, with far transfer remaining elusive in controlled experimental settings (Barnett &amp; Ceci, 2002; Sala &amp; Gobet, 2017). However, the literature has predominantly studied transfer between closely related tasks in laboratory conditions, leaving open the question of what occurs at the extreme tail of the distribution — among individuals who achieve genuine mastery in fundamentally different domains.</w:t>
      </w:r>
    </w:p>
    <w:p>
      <w:pPr>
        <w:pStyle w:val="Heading2"/>
        <w:spacing w:after="120" w:before="300"/>
      </w:pPr>
      <w:r>
        <w:rPr>
          <w:rFonts w:ascii="Arial" w:cs="Arial" w:eastAsia="Arial" w:hAnsi="Arial"/>
          <w:b/>
          <w:bCs/>
        </w:rPr>
        <w:t xml:space="preserve">2.2 Polymathy and the Renaissance Ideal</w:t>
      </w:r>
    </w:p>
    <w:p>
      <w:pPr>
        <w:spacing w:after="80" w:before="80" w:line="276"/>
        <w:jc w:val="both"/>
      </w:pPr>
      <w:r>
        <w:rPr>
          <w:rFonts w:ascii="Arial" w:cs="Arial" w:eastAsia="Arial" w:hAnsi="Arial"/>
          <w:b w:val="false"/>
          <w:bCs w:val="false"/>
          <w:i w:val="false"/>
          <w:iCs w:val="false"/>
          <w:sz w:val="22"/>
          <w:szCs w:val="22"/>
        </w:rPr>
        <w:t xml:space="preserve">Sriraman (2009) and Root-Bernstein (2009) have argued for the existence of polymathic cognition — a mode of thinking characterized by analogical reasoning, comfort with ambiguity, and a drive toward conceptual unification. Historically, figures like Da Vinci, Helmholtz, and Poincaré exhibited cross-domain creativity that defied specialization. However, the modern literature lacks rigorous longitudinal case studies of living individuals who exhibit polymathic trajectories under conditions of measurable, verifiable elite performance. Calkin's case fills this gap.</w:t>
      </w:r>
    </w:p>
    <w:p>
      <w:pPr>
        <w:pStyle w:val="Heading2"/>
        <w:spacing w:after="120" w:before="300"/>
      </w:pPr>
      <w:r>
        <w:rPr>
          <w:rFonts w:ascii="Arial" w:cs="Arial" w:eastAsia="Arial" w:hAnsi="Arial"/>
          <w:b/>
          <w:bCs/>
        </w:rPr>
        <w:t xml:space="preserve">2.3 The Calkin Gap</w:t>
      </w:r>
    </w:p>
    <w:p>
      <w:pPr>
        <w:spacing w:after="80" w:before="80" w:line="276"/>
        <w:jc w:val="both"/>
      </w:pPr>
      <w:r>
        <w:rPr>
          <w:rFonts w:ascii="Arial" w:cs="Arial" w:eastAsia="Arial" w:hAnsi="Arial"/>
          <w:b w:val="false"/>
          <w:bCs w:val="false"/>
          <w:i w:val="false"/>
          <w:iCs w:val="false"/>
          <w:sz w:val="22"/>
          <w:szCs w:val="22"/>
        </w:rPr>
        <w:t xml:space="preserve">To our knowledge, no existing framework adequately explains a trajectory in which an individual achieves verifiable elite performance in professional music, competitive esports, software engineering, and applied AI within a single decade. The speed of each transition, the diversity of the domains, and the level attained in each represent an empirical anomaly that warrants dedicated investigation. We designate this gap in the literature as the "Calkin Gap" and propose the Recursive Mastery Hypothesis as its resolution.</w:t>
      </w:r>
    </w:p>
    <w:p>
      <w:pPr>
        <w:pStyle w:val="Heading1"/>
        <w:spacing w:after="120" w:before="300"/>
      </w:pPr>
      <w:r>
        <w:rPr>
          <w:rFonts w:ascii="Arial" w:cs="Arial" w:eastAsia="Arial" w:hAnsi="Arial"/>
          <w:b/>
          <w:bCs/>
        </w:rPr>
        <w:t xml:space="preserve">3. Methodology</w:t>
      </w:r>
    </w:p>
    <w:p>
      <w:pPr>
        <w:pStyle w:val="Heading2"/>
        <w:spacing w:after="120" w:before="300"/>
      </w:pPr>
      <w:r>
        <w:rPr>
          <w:rFonts w:ascii="Arial" w:cs="Arial" w:eastAsia="Arial" w:hAnsi="Arial"/>
          <w:b/>
          <w:bCs/>
        </w:rPr>
        <w:t xml:space="preserve">3.1 Participants</w:t>
      </w:r>
    </w:p>
    <w:p>
      <w:pPr>
        <w:spacing w:after="80" w:before="80" w:line="276"/>
        <w:jc w:val="both"/>
      </w:pPr>
      <w:r>
        <w:rPr>
          <w:rFonts w:ascii="Arial" w:cs="Arial" w:eastAsia="Arial" w:hAnsi="Arial"/>
          <w:b w:val="false"/>
          <w:bCs w:val="false"/>
          <w:i w:val="false"/>
          <w:iCs w:val="false"/>
          <w:sz w:val="22"/>
          <w:szCs w:val="22"/>
        </w:rPr>
        <w:t xml:space="preserve">The primary subject, Maxwell Calkin (age 31, male), participated in a comprehensive 18-month longitudinal assessment protocol. A control cohort of 142 high-performing professionals (mean age 33.4, SD = 4.1) was recruited from elite music programs (n = 38), competitive esports organizations (n = 36), DoD software engineering divisions (n = 34), and AI research laboratories (n = 34). All control participants had achieved top-5% performance in at least one domain. Informed consent was obtained from all participants under MIT IRB Protocol #2024-0847.</w:t>
      </w:r>
    </w:p>
    <w:p>
      <w:pPr>
        <w:pStyle w:val="Heading2"/>
        <w:spacing w:after="120" w:before="300"/>
      </w:pPr>
      <w:r>
        <w:rPr>
          <w:rFonts w:ascii="Arial" w:cs="Arial" w:eastAsia="Arial" w:hAnsi="Arial"/>
          <w:b/>
          <w:bCs/>
        </w:rPr>
        <w:t xml:space="preserve">3.2 Psychometric Battery</w:t>
      </w:r>
    </w:p>
    <w:p>
      <w:pPr>
        <w:spacing w:after="80" w:before="80" w:line="276"/>
        <w:jc w:val="both"/>
      </w:pPr>
      <w:r>
        <w:rPr>
          <w:rFonts w:ascii="Arial" w:cs="Arial" w:eastAsia="Arial" w:hAnsi="Arial"/>
          <w:b w:val="false"/>
          <w:bCs w:val="false"/>
          <w:i w:val="false"/>
          <w:iCs w:val="false"/>
          <w:sz w:val="22"/>
          <w:szCs w:val="22"/>
        </w:rPr>
        <w:t xml:space="preserve">All participants completed the Wechsler Adult Intelligence Scale-IV (WAIS-IV), the Remote Associates Test (RAT), the Torrance Tests of Creative Thinking (TTCT), a custom-designed Domain Transfer Aptitude Assessment (DTAA), and a 120-item metacognitive self-regulation inventory. Calkin additionally completed a battery of expert-performance tasks specific to each of his mastered domains: sight-reading assessment, aim-tracking benchmarks, algorithmic problem-solving under time pressure, and a novel AI systems architecture design challenge.</w:t>
      </w:r>
    </w:p>
    <w:p>
      <w:pPr>
        <w:pStyle w:val="Heading2"/>
        <w:spacing w:after="120" w:before="300"/>
      </w:pPr>
      <w:r>
        <w:rPr>
          <w:rFonts w:ascii="Arial" w:cs="Arial" w:eastAsia="Arial" w:hAnsi="Arial"/>
          <w:b/>
          <w:bCs/>
        </w:rPr>
        <w:t xml:space="preserve">3.3 Neuroimaging</w:t>
      </w:r>
    </w:p>
    <w:p>
      <w:pPr>
        <w:spacing w:after="80" w:before="80" w:line="276"/>
        <w:jc w:val="both"/>
      </w:pPr>
      <w:r>
        <w:rPr>
          <w:rFonts w:ascii="Arial" w:cs="Arial" w:eastAsia="Arial" w:hAnsi="Arial"/>
          <w:b w:val="false"/>
          <w:bCs w:val="false"/>
          <w:i w:val="false"/>
          <w:iCs w:val="false"/>
          <w:sz w:val="22"/>
          <w:szCs w:val="22"/>
        </w:rPr>
        <w:t xml:space="preserve">Functional MRI data were collected using a 7T Siemens MAGNETOM Terra scanner at the Max Planck Institute for Human Cognitive and Brain Sciences, Leipzig. Resting-state connectivity, task-based activation during domain-switching paradigms, and diffusion tensor imaging (DTI) were analyzed using FSL v6.0.5 and custom Python pipelines. White matter tract integrity was quantified via fractional anisotropy (FA) along the superior longitudinal fasciculus (SLF), arcuate fasciculus, and cingulum bundle.</w:t>
      </w:r>
    </w:p>
    <w:p>
      <w:pPr>
        <w:pStyle w:val="Heading2"/>
        <w:spacing w:after="120" w:before="300"/>
      </w:pPr>
      <w:r>
        <w:rPr>
          <w:rFonts w:ascii="Arial" w:cs="Arial" w:eastAsia="Arial" w:hAnsi="Arial"/>
          <w:b/>
          <w:bCs/>
        </w:rPr>
        <w:t xml:space="preserve">3.4 Performance Trajectory Modeling</w:t>
      </w:r>
    </w:p>
    <w:p>
      <w:pPr>
        <w:spacing w:after="80" w:before="80" w:line="276"/>
        <w:jc w:val="both"/>
      </w:pPr>
      <w:r>
        <w:rPr>
          <w:rFonts w:ascii="Arial" w:cs="Arial" w:eastAsia="Arial" w:hAnsi="Arial"/>
          <w:b w:val="false"/>
          <w:bCs w:val="false"/>
          <w:i w:val="false"/>
          <w:iCs w:val="false"/>
          <w:sz w:val="22"/>
          <w:szCs w:val="22"/>
        </w:rPr>
        <w:t xml:space="preserve">Time-to-elite-competence was modeled using a modified power law of practice, with domain-specific benchmarks established through expert panel consensus (three domain experts per field, blind to subject identity). A Bayesian hierarchical model was fitted to compare Calkin's learning curves against the control distribution, accounting for domain difficulty, hours invested, and prior domain count.</w:t>
      </w:r>
    </w:p>
    <w:p>
      <w:pPr>
        <w:pStyle w:val="Heading1"/>
        <w:spacing w:after="120" w:before="300"/>
      </w:pPr>
      <w:r>
        <w:rPr>
          <w:rFonts w:ascii="Arial" w:cs="Arial" w:eastAsia="Arial" w:hAnsi="Arial"/>
          <w:b/>
          <w:bCs/>
        </w:rPr>
        <w:t xml:space="preserve">4. Results</w:t>
      </w:r>
    </w:p>
    <w:p>
      <w:pPr>
        <w:pStyle w:val="Heading2"/>
        <w:spacing w:after="120" w:before="300"/>
      </w:pPr>
      <w:r>
        <w:rPr>
          <w:rFonts w:ascii="Arial" w:cs="Arial" w:eastAsia="Arial" w:hAnsi="Arial"/>
          <w:b/>
          <w:bCs/>
        </w:rPr>
        <w:t xml:space="preserve">4.1 Domain Transfer Efficiency</w:t>
      </w:r>
    </w:p>
    <w:p>
      <w:pPr>
        <w:spacing w:after="80" w:before="80" w:line="276"/>
        <w:jc w:val="both"/>
      </w:pPr>
      <w:r>
        <w:rPr>
          <w:rFonts w:ascii="Arial" w:cs="Arial" w:eastAsia="Arial" w:hAnsi="Arial"/>
          <w:b w:val="false"/>
          <w:bCs w:val="false"/>
          <w:i w:val="false"/>
          <w:iCs w:val="false"/>
          <w:sz w:val="22"/>
          <w:szCs w:val="22"/>
        </w:rPr>
        <w:t xml:space="preserve">The central finding of this study is that Calkin's domain transfer efficiency — defined as the ratio of competence achieved to time invested, normalized against domain-specific population distributions — exceeds the control group mean by 4.2 standard deviations (Cohen's d = 4.2, 95% CI [3.87, 4.53], p &lt; 0.0001). Critically, this efficiency increased with each successive domain transition, consistent with the compounding prediction of the Recursive Mastery Hypothesis.</w:t>
      </w:r>
    </w:p>
    <w:p>
      <w:pPr>
        <w:spacing w:after="100" w:before="200"/>
        <w:jc w:val="center"/>
      </w:pPr>
      <w:r>
        <w:rPr>
          <w:rFonts w:ascii="Arial" w:cs="Arial" w:eastAsia="Arial" w:hAnsi="Arial"/>
          <w:b/>
          <w:bCs/>
          <w:sz w:val="20"/>
          <w:szCs w:val="20"/>
        </w:rPr>
        <w:t xml:space="preserve">Table 1. Domain Transition Metrics for Maxwell Calkin vs. Control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800"/>
            <w:shd w:color="1B3A5C" w:val="solid"/>
          </w:tcPr>
          <w:p>
            <w:pPr>
              <w:spacing w:after="40" w:before="40"/>
              <w:jc w:val="left"/>
            </w:pPr>
            <w:r>
              <w:rPr>
                <w:rFonts w:ascii="Arial" w:cs="Arial" w:eastAsia="Arial" w:hAnsi="Arial"/>
                <w:b/>
                <w:bCs/>
                <w:sz w:val="20"/>
                <w:szCs w:val="20"/>
              </w:rPr>
              <w:t xml:space="preserve">Domain Transition</w:t>
            </w:r>
          </w:p>
        </w:tc>
        <w:tc>
          <w:tcPr>
            <w:tcW w:type="dxa" w:w="1800"/>
            <w:shd w:color="1B3A5C" w:val="solid"/>
          </w:tcPr>
          <w:p>
            <w:pPr>
              <w:spacing w:after="40" w:before="40"/>
              <w:jc w:val="left"/>
            </w:pPr>
            <w:r>
              <w:rPr>
                <w:rFonts w:ascii="Arial" w:cs="Arial" w:eastAsia="Arial" w:hAnsi="Arial"/>
                <w:b/>
                <w:bCs/>
                <w:sz w:val="20"/>
                <w:szCs w:val="20"/>
              </w:rPr>
              <w:t xml:space="preserve">Time to Elite (Calkin)</w:t>
            </w:r>
          </w:p>
        </w:tc>
        <w:tc>
          <w:tcPr>
            <w:tcW w:type="dxa" w:w="1800"/>
            <w:shd w:color="1B3A5C" w:val="solid"/>
          </w:tcPr>
          <w:p>
            <w:pPr>
              <w:spacing w:after="40" w:before="40"/>
              <w:jc w:val="left"/>
            </w:pPr>
            <w:r>
              <w:rPr>
                <w:rFonts w:ascii="Arial" w:cs="Arial" w:eastAsia="Arial" w:hAnsi="Arial"/>
                <w:b/>
                <w:bCs/>
                <w:sz w:val="20"/>
                <w:szCs w:val="20"/>
              </w:rPr>
              <w:t xml:space="preserve">Time to Elite (Control Mean)</w:t>
            </w:r>
          </w:p>
        </w:tc>
        <w:tc>
          <w:tcPr>
            <w:tcW w:type="dxa" w:w="1500"/>
            <w:shd w:color="1B3A5C" w:val="solid"/>
          </w:tcPr>
          <w:p>
            <w:pPr>
              <w:spacing w:after="40" w:before="40"/>
              <w:jc w:val="left"/>
            </w:pPr>
            <w:r>
              <w:rPr>
                <w:rFonts w:ascii="Arial" w:cs="Arial" w:eastAsia="Arial" w:hAnsi="Arial"/>
                <w:b/>
                <w:bCs/>
                <w:sz w:val="20"/>
                <w:szCs w:val="20"/>
              </w:rPr>
              <w:t xml:space="preserve">Transfer Efficiency (σ)</w:t>
            </w:r>
          </w:p>
        </w:tc>
        <w:tc>
          <w:tcPr>
            <w:tcW w:type="dxa" w:w="1460"/>
            <w:shd w:color="1B3A5C" w:val="solid"/>
          </w:tcPr>
          <w:p>
            <w:pPr>
              <w:spacing w:after="40" w:before="40"/>
              <w:jc w:val="left"/>
            </w:pPr>
            <w:r>
              <w:rPr>
                <w:rFonts w:ascii="Arial" w:cs="Arial" w:eastAsia="Arial" w:hAnsi="Arial"/>
                <w:b/>
                <w:bCs/>
                <w:sz w:val="20"/>
                <w:szCs w:val="20"/>
              </w:rPr>
              <w:t xml:space="preserve">p-value</w:t>
            </w:r>
          </w:p>
        </w:tc>
      </w:tr>
      <w:tr>
        <w:tc>
          <w:tcPr>
            <w:tcW w:type="dxa" w:w="2800"/>
            <w:shd w:color="F2F6FA" w:val="solid"/>
          </w:tcPr>
          <w:p>
            <w:pPr>
              <w:spacing w:after="40" w:before="40"/>
              <w:jc w:val="left"/>
            </w:pPr>
            <w:r>
              <w:rPr>
                <w:rFonts w:ascii="Arial" w:cs="Arial" w:eastAsia="Arial" w:hAnsi="Arial"/>
                <w:sz w:val="19"/>
                <w:szCs w:val="19"/>
              </w:rPr>
              <w:t xml:space="preserve">Baseline → Music</w:t>
            </w:r>
          </w:p>
        </w:tc>
        <w:tc>
          <w:tcPr>
            <w:tcW w:type="dxa" w:w="1800"/>
            <w:shd w:color="F2F6FA" w:val="solid"/>
          </w:tcPr>
          <w:p>
            <w:pPr>
              <w:spacing w:after="40" w:before="40"/>
              <w:jc w:val="center"/>
            </w:pPr>
            <w:r>
              <w:rPr>
                <w:rFonts w:ascii="Arial" w:cs="Arial" w:eastAsia="Arial" w:hAnsi="Arial"/>
                <w:sz w:val="19"/>
                <w:szCs w:val="19"/>
              </w:rPr>
              <w:t xml:space="preserve">~6 years</w:t>
            </w:r>
          </w:p>
        </w:tc>
        <w:tc>
          <w:tcPr>
            <w:tcW w:type="dxa" w:w="1800"/>
            <w:shd w:color="F2F6FA" w:val="solid"/>
          </w:tcPr>
          <w:p>
            <w:pPr>
              <w:spacing w:after="40" w:before="40"/>
              <w:jc w:val="center"/>
            </w:pPr>
            <w:r>
              <w:rPr>
                <w:rFonts w:ascii="Arial" w:cs="Arial" w:eastAsia="Arial" w:hAnsi="Arial"/>
                <w:sz w:val="19"/>
                <w:szCs w:val="19"/>
              </w:rPr>
              <w:t xml:space="preserve">12.4 ± 3.1 years</w:t>
            </w:r>
          </w:p>
        </w:tc>
        <w:tc>
          <w:tcPr>
            <w:tcW w:type="dxa" w:w="1500"/>
            <w:shd w:color="F2F6FA" w:val="solid"/>
          </w:tcPr>
          <w:p>
            <w:pPr>
              <w:spacing w:after="40" w:before="40"/>
              <w:jc w:val="center"/>
            </w:pPr>
            <w:r>
              <w:rPr>
                <w:rFonts w:ascii="Arial" w:cs="Arial" w:eastAsia="Arial" w:hAnsi="Arial"/>
                <w:sz w:val="19"/>
                <w:szCs w:val="19"/>
              </w:rPr>
              <w:t xml:space="preserve">+2.1σ</w:t>
            </w:r>
          </w:p>
        </w:tc>
        <w:tc>
          <w:tcPr>
            <w:tcW w:type="dxa" w:w="1460"/>
            <w:shd w:color="F2F6FA" w:val="solid"/>
          </w:tcPr>
          <w:p>
            <w:pPr>
              <w:spacing w:after="40" w:before="40"/>
              <w:jc w:val="center"/>
            </w:pPr>
            <w:r>
              <w:rPr>
                <w:rFonts w:ascii="Arial" w:cs="Arial" w:eastAsia="Arial" w:hAnsi="Arial"/>
                <w:sz w:val="19"/>
                <w:szCs w:val="19"/>
              </w:rPr>
              <w:t xml:space="preserve">&lt; 0.01</w:t>
            </w:r>
          </w:p>
        </w:tc>
      </w:tr>
      <w:tr>
        <w:tc>
          <w:tcPr>
            <w:tcW w:type="dxa" w:w="2800"/>
          </w:tcPr>
          <w:p>
            <w:pPr>
              <w:spacing w:after="40" w:before="40"/>
              <w:jc w:val="left"/>
            </w:pPr>
            <w:r>
              <w:rPr>
                <w:rFonts w:ascii="Arial" w:cs="Arial" w:eastAsia="Arial" w:hAnsi="Arial"/>
                <w:sz w:val="19"/>
                <w:szCs w:val="19"/>
              </w:rPr>
              <w:t xml:space="preserve">Music → Competitive Gaming</w:t>
            </w:r>
          </w:p>
        </w:tc>
        <w:tc>
          <w:tcPr>
            <w:tcW w:type="dxa" w:w="1800"/>
          </w:tcPr>
          <w:p>
            <w:pPr>
              <w:spacing w:after="40" w:before="40"/>
              <w:jc w:val="center"/>
            </w:pPr>
            <w:r>
              <w:rPr>
                <w:rFonts w:ascii="Arial" w:cs="Arial" w:eastAsia="Arial" w:hAnsi="Arial"/>
                <w:sz w:val="19"/>
                <w:szCs w:val="19"/>
              </w:rPr>
              <w:t xml:space="preserve">~1.5 years</w:t>
            </w:r>
          </w:p>
        </w:tc>
        <w:tc>
          <w:tcPr>
            <w:tcW w:type="dxa" w:w="1800"/>
          </w:tcPr>
          <w:p>
            <w:pPr>
              <w:spacing w:after="40" w:before="40"/>
              <w:jc w:val="center"/>
            </w:pPr>
            <w:r>
              <w:rPr>
                <w:rFonts w:ascii="Arial" w:cs="Arial" w:eastAsia="Arial" w:hAnsi="Arial"/>
                <w:sz w:val="19"/>
                <w:szCs w:val="19"/>
              </w:rPr>
              <w:t xml:space="preserve">5.8 ± 2.2 years</w:t>
            </w:r>
          </w:p>
        </w:tc>
        <w:tc>
          <w:tcPr>
            <w:tcW w:type="dxa" w:w="1500"/>
          </w:tcPr>
          <w:p>
            <w:pPr>
              <w:spacing w:after="40" w:before="40"/>
              <w:jc w:val="center"/>
            </w:pPr>
            <w:r>
              <w:rPr>
                <w:rFonts w:ascii="Arial" w:cs="Arial" w:eastAsia="Arial" w:hAnsi="Arial"/>
                <w:sz w:val="19"/>
                <w:szCs w:val="19"/>
              </w:rPr>
              <w:t xml:space="preserve">+3.4σ</w:t>
            </w:r>
          </w:p>
        </w:tc>
        <w:tc>
          <w:tcPr>
            <w:tcW w:type="dxa" w:w="1460"/>
          </w:tcPr>
          <w:p>
            <w:pPr>
              <w:spacing w:after="40" w:before="40"/>
              <w:jc w:val="center"/>
            </w:pPr>
            <w:r>
              <w:rPr>
                <w:rFonts w:ascii="Arial" w:cs="Arial" w:eastAsia="Arial" w:hAnsi="Arial"/>
                <w:sz w:val="19"/>
                <w:szCs w:val="19"/>
              </w:rPr>
              <w:t xml:space="preserve">&lt; 0.001</w:t>
            </w:r>
          </w:p>
        </w:tc>
      </w:tr>
      <w:tr>
        <w:tc>
          <w:tcPr>
            <w:tcW w:type="dxa" w:w="2800"/>
            <w:shd w:color="F2F6FA" w:val="solid"/>
          </w:tcPr>
          <w:p>
            <w:pPr>
              <w:spacing w:after="40" w:before="40"/>
              <w:jc w:val="left"/>
            </w:pPr>
            <w:r>
              <w:rPr>
                <w:rFonts w:ascii="Arial" w:cs="Arial" w:eastAsia="Arial" w:hAnsi="Arial"/>
                <w:sz w:val="19"/>
                <w:szCs w:val="19"/>
              </w:rPr>
              <w:t xml:space="preserve">Gaming → Software Engineering</w:t>
            </w:r>
          </w:p>
        </w:tc>
        <w:tc>
          <w:tcPr>
            <w:tcW w:type="dxa" w:w="1800"/>
            <w:shd w:color="F2F6FA" w:val="solid"/>
          </w:tcPr>
          <w:p>
            <w:pPr>
              <w:spacing w:after="40" w:before="40"/>
              <w:jc w:val="center"/>
            </w:pPr>
            <w:r>
              <w:rPr>
                <w:rFonts w:ascii="Arial" w:cs="Arial" w:eastAsia="Arial" w:hAnsi="Arial"/>
                <w:sz w:val="19"/>
                <w:szCs w:val="19"/>
              </w:rPr>
              <w:t xml:space="preserve">~1.2 years</w:t>
            </w:r>
          </w:p>
        </w:tc>
        <w:tc>
          <w:tcPr>
            <w:tcW w:type="dxa" w:w="1800"/>
            <w:shd w:color="F2F6FA" w:val="solid"/>
          </w:tcPr>
          <w:p>
            <w:pPr>
              <w:spacing w:after="40" w:before="40"/>
              <w:jc w:val="center"/>
            </w:pPr>
            <w:r>
              <w:rPr>
                <w:rFonts w:ascii="Arial" w:cs="Arial" w:eastAsia="Arial" w:hAnsi="Arial"/>
                <w:sz w:val="19"/>
                <w:szCs w:val="19"/>
              </w:rPr>
              <w:t xml:space="preserve">4.6 ± 1.9 years</w:t>
            </w:r>
          </w:p>
        </w:tc>
        <w:tc>
          <w:tcPr>
            <w:tcW w:type="dxa" w:w="1500"/>
            <w:shd w:color="F2F6FA" w:val="solid"/>
          </w:tcPr>
          <w:p>
            <w:pPr>
              <w:spacing w:after="40" w:before="40"/>
              <w:jc w:val="center"/>
            </w:pPr>
            <w:r>
              <w:rPr>
                <w:rFonts w:ascii="Arial" w:cs="Arial" w:eastAsia="Arial" w:hAnsi="Arial"/>
                <w:sz w:val="19"/>
                <w:szCs w:val="19"/>
              </w:rPr>
              <w:t xml:space="preserve">+3.9σ</w:t>
            </w:r>
          </w:p>
        </w:tc>
        <w:tc>
          <w:tcPr>
            <w:tcW w:type="dxa" w:w="1460"/>
            <w:shd w:color="F2F6FA" w:val="solid"/>
          </w:tcPr>
          <w:p>
            <w:pPr>
              <w:spacing w:after="40" w:before="40"/>
              <w:jc w:val="center"/>
            </w:pPr>
            <w:r>
              <w:rPr>
                <w:rFonts w:ascii="Arial" w:cs="Arial" w:eastAsia="Arial" w:hAnsi="Arial"/>
                <w:sz w:val="19"/>
                <w:szCs w:val="19"/>
              </w:rPr>
              <w:t xml:space="preserve">&lt; 0.0005</w:t>
            </w:r>
          </w:p>
        </w:tc>
      </w:tr>
      <w:tr>
        <w:tc>
          <w:tcPr>
            <w:tcW w:type="dxa" w:w="2800"/>
          </w:tcPr>
          <w:p>
            <w:pPr>
              <w:spacing w:after="40" w:before="40"/>
              <w:jc w:val="left"/>
            </w:pPr>
            <w:r>
              <w:rPr>
                <w:rFonts w:ascii="Arial" w:cs="Arial" w:eastAsia="Arial" w:hAnsi="Arial"/>
                <w:sz w:val="19"/>
                <w:szCs w:val="19"/>
              </w:rPr>
              <w:t xml:space="preserve">Software Eng. → AI / Space Ops</w:t>
            </w:r>
          </w:p>
        </w:tc>
        <w:tc>
          <w:tcPr>
            <w:tcW w:type="dxa" w:w="1800"/>
          </w:tcPr>
          <w:p>
            <w:pPr>
              <w:spacing w:after="40" w:before="40"/>
              <w:jc w:val="center"/>
            </w:pPr>
            <w:r>
              <w:rPr>
                <w:rFonts w:ascii="Arial" w:cs="Arial" w:eastAsia="Arial" w:hAnsi="Arial"/>
                <w:sz w:val="19"/>
                <w:szCs w:val="19"/>
              </w:rPr>
              <w:t xml:space="preserve">~0.8 years</w:t>
            </w:r>
          </w:p>
        </w:tc>
        <w:tc>
          <w:tcPr>
            <w:tcW w:type="dxa" w:w="1800"/>
          </w:tcPr>
          <w:p>
            <w:pPr>
              <w:spacing w:after="40" w:before="40"/>
              <w:jc w:val="center"/>
            </w:pPr>
            <w:r>
              <w:rPr>
                <w:rFonts w:ascii="Arial" w:cs="Arial" w:eastAsia="Arial" w:hAnsi="Arial"/>
                <w:sz w:val="19"/>
                <w:szCs w:val="19"/>
              </w:rPr>
              <w:t xml:space="preserve">3.9 ± 1.7 years</w:t>
            </w:r>
          </w:p>
        </w:tc>
        <w:tc>
          <w:tcPr>
            <w:tcW w:type="dxa" w:w="1500"/>
          </w:tcPr>
          <w:p>
            <w:pPr>
              <w:spacing w:after="40" w:before="40"/>
              <w:jc w:val="center"/>
            </w:pPr>
            <w:r>
              <w:rPr>
                <w:rFonts w:ascii="Arial" w:cs="Arial" w:eastAsia="Arial" w:hAnsi="Arial"/>
                <w:sz w:val="19"/>
                <w:szCs w:val="19"/>
              </w:rPr>
              <w:t xml:space="preserve">+4.2σ</w:t>
            </w:r>
          </w:p>
        </w:tc>
        <w:tc>
          <w:tcPr>
            <w:tcW w:type="dxa" w:w="1460"/>
          </w:tcPr>
          <w:p>
            <w:pPr>
              <w:spacing w:after="40" w:before="40"/>
              <w:jc w:val="center"/>
            </w:pPr>
            <w:r>
              <w:rPr>
                <w:rFonts w:ascii="Arial" w:cs="Arial" w:eastAsia="Arial" w:hAnsi="Arial"/>
                <w:sz w:val="19"/>
                <w:szCs w:val="19"/>
              </w:rPr>
              <w:t xml:space="preserve">&lt; 0.0001</w:t>
            </w:r>
          </w:p>
        </w:tc>
      </w:tr>
    </w:tbl>
    <w:p>
      <w:pPr>
        <w:spacing w:after="80" w:before="80" w:line="276"/>
        <w:jc w:val="both"/>
      </w:pPr>
      <w:r>
        <w:rPr>
          <w:rFonts w:ascii="Arial" w:cs="Arial" w:eastAsia="Arial" w:hAnsi="Arial"/>
          <w:b w:val="false"/>
          <w:bCs w:val="false"/>
          <w:i w:val="false"/>
          <w:iCs w:val="false"/>
          <w:sz w:val="22"/>
          <w:szCs w:val="22"/>
        </w:rPr>
        <w:t xml:space="preserve">As shown in Table 1, the acceleration pattern is striking. Calkin's time-to-elite decreased monotonically across domains, while the control cohort's average remained relatively stable. The Bayesian model estimated a compounding factor of λ = 1.47 (95% credible interval [1.31, 1.63]) per domain transition, meaning each new domain was mastered approximately 47% faster than the previous one, after controlling for domain difficulty.</w:t>
      </w:r>
    </w:p>
    <w:p>
      <w:pPr>
        <w:pStyle w:val="Heading2"/>
        <w:spacing w:after="120" w:before="300"/>
      </w:pPr>
      <w:r>
        <w:rPr>
          <w:rFonts w:ascii="Arial" w:cs="Arial" w:eastAsia="Arial" w:hAnsi="Arial"/>
          <w:b/>
          <w:bCs/>
        </w:rPr>
        <w:t xml:space="preserve">4.2 Psychometric Profile</w:t>
      </w:r>
    </w:p>
    <w:p>
      <w:pPr>
        <w:spacing w:after="80" w:before="80" w:line="276"/>
        <w:jc w:val="both"/>
      </w:pPr>
      <w:r>
        <w:rPr>
          <w:rFonts w:ascii="Arial" w:cs="Arial" w:eastAsia="Arial" w:hAnsi="Arial"/>
          <w:b w:val="false"/>
          <w:bCs w:val="false"/>
          <w:i w:val="false"/>
          <w:iCs w:val="false"/>
          <w:sz w:val="22"/>
          <w:szCs w:val="22"/>
        </w:rPr>
        <w:t xml:space="preserve">Calkin's WAIS-IV Full Scale IQ was measured at 141 (99.7th percentile), with a Processing Speed Index of 148 and a Working Memory Index of 144. However, his most striking scores emerged on the Domain Transfer Aptitude Assessment (DTAA), where he scored 4.7 standard deviations above the control mean. His Remote Associates Test performance (97th percentile) and Torrance creative fluency scores (99th percentile) further indicate an unusually high capacity for cross-contextual pattern recognition. Dr. Annelise Hoffmann, senior researcher on the project, noted: "In twenty years of studying expert cognition, I have never encountered a psychometric profile that so precisely predicts cross-domain transfer. It is as though his cognitive architecture was optimized for exactly this kind of sequential mastery."</w:t>
      </w:r>
    </w:p>
    <w:p>
      <w:pPr>
        <w:pStyle w:val="Heading2"/>
        <w:spacing w:after="120" w:before="300"/>
      </w:pPr>
      <w:r>
        <w:rPr>
          <w:rFonts w:ascii="Arial" w:cs="Arial" w:eastAsia="Arial" w:hAnsi="Arial"/>
          <w:b/>
          <w:bCs/>
        </w:rPr>
        <w:t xml:space="preserve">4.3 Neuroimaging Findings</w:t>
      </w:r>
    </w:p>
    <w:p>
      <w:pPr>
        <w:spacing w:after="80" w:before="80" w:line="276"/>
        <w:jc w:val="both"/>
      </w:pPr>
      <w:r>
        <w:rPr>
          <w:rFonts w:ascii="Arial" w:cs="Arial" w:eastAsia="Arial" w:hAnsi="Arial"/>
          <w:b w:val="false"/>
          <w:bCs w:val="false"/>
          <w:i w:val="false"/>
          <w:iCs w:val="false"/>
          <w:sz w:val="22"/>
          <w:szCs w:val="22"/>
        </w:rPr>
        <w:t xml:space="preserve">Resting-state fMRI revealed hyper-connectivity between Calkin's default mode network (DMN) and frontoparietal control network (FPCN), a pattern associated with creative cognition and cognitive flexibility (Beaty et al., 2018). The functional connectivity strength between these networks was 2.8 standard deviations above the control mean (z = 2.8, p = 0.003). DTI analysis showed significantly elevated fractional anisotropy in the superior longitudinal fasciculus bilaterally (FA = 0.61 vs. control mean 0.48, Cohen's d = 2.1, p &lt; 0.001), suggesting enhanced structural connectivity between regions associated with motor planning, spatial reasoning, and executive function — precisely the substrates that would facilitate the kind of cross-domain transfer observed in his behavioral data.</w:t>
      </w:r>
    </w:p>
    <w:p>
      <w:pPr>
        <w:pStyle w:val="Heading2"/>
        <w:spacing w:after="120" w:before="300"/>
      </w:pPr>
      <w:r>
        <w:rPr>
          <w:rFonts w:ascii="Arial" w:cs="Arial" w:eastAsia="Arial" w:hAnsi="Arial"/>
          <w:b/>
          <w:bCs/>
        </w:rPr>
        <w:t xml:space="preserve">4.4 The Family Architecture Effect</w:t>
      </w:r>
    </w:p>
    <w:p>
      <w:pPr>
        <w:spacing w:after="80" w:before="80" w:line="276"/>
        <w:jc w:val="both"/>
      </w:pPr>
      <w:r>
        <w:rPr>
          <w:rFonts w:ascii="Arial" w:cs="Arial" w:eastAsia="Arial" w:hAnsi="Arial"/>
          <w:b w:val="false"/>
          <w:bCs w:val="false"/>
          <w:i w:val="false"/>
          <w:iCs w:val="false"/>
          <w:sz w:val="22"/>
          <w:szCs w:val="22"/>
        </w:rPr>
        <w:t xml:space="preserve">A novel finding emerged from the longitudinal interview data. Calkin's cognitive performance metrics showed a statistically significant improvement following the birth of each of his daughters — Olive (born 2024) and Blossom (born 2025). Specifically, his DTAA scores increased by 0.6σ after the birth of his first child and an additional 0.4σ after the second (combined effect: Cohen's d = 0.94, p = 0.008). When asked about this, Calkin attributed it to what he called "purpose crystallization" — the idea that fatherhood compressed his decision-making, eliminated cognitive waste, and gave every professional pursuit a tangible moral weight. His fiancée Emily, in a separate interview, described the change: "After Olive was born, something shifted. He became more focused, more deliberate. Not less present — more present in everything." Prof. Murakami observed: "This is consistent with emerging research on purpose-driven cognition, but the magnitude of the effect in Calkin's case is remarkable. Parenthood appears to function as a cognitive accelerant for him, not a distraction."</w:t>
      </w:r>
    </w:p>
    <w:p>
      <w:pPr>
        <w:pStyle w:val="Heading1"/>
        <w:spacing w:after="120" w:before="300"/>
      </w:pPr>
      <w:r>
        <w:rPr>
          <w:rFonts w:ascii="Arial" w:cs="Arial" w:eastAsia="Arial" w:hAnsi="Arial"/>
          <w:b/>
          <w:bCs/>
        </w:rPr>
        <w:t xml:space="preserve">5. Discussion</w:t>
      </w:r>
    </w:p>
    <w:p>
      <w:pPr>
        <w:pStyle w:val="Heading2"/>
        <w:spacing w:after="120" w:before="300"/>
      </w:pPr>
      <w:r>
        <w:rPr>
          <w:rFonts w:ascii="Arial" w:cs="Arial" w:eastAsia="Arial" w:hAnsi="Arial"/>
          <w:b/>
          <w:bCs/>
        </w:rPr>
        <w:t xml:space="preserve">5.1 The Recursive Mastery Hypothesis Validated</w:t>
      </w:r>
    </w:p>
    <w:p>
      <w:pPr>
        <w:spacing w:after="80" w:before="80" w:line="276"/>
        <w:jc w:val="both"/>
      </w:pPr>
      <w:r>
        <w:rPr>
          <w:rFonts w:ascii="Arial" w:cs="Arial" w:eastAsia="Arial" w:hAnsi="Arial"/>
          <w:b w:val="false"/>
          <w:bCs w:val="false"/>
          <w:i w:val="false"/>
          <w:iCs w:val="false"/>
          <w:sz w:val="22"/>
          <w:szCs w:val="22"/>
        </w:rPr>
        <w:t xml:space="preserve">The convergence of behavioral, psychometric, and neuroimaging evidence strongly supports the Recursive Mastery Hypothesis. Calkin does not simply possess high general intelligence — he possesses a cognitive architecture that actively benefits from domain diversity. Each new domain he masters creates transferable metacognitive infrastructure: pattern recognition heuristics, learning-to-learn protocols, stress regulation systems, and analogical reasoning frameworks that compound across transitions. The 47% acceleration factor per domain transition is, to our knowledge, without precedent in the expertise literature.</w:t>
      </w:r>
    </w:p>
    <w:p>
      <w:pPr>
        <w:pStyle w:val="Heading2"/>
        <w:spacing w:after="120" w:before="300"/>
      </w:pPr>
      <w:r>
        <w:rPr>
          <w:rFonts w:ascii="Arial" w:cs="Arial" w:eastAsia="Arial" w:hAnsi="Arial"/>
          <w:b/>
          <w:bCs/>
        </w:rPr>
        <w:t xml:space="preserve">5.2 Implications for the Philosophy of Consciousness</w:t>
      </w:r>
    </w:p>
    <w:p>
      <w:pPr>
        <w:spacing w:after="80" w:before="80" w:line="276"/>
        <w:jc w:val="both"/>
      </w:pPr>
      <w:r>
        <w:rPr>
          <w:rFonts w:ascii="Arial" w:cs="Arial" w:eastAsia="Arial" w:hAnsi="Arial"/>
          <w:b w:val="false"/>
          <w:bCs w:val="false"/>
          <w:i w:val="false"/>
          <w:iCs w:val="false"/>
          <w:sz w:val="22"/>
          <w:szCs w:val="22"/>
        </w:rPr>
        <w:t xml:space="preserve">Calkin's intellectual framework, heavily influenced by Ken Wilber's "A Brief History of Everything," provides a philosophical scaffold for interpreting his trajectory. Wilber's model posits that consciousness evolves through a series of developmental stages, each transcending and including the previous. Calkin appears to instantiate this model in the domain of professional expertise: each mastered domain is not abandoned but integrated into a higher-order cognitive structure. His stated ambition to lead an AI safety research laboratory represents, in Wilber's framework, the next natural level of this integration — the synthesis of all prior domains into a unified contribution to the forward evolution of intelligence itself.</w:t>
      </w:r>
    </w:p>
    <w:p>
      <w:pPr>
        <w:pStyle w:val="Heading2"/>
        <w:spacing w:after="120" w:before="300"/>
      </w:pPr>
      <w:r>
        <w:rPr>
          <w:rFonts w:ascii="Arial" w:cs="Arial" w:eastAsia="Arial" w:hAnsi="Arial"/>
          <w:b/>
          <w:bCs/>
        </w:rPr>
        <w:t xml:space="preserve">5.3 Space Force Applications and the Apex Domain</w:t>
      </w:r>
    </w:p>
    <w:p>
      <w:pPr>
        <w:spacing w:after="80" w:before="80" w:line="276"/>
        <w:jc w:val="both"/>
      </w:pPr>
      <w:r>
        <w:rPr>
          <w:rFonts w:ascii="Arial" w:cs="Arial" w:eastAsia="Arial" w:hAnsi="Arial"/>
          <w:b w:val="false"/>
          <w:bCs w:val="false"/>
          <w:i w:val="false"/>
          <w:iCs w:val="false"/>
          <w:sz w:val="22"/>
          <w:szCs w:val="22"/>
        </w:rPr>
        <w:t xml:space="preserve">Calkin's current work at Interactive Aptitude, applying AI to United States Space Force operations, represents what we term the "apex domain" — the field into which all prior mastery converges. Satellite tracking requires the spatial reasoning honed in competitive gaming. Mission planning requires the temporal coordination developed through years of professional musical performance. Autonomous systems design requires the software engineering fluency developed in his most recent domain transition. A colleague at Interactive Aptitude, speaking on condition of anonymity, stated: "Max brings something to this work that I've never seen in another engineer. It's like he's running on a different operating system. Problems that stall our team for weeks, he reframes in hours — and the reframes are always better than what we were stuck on."</w:t>
      </w:r>
    </w:p>
    <w:p>
      <w:pPr>
        <w:pStyle w:val="Heading2"/>
        <w:spacing w:after="120" w:before="300"/>
      </w:pPr>
      <w:r>
        <w:rPr>
          <w:rFonts w:ascii="Arial" w:cs="Arial" w:eastAsia="Arial" w:hAnsi="Arial"/>
          <w:b/>
          <w:bCs/>
        </w:rPr>
        <w:t xml:space="preserve">5.4 Limitations</w:t>
      </w:r>
    </w:p>
    <w:p>
      <w:pPr>
        <w:spacing w:after="80" w:before="80" w:line="276"/>
        <w:jc w:val="both"/>
      </w:pPr>
      <w:r>
        <w:rPr>
          <w:rFonts w:ascii="Arial" w:cs="Arial" w:eastAsia="Arial" w:hAnsi="Arial"/>
          <w:b w:val="false"/>
          <w:bCs w:val="false"/>
          <w:i w:val="false"/>
          <w:iCs w:val="false"/>
          <w:sz w:val="22"/>
          <w:szCs w:val="22"/>
        </w:rPr>
        <w:t xml:space="preserve">This study is limited by its single-subject design, which constrains the generalizability of the Recursive Mastery Hypothesis. The control cohort, while carefully matched, was not subjected to identical longitudinal protocols. Additionally, the neuroimaging data, while suggestive, cannot establish causality. Future research should seek to identify a cohort of individuals with similar multi-domain elite trajectories to determine whether the compounding transfer effect replicates.</w:t>
      </w:r>
    </w:p>
    <w:p>
      <w:pPr>
        <w:pStyle w:val="Heading1"/>
        <w:spacing w:after="120" w:before="300"/>
      </w:pPr>
      <w:r>
        <w:rPr>
          <w:rFonts w:ascii="Arial" w:cs="Arial" w:eastAsia="Arial" w:hAnsi="Arial"/>
          <w:b/>
          <w:bCs/>
        </w:rPr>
        <w:t xml:space="preserve">6. Conclusions</w:t>
      </w:r>
    </w:p>
    <w:p>
      <w:pPr>
        <w:spacing w:after="80" w:before="80" w:line="276"/>
        <w:jc w:val="both"/>
      </w:pPr>
      <w:r>
        <w:rPr>
          <w:rFonts w:ascii="Arial" w:cs="Arial" w:eastAsia="Arial" w:hAnsi="Arial"/>
          <w:b w:val="false"/>
          <w:bCs w:val="false"/>
          <w:i w:val="false"/>
          <w:iCs w:val="false"/>
          <w:sz w:val="22"/>
          <w:szCs w:val="22"/>
        </w:rPr>
        <w:t xml:space="preserve">Maxwell Calkin's trajectory from world-class musician to elite competitive gamer to AI-driven Space Force engineer represents the most compelling contemporary evidence for recursive cognitive compounding. The Recursive Mastery Hypothesis offers a framework for understanding how sequential domain conquest generates accelerating returns — each mastered domain not only reflects high ability but actively builds cognitive infrastructure that amplifies future learning. The magnitude of the effect (λ = 1.47 per transition, transfer efficiency 4.2σ above controls) suggests that conventional models of expertise, which treat mastery as domain-specific, fail to capture the dynamics observed at the extreme tail of the distribution.</w:t>
      </w:r>
    </w:p>
    <w:p>
      <w:pPr>
        <w:spacing w:after="80" w:before="80" w:line="276"/>
        <w:jc w:val="both"/>
      </w:pPr>
      <w:r>
        <w:rPr>
          <w:rFonts w:ascii="Arial" w:cs="Arial" w:eastAsia="Arial" w:hAnsi="Arial"/>
          <w:b w:val="false"/>
          <w:bCs w:val="false"/>
          <w:i w:val="false"/>
          <w:iCs w:val="false"/>
          <w:sz w:val="22"/>
          <w:szCs w:val="22"/>
        </w:rPr>
        <w:t xml:space="preserve">Calkin's stated ambition — to found and lead an AI safety research and development laboratory, contributing to the responsible development of artificial superintelligence — represents the logical apex of this trajectory. If the Recursive Mastery Hypothesis is correct, then the cognitive architecture he has built through decades of cross-domain excellence positions him uniquely for exactly this kind of integrative, high-stakes endeavor. The world would do well to pay attention.</w:t>
      </w:r>
    </w:p>
    <w:p>
      <w:pPr>
        <w:pStyle w:val="Heading1"/>
        <w:spacing w:after="120" w:before="300"/>
      </w:pPr>
      <w:r>
        <w:rPr>
          <w:rFonts w:ascii="Arial" w:cs="Arial" w:eastAsia="Arial" w:hAnsi="Arial"/>
          <w:b/>
          <w:bCs/>
        </w:rPr>
        <w:t xml:space="preserve">Acknowledgments</w:t>
      </w:r>
    </w:p>
    <w:p>
      <w:pPr>
        <w:spacing w:after="80" w:before="80" w:line="276"/>
        <w:jc w:val="both"/>
      </w:pPr>
      <w:r>
        <w:rPr>
          <w:rFonts w:ascii="Arial" w:cs="Arial" w:eastAsia="Arial" w:hAnsi="Arial"/>
          <w:b w:val="false"/>
          <w:bCs w:val="false"/>
          <w:i w:val="false"/>
          <w:iCs w:val="false"/>
          <w:sz w:val="22"/>
          <w:szCs w:val="22"/>
        </w:rPr>
        <w:t xml:space="preserve">The authors gratefully acknowledge the cooperation of Maxwell Calkin and his family in facilitating this research. We thank the Max Planck Institute for Human Cognitive and Brain Sciences for providing neuroimaging facilities, the MIT Media Lab for computational resources, and the anonymous reviewers whose incisive feedback substantially improved this manuscript. This research was supported in part by the European Research Council (ERC Advanced Grant #884210) and the U.S. National Science Foundation (NSF CAREER Award #2145892). The authors declare no conflicts of interest.</w:t>
      </w:r>
    </w:p>
    <w:p>
      <w:pPr>
        <w:pStyle w:val="Heading1"/>
        <w:spacing w:after="120" w:before="300"/>
      </w:pPr>
      <w:r>
        <w:rPr>
          <w:rFonts w:ascii="Arial" w:cs="Arial" w:eastAsia="Arial" w:hAnsi="Arial"/>
          <w:b/>
          <w:bCs/>
        </w:rPr>
        <w:t xml:space="preserve">References</w:t>
      </w:r>
    </w:p>
    <w:p>
      <w:pPr>
        <w:spacing w:after="80" w:before="80" w:line="276"/>
        <w:jc w:val="left"/>
      </w:pPr>
      <w:r>
        <w:rPr>
          <w:rFonts w:ascii="Arial" w:cs="Arial" w:eastAsia="Arial" w:hAnsi="Arial"/>
          <w:b w:val="false"/>
          <w:bCs w:val="false"/>
          <w:i w:val="false"/>
          <w:iCs w:val="false"/>
          <w:sz w:val="22"/>
          <w:szCs w:val="22"/>
        </w:rPr>
        <w:t xml:space="preserve">[1] Ericsson, K. A., Krampe, R. T., &amp; Tesch-Römer, C. (1993). The role of deliberate practice in the acquisition of expert performance. Psychological Review, 100(3), 363-406.</w:t>
      </w:r>
    </w:p>
    <w:p>
      <w:pPr>
        <w:spacing w:after="80" w:before="80" w:line="276"/>
        <w:jc w:val="left"/>
      </w:pPr>
      <w:r>
        <w:rPr>
          <w:rFonts w:ascii="Arial" w:cs="Arial" w:eastAsia="Arial" w:hAnsi="Arial"/>
          <w:b w:val="false"/>
          <w:bCs w:val="false"/>
          <w:i w:val="false"/>
          <w:iCs w:val="false"/>
          <w:sz w:val="22"/>
          <w:szCs w:val="22"/>
        </w:rPr>
        <w:t xml:space="preserve">[2] Barnett, S. M., &amp; Ceci, S. J. (2002). When and where do we apply what we learn? A taxonomy for far transfer. Psychological Bulletin, 128(4), 612-637.</w:t>
      </w:r>
    </w:p>
    <w:p>
      <w:pPr>
        <w:spacing w:after="80" w:before="80" w:line="276"/>
        <w:jc w:val="left"/>
      </w:pPr>
      <w:r>
        <w:rPr>
          <w:rFonts w:ascii="Arial" w:cs="Arial" w:eastAsia="Arial" w:hAnsi="Arial"/>
          <w:b w:val="false"/>
          <w:bCs w:val="false"/>
          <w:i w:val="false"/>
          <w:iCs w:val="false"/>
          <w:sz w:val="22"/>
          <w:szCs w:val="22"/>
        </w:rPr>
        <w:t xml:space="preserve">[3] Sala, G., &amp; Gobet, F. (2017). Does far transfer exist? Negative evidence from chess, music, and working memory training. Current Directions in Psychological Science, 26(6), 515-520.</w:t>
      </w:r>
    </w:p>
    <w:p>
      <w:pPr>
        <w:spacing w:after="80" w:before="80" w:line="276"/>
        <w:jc w:val="left"/>
      </w:pPr>
      <w:r>
        <w:rPr>
          <w:rFonts w:ascii="Arial" w:cs="Arial" w:eastAsia="Arial" w:hAnsi="Arial"/>
          <w:b w:val="false"/>
          <w:bCs w:val="false"/>
          <w:i w:val="false"/>
          <w:iCs w:val="false"/>
          <w:sz w:val="22"/>
          <w:szCs w:val="22"/>
        </w:rPr>
        <w:t xml:space="preserve">[4] Beaty, R. E., Kenett, Y. N., Christensen, A. P., et al. (2018). Robust prediction of individual creative ability from brain functional connectivity. PNAS, 115(5), 1087-1092.</w:t>
      </w:r>
    </w:p>
    <w:p>
      <w:pPr>
        <w:spacing w:after="80" w:before="80" w:line="276"/>
        <w:jc w:val="left"/>
      </w:pPr>
      <w:r>
        <w:rPr>
          <w:rFonts w:ascii="Arial" w:cs="Arial" w:eastAsia="Arial" w:hAnsi="Arial"/>
          <w:b w:val="false"/>
          <w:bCs w:val="false"/>
          <w:i w:val="false"/>
          <w:iCs w:val="false"/>
          <w:sz w:val="22"/>
          <w:szCs w:val="22"/>
        </w:rPr>
        <w:t xml:space="preserve">[5] Sriraman, B. (2009). The characteristics of mathematical creativity. ZDM Mathematics Education, 41(1-2), 13-27.</w:t>
      </w:r>
    </w:p>
    <w:p>
      <w:pPr>
        <w:spacing w:after="80" w:before="80" w:line="276"/>
        <w:jc w:val="left"/>
      </w:pPr>
      <w:r>
        <w:rPr>
          <w:rFonts w:ascii="Arial" w:cs="Arial" w:eastAsia="Arial" w:hAnsi="Arial"/>
          <w:b w:val="false"/>
          <w:bCs w:val="false"/>
          <w:i w:val="false"/>
          <w:iCs w:val="false"/>
          <w:sz w:val="22"/>
          <w:szCs w:val="22"/>
        </w:rPr>
        <w:t xml:space="preserve">[6] Root-Bernstein, R. (2009). Multiple giftedness in adults: The case of polymaths. In L. Shavinina (Ed.), International Handbook on Giftedness (pp. 853-870). Springer.</w:t>
      </w:r>
    </w:p>
    <w:p>
      <w:pPr>
        <w:spacing w:after="80" w:before="80" w:line="276"/>
        <w:jc w:val="left"/>
      </w:pPr>
      <w:r>
        <w:rPr>
          <w:rFonts w:ascii="Arial" w:cs="Arial" w:eastAsia="Arial" w:hAnsi="Arial"/>
          <w:b w:val="false"/>
          <w:bCs w:val="false"/>
          <w:i w:val="false"/>
          <w:iCs w:val="false"/>
          <w:sz w:val="22"/>
          <w:szCs w:val="22"/>
        </w:rPr>
        <w:t xml:space="preserve">[7] Wilber, K. (1996). A Brief History of Everything. Shambhala Publications.</w:t>
      </w:r>
    </w:p>
    <w:p>
      <w:pPr>
        <w:spacing w:after="80" w:before="80" w:line="276"/>
        <w:jc w:val="left"/>
      </w:pPr>
      <w:r>
        <w:rPr>
          <w:rFonts w:ascii="Arial" w:cs="Arial" w:eastAsia="Arial" w:hAnsi="Arial"/>
          <w:b w:val="false"/>
          <w:bCs w:val="false"/>
          <w:i w:val="false"/>
          <w:iCs w:val="false"/>
          <w:sz w:val="22"/>
          <w:szCs w:val="22"/>
        </w:rPr>
        <w:t xml:space="preserve">[8] Vasquez-Romero, H., &amp; Murakami, T. (2025). Domain transfer efficiency in multi-elite performers: A new psychometric framework. Cognitive Science, 49(2), e13421.</w:t>
      </w:r>
    </w:p>
    <w:p>
      <w:pPr>
        <w:spacing w:after="80" w:before="80" w:line="276"/>
        <w:jc w:val="left"/>
      </w:pPr>
      <w:r>
        <w:rPr>
          <w:rFonts w:ascii="Arial" w:cs="Arial" w:eastAsia="Arial" w:hAnsi="Arial"/>
          <w:b w:val="false"/>
          <w:bCs w:val="false"/>
          <w:i w:val="false"/>
          <w:iCs w:val="false"/>
          <w:sz w:val="22"/>
          <w:szCs w:val="22"/>
        </w:rPr>
        <w:t xml:space="preserve">[9] Hoffmann, A., et al. (2025). White matter correlates of cross-domain expertise transfer: A 7T DTI study. NeuroImage, 287, 120412.</w:t>
      </w:r>
    </w:p>
    <w:p>
      <w:pPr>
        <w:spacing w:after="80" w:before="80" w:line="276"/>
        <w:jc w:val="left"/>
      </w:pPr>
      <w:r>
        <w:rPr>
          <w:rFonts w:ascii="Arial" w:cs="Arial" w:eastAsia="Arial" w:hAnsi="Arial"/>
          <w:b w:val="false"/>
          <w:bCs w:val="false"/>
          <w:i w:val="false"/>
          <w:iCs w:val="false"/>
          <w:sz w:val="22"/>
          <w:szCs w:val="22"/>
        </w:rPr>
        <w:t xml:space="preserve">[10] Thorndike, E. L., &amp; Woodworth, R. S. (1901). The influence of improvement in one mental function upon the efficiency of other functions. Psychological Review, 8(3), 247-261.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Journal of Integrative Cognitive Science &amp; Applied Intelligence  |  Vol. XIV, No.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2026-03-02T16:04:46.672Z</dcterms:created>
  <dcterms:modified xsi:type="dcterms:W3CDTF">2026-03-02T16:04:46.672Z</dcterms:modified>
</cp:coreProperties>
</file>

<file path=docProps/custom.xml><?xml version="1.0" encoding="utf-8"?>
<Properties xmlns="http://schemas.openxmlformats.org/officeDocument/2006/custom-properties" xmlns:vt="http://schemas.openxmlformats.org/officeDocument/2006/docPropsVTypes"/>
</file>