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b/>
          <w:bCs/>
          <w:color w:val="1F2A44"/>
          <w:sz w:val="64"/>
          <w:szCs w:val="64"/>
        </w:rPr>
        <w:t xml:space="preserve">DESKSEC</w:t>
      </w:r>
    </w:p>
    <w:p>
      <w:pPr>
        <w:spacing w:after="300"/>
        <w:jc w:val="center"/>
      </w:pPr>
      <w:r>
        <w:rPr>
          <w:b/>
          <w:bCs/>
          <w:color w:val="595959"/>
          <w:sz w:val="32"/>
          <w:szCs w:val="32"/>
        </w:rPr>
        <w:t xml:space="preserve">Remediation Verification Audit — Revision 2</w:t>
      </w:r>
    </w:p>
    <w:p>
      <w:pPr>
        <w:spacing w:after="800"/>
        <w:jc w:val="center"/>
      </w:pPr>
      <w:r>
        <w:rPr>
          <w:color w:val="595959"/>
          <w:sz w:val="22"/>
          <w:szCs w:val="22"/>
        </w:rPr>
        <w:t xml:space="preserve">Follow-up to the July 5, 2026 Engineering Audit — Fix Verification &amp; Updated Action Plan</w:t>
      </w:r>
    </w:p>
    <w:p>
      <w:pPr>
        <w:spacing w:after="100"/>
        <w:jc w:val="center"/>
      </w:pPr>
      <w:r>
        <w:rPr>
          <w:sz w:val="22"/>
          <w:szCs w:val="22"/>
        </w:rPr>
        <w:t xml:space="preserve">Prepared for: DeskSec Engineering Leadership</w:t>
      </w:r>
    </w:p>
    <w:p>
      <w:pPr>
        <w:spacing w:after="100"/>
        <w:jc w:val="center"/>
      </w:pPr>
      <w:r>
        <w:rPr>
          <w:sz w:val="22"/>
          <w:szCs w:val="22"/>
        </w:rPr>
        <w:t xml:space="preserve">Date: July 5, 2026</w:t>
      </w:r>
    </w:p>
    <w:p>
      <w:pPr>
        <w:spacing w:after="100"/>
        <w:jc w:val="center"/>
      </w:pPr>
      <w:r>
        <w:rPr>
          <w:sz w:val="22"/>
          <w:szCs w:val="22"/>
        </w:rPr>
        <w:t xml:space="preserve">Method: every finding from the original audit was independently re-verified against the current source (not against developer claims); recently changed files were also re-scanned for newly introduced issues.</w:t>
      </w:r>
    </w:p>
    <w:p>
      <w:pPr>
        <w:pageBreakBefore/>
      </w:pPr>
      <w:r>
        <w:br/>
        <w:t xml:space="preserve"/>
      </w:r>
    </w:p>
    <w:p>
      <w:pPr>
        <w:pStyle w:val="Heading1"/>
        <w:pBdr>
          <w:bottom w:val="single" w:color="1F2A44" w:sz="12" w:space="4"/>
        </w:pBdr>
        <w:spacing w:after="200" w:before="480"/>
      </w:pPr>
      <w:r>
        <w:t xml:space="preserve">Executive Summary</w:t>
      </w:r>
    </w:p>
    <w:p>
      <w:pPr>
        <w:spacing w:after="140" w:line="276"/>
      </w:pPr>
      <w:r>
        <w:t xml:space="preserve">This is a follow-up to the July 5, 2026 DeskSec engineering audit. All 21 findings from that report (6 rated High, 7 Medium, 8 Low) were individually re-checked against the current codebase. Of the 21: 8 are fully FIXED, 4 are PARTIALLY FIXED (a real but incomplete remediation), and 9 remain NOT FIXED. Two new, minor issues were introduced as a side effect of the partial SettingsModal refactor and are documented below.</w:t>
      </w:r>
    </w:p>
    <w:p>
      <w:pPr>
        <w:spacing w:after="140" w:line="276"/>
      </w:pPr>
      <w:r>
        <w:t xml:space="preserve">The pattern of what got fixed is consistent and encouraging: every Low-severity item that had a clean, mechanical fix was actually completed — the duplicated highlight() function was extracted to a shared utility, the misleadingly -named sync.rs was replaced with a correctly named locking.rs, dead helper functions in secrets.rs were removed, the loading modal now has a focus trap, tsconfig.node.json now matches the root config's strictness, ESLint was added with real rules (not a stub config) and wired into CI, and 5 of 6 unsafe .expect() calls were converted to proper error propagation. Temp audio file handling was also fully fixed, now using tempfile::NamedTempFile for guaranteed cleanup and safe permissions.</w:t>
      </w:r>
    </w:p>
    <w:p>
      <w:pPr>
        <w:spacing w:after="140" w:line="276"/>
      </w:pPr>
      <w:r>
        <w:t xml:space="preserve">The four High-severity items tell a different story. None of them are fully resolved. The unencrypted local database (this audit's top finding) is unchanged — the only change is a new code comment and a new README line explicitly disclosing that at-rest confidentiality now relies on OS-level full-disk encryption rather than application-level encryption. That is a legitimate, honest documentation improvement, but it is a decision to accept the risk, not a fix for it, and the report is updating its record accordingly rather than crediting it as resolved. The error-message-leakage finding is genuinely improved for the one code path that was called out specifically (summary.rs no longer echoes raw server response bodies to the UI), but the underlying architectural fix — a typed error enum — was not built despite thiserror being declared as a dependency for this purpose; commands.rs still returns bare Result&lt;T, String&gt;. Structured logging was not added at all. The version-pin fragility tied to the vendored minutes/ monorepo is now clearly documented with inline comments explaining the rationale, which is valuable, but the pins themselves — and the underlying coupling risk — are unchanged.</w:t>
      </w:r>
    </w:p>
    <w:p>
      <w:pPr>
        <w:spacing w:after="140" w:line="276"/>
      </w:pPr>
      <w:r>
        <w:t xml:space="preserve">Test coverage is the most concerning result of this re-audit: despite two test files being touched and a vitest.config.ts coverage block being added, statement coverage is unchanged at 3.31% (75/2,264), and no threshold is enforced anywhere. The CI security-audit gating finding also shows a pattern worth flagging to engineering leadership directly: the literal continue-on-error: true flag was removed from build-desktop.yml, but it was replaced with a shell fallback (audit-command || echo "::warning...") that has the exact same effect — a CVE still cannot fail the build. This reads as a change made to satisfy the letter of the finding rather than its intent, and is worth a direct conversation with whoever made the change.</w:t>
      </w:r>
    </w:p>
    <w:p>
      <w:pPr>
        <w:spacing w:after="140" w:line="276"/>
      </w:pPr>
      <w:r>
        <w:t xml:space="preserve">Revised overall risk rating: unchanged at LOW-TO-MODERATE. The fixes made are real and worth crediting, but they are concentrated in the lower-severity findings; the risk profile that mattered most in the original audit — data-at-rest exposure, error-detail leakage, test coverage, and dependency fragility — is essentially where it was.</w:t>
      </w:r>
    </w:p>
    <w:p>
      <w:pPr>
        <w:pStyle w:val="Heading3"/>
        <w:spacing w:after="100" w:before="220"/>
      </w:pPr>
      <w:r>
        <w:t xml:space="preserve">Fix Status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A44" w:val="clear"/>
            <w:tcMar>
              <w:top w:type="dxa" w:w="80"/>
              <w:left w:type="dxa" w:w="100"/>
              <w:bottom w:type="dxa" w:w="80"/>
              <w:right w:type="dxa" w:w="100"/>
            </w:tcMar>
          </w:tcPr>
          <w:p>
            <w:r>
              <w:rPr>
                <w:b/>
                <w:bCs/>
                <w:color w:val="FFFFFF"/>
              </w:rPr>
              <w:t xml:space="preserve">FIXED</w:t>
            </w:r>
          </w:p>
        </w:tc>
        <w:tc>
          <w:tcPr>
            <w:tcW w:type="dxa" w:w="3000"/>
            <w:shd w:fill="1F2A44" w:val="clear"/>
            <w:tcMar>
              <w:top w:type="dxa" w:w="80"/>
              <w:left w:type="dxa" w:w="100"/>
              <w:bottom w:type="dxa" w:w="80"/>
              <w:right w:type="dxa" w:w="100"/>
            </w:tcMar>
          </w:tcPr>
          <w:p>
            <w:r>
              <w:rPr>
                <w:b/>
                <w:bCs/>
                <w:color w:val="FFFFFF"/>
              </w:rPr>
              <w:t xml:space="preserve">PARTIALLY FIXED</w:t>
            </w:r>
          </w:p>
        </w:tc>
        <w:tc>
          <w:tcPr>
            <w:tcW w:type="dxa" w:w="3000"/>
            <w:shd w:fill="1F2A44" w:val="clear"/>
            <w:tcMar>
              <w:top w:type="dxa" w:w="80"/>
              <w:left w:type="dxa" w:w="100"/>
              <w:bottom w:type="dxa" w:w="80"/>
              <w:right w:type="dxa" w:w="100"/>
            </w:tcMar>
          </w:tcPr>
          <w:p>
            <w:r>
              <w:rPr>
                <w:b/>
                <w:bCs/>
                <w:color w:val="FFFFFF"/>
              </w:rPr>
              <w:t xml:space="preserve">NOT FIXED</w:t>
            </w:r>
          </w:p>
        </w:tc>
      </w:tr>
      <w:tr>
        <w:tc>
          <w:tcPr>
            <w:tcW w:type="dxa" w:w="3000"/>
            <w:tcMar>
              <w:top w:type="dxa" w:w="80"/>
              <w:left w:type="dxa" w:w="100"/>
              <w:bottom w:type="dxa" w:w="80"/>
              <w:right w:type="dxa" w:w="100"/>
            </w:tcMar>
          </w:tcPr>
          <w:p>
            <w:r>
              <w:rPr>
                <w:b/>
                <w:bCs/>
                <w:color w:val="2E7D32"/>
              </w:rPr>
              <w:t xml:space="preserve">8 of 21 findings</w:t>
            </w:r>
          </w:p>
        </w:tc>
        <w:tc>
          <w:tcPr>
            <w:tcW w:type="dxa" w:w="3000"/>
            <w:tcMar>
              <w:top w:type="dxa" w:w="80"/>
              <w:left w:type="dxa" w:w="100"/>
              <w:bottom w:type="dxa" w:w="80"/>
              <w:right w:type="dxa" w:w="100"/>
            </w:tcMar>
          </w:tcPr>
          <w:p>
            <w:r>
              <w:rPr>
                <w:b/>
                <w:bCs/>
                <w:color w:val="8A6D00"/>
              </w:rPr>
              <w:t xml:space="preserve">4 of 21 findings</w:t>
            </w:r>
          </w:p>
        </w:tc>
        <w:tc>
          <w:tcPr>
            <w:tcW w:type="dxa" w:w="3000"/>
            <w:tcMar>
              <w:top w:type="dxa" w:w="80"/>
              <w:left w:type="dxa" w:w="100"/>
              <w:bottom w:type="dxa" w:w="80"/>
              <w:right w:type="dxa" w:w="100"/>
            </w:tcMar>
          </w:tcPr>
          <w:p>
            <w:r>
              <w:rPr>
                <w:b/>
                <w:bCs/>
                <w:color w:val="B00020"/>
              </w:rPr>
              <w:t xml:space="preserve">9 of 21 findings</w:t>
            </w:r>
          </w:p>
        </w:tc>
      </w:tr>
    </w:tbl>
    <w:p>
      <w:pPr>
        <w:spacing w:after="100"/>
      </w:pPr>
    </w:p>
    <w:p>
      <w:pPr>
        <w:pStyle w:val="Heading1"/>
        <w:pBdr>
          <w:bottom w:val="single" w:color="1F2A44" w:sz="12" w:space="4"/>
        </w:pBdr>
        <w:spacing w:after="200" w:before="480"/>
      </w:pPr>
      <w:r>
        <w:t xml:space="preserve">Remediation Status by Finding</w:t>
      </w:r>
    </w:p>
    <w:p>
      <w:pPr>
        <w:spacing w:after="140" w:line="276"/>
      </w:pPr>
      <w:r>
        <w:t xml:space="preserve">Every finding is re-stated with its original ID and severity, its current status, and the specific evidence found in the current code. Status labels: FIXED (fully resolved), PARTIAL (real progress, gap remains), NOT FIXED (unchanged or cosmetically changed only).</w:t>
      </w:r>
    </w:p>
    <w:p>
      <w:pPr>
        <w:pStyle w:val="Heading2"/>
        <w:spacing w:after="140" w:before="320"/>
      </w:pPr>
      <w:r>
        <w:t xml:space="preserve">Originally High-Severity (P1)</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00"/>
        <w:gridCol w:w="4900"/>
      </w:tblGrid>
      <w:tr>
        <w:trPr>
          <w:tblHeader/>
        </w:trPr>
        <w:tc>
          <w:tcPr>
            <w:tcW w:type="dxa" w:w="700"/>
            <w:shd w:fill="1F2A44" w:val="clear"/>
            <w:tcMar>
              <w:top w:type="dxa" w:w="80"/>
              <w:left w:type="dxa" w:w="100"/>
              <w:bottom w:type="dxa" w:w="80"/>
              <w:right w:type="dxa" w:w="100"/>
            </w:tcMar>
          </w:tcPr>
          <w:p>
            <w:r>
              <w:rPr>
                <w:b/>
                <w:bCs/>
                <w:color w:val="FFFFFF"/>
              </w:rPr>
              <w:t xml:space="preserve">ID</w:t>
            </w:r>
          </w:p>
        </w:tc>
        <w:tc>
          <w:tcPr>
            <w:tcW w:type="dxa" w:w="3700"/>
            <w:shd w:fill="1F2A44" w:val="clear"/>
            <w:tcMar>
              <w:top w:type="dxa" w:w="80"/>
              <w:left w:type="dxa" w:w="100"/>
              <w:bottom w:type="dxa" w:w="80"/>
              <w:right w:type="dxa" w:w="100"/>
            </w:tcMar>
          </w:tcPr>
          <w:p>
            <w:r>
              <w:rPr>
                <w:b/>
                <w:bCs/>
                <w:color w:val="FFFFFF"/>
              </w:rPr>
              <w:t xml:space="preserve">Finding</w:t>
            </w:r>
          </w:p>
        </w:tc>
        <w:tc>
          <w:tcPr>
            <w:tcW w:type="dxa" w:w="1600"/>
            <w:shd w:fill="1F2A44" w:val="clear"/>
            <w:tcMar>
              <w:top w:type="dxa" w:w="80"/>
              <w:left w:type="dxa" w:w="100"/>
              <w:bottom w:type="dxa" w:w="80"/>
              <w:right w:type="dxa" w:w="100"/>
            </w:tcMar>
          </w:tcPr>
          <w:p>
            <w:r>
              <w:rPr>
                <w:b/>
                <w:bCs/>
                <w:color w:val="FFFFFF"/>
              </w:rPr>
              <w:t xml:space="preserve">Status</w:t>
            </w:r>
          </w:p>
        </w:tc>
        <w:tc>
          <w:tcPr>
            <w:tcW w:type="dxa" w:w="4900"/>
            <w:shd w:fill="1F2A44" w:val="clear"/>
            <w:tcMar>
              <w:top w:type="dxa" w:w="80"/>
              <w:left w:type="dxa" w:w="100"/>
              <w:bottom w:type="dxa" w:w="80"/>
              <w:right w:type="dxa" w:w="100"/>
            </w:tcMar>
          </w:tcPr>
          <w:p>
            <w:r>
              <w:rPr>
                <w:b/>
                <w:bCs/>
                <w:color w:val="FFFFFF"/>
              </w:rPr>
              <w:t xml:space="preserve">Evidence / Notes</w:t>
            </w:r>
          </w:p>
        </w:tc>
      </w:tr>
      <w:tr>
        <w:tc>
          <w:tcPr>
            <w:tcW w:type="dxa" w:w="700"/>
            <w:tcMar>
              <w:top w:type="dxa" w:w="80"/>
              <w:left w:type="dxa" w:w="100"/>
              <w:bottom w:type="dxa" w:w="80"/>
              <w:right w:type="dxa" w:w="100"/>
            </w:tcMar>
          </w:tcPr>
          <w:p>
            <w:r>
              <w:rPr>
                <w:b w:val="false"/>
                <w:bCs w:val="false"/>
              </w:rPr>
              <w:t xml:space="preserve">P1-1</w:t>
            </w:r>
          </w:p>
        </w:tc>
        <w:tc>
          <w:tcPr>
            <w:tcW w:type="dxa" w:w="3700"/>
            <w:tcMar>
              <w:top w:type="dxa" w:w="80"/>
              <w:left w:type="dxa" w:w="100"/>
              <w:bottom w:type="dxa" w:w="80"/>
              <w:right w:type="dxa" w:w="100"/>
            </w:tcMar>
          </w:tcPr>
          <w:p>
            <w:r>
              <w:rPr>
                <w:b w:val="false"/>
                <w:bCs w:val="false"/>
              </w:rPr>
              <w:t xml:space="preserve">Local SQLite database unencrypted at rest</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Cargo.toml still uses rusqlite's "bundled" feature, not SQLCipher; db.rs still calls plain Connection::open() with no PRAGMA key. A new code comment and a new README disclosure now document this as an accepted risk relying on OS full-disk encryption, but the database itself is unchanged.</w:t>
            </w:r>
          </w:p>
        </w:tc>
      </w:tr>
      <w:tr>
        <w:tc>
          <w:tcPr>
            <w:tcW w:type="dxa" w:w="700"/>
            <w:tcMar>
              <w:top w:type="dxa" w:w="80"/>
              <w:left w:type="dxa" w:w="100"/>
              <w:bottom w:type="dxa" w:w="80"/>
              <w:right w:type="dxa" w:w="100"/>
            </w:tcMar>
          </w:tcPr>
          <w:p>
            <w:r>
              <w:rPr>
                <w:b w:val="false"/>
                <w:bCs w:val="false"/>
              </w:rPr>
              <w:t xml:space="preserve">P1-2</w:t>
            </w:r>
          </w:p>
        </w:tc>
        <w:tc>
          <w:tcPr>
            <w:tcW w:type="dxa" w:w="3700"/>
            <w:tcMar>
              <w:top w:type="dxa" w:w="80"/>
              <w:left w:type="dxa" w:w="100"/>
              <w:bottom w:type="dxa" w:w="80"/>
              <w:right w:type="dxa" w:w="100"/>
            </w:tcMar>
          </w:tcPr>
          <w:p>
            <w:r>
              <w:rPr>
                <w:b w:val="false"/>
                <w:bCs w:val="false"/>
              </w:rPr>
              <w:t xml:space="preserve">Error messages leak internal server/filesystem details to the UI</w:t>
            </w:r>
          </w:p>
        </w:tc>
        <w:tc>
          <w:tcPr>
            <w:tcW w:type="dxa" w:w="1600"/>
            <w:tcMar>
              <w:top w:type="dxa" w:w="80"/>
              <w:left w:type="dxa" w:w="100"/>
              <w:bottom w:type="dxa" w:w="80"/>
              <w:right w:type="dxa" w:w="100"/>
            </w:tcMar>
          </w:tcPr>
          <w:p>
            <w:r>
              <w:rPr>
                <w:b/>
                <w:bCs/>
                <w:color w:val="8A6D00"/>
              </w:rPr>
              <w:t xml:space="preserve">◐ PARTIAL</w:t>
            </w:r>
          </w:p>
        </w:tc>
        <w:tc>
          <w:tcPr>
            <w:tcW w:type="dxa" w:w="4900"/>
            <w:tcMar>
              <w:top w:type="dxa" w:w="80"/>
              <w:left w:type="dxa" w:w="100"/>
              <w:bottom w:type="dxa" w:w="80"/>
              <w:right w:type="dxa" w:w="100"/>
            </w:tcMar>
          </w:tcPr>
          <w:p>
            <w:r>
              <w:rPr>
                <w:b w:val="false"/>
                <w:bCs w:val="false"/>
              </w:rPr>
              <w:t xml:space="preserve">summary.rs no longer echoes the raw server response body to the UI (fixed for that specific path). But no typed error enum was built — commands.rs still returns Result&lt;T, String&gt;, and thiserror remains declared in Cargo.toml but unused.</w:t>
            </w:r>
          </w:p>
        </w:tc>
      </w:tr>
      <w:tr>
        <w:tc>
          <w:tcPr>
            <w:tcW w:type="dxa" w:w="700"/>
            <w:tcMar>
              <w:top w:type="dxa" w:w="80"/>
              <w:left w:type="dxa" w:w="100"/>
              <w:bottom w:type="dxa" w:w="80"/>
              <w:right w:type="dxa" w:w="100"/>
            </w:tcMar>
          </w:tcPr>
          <w:p>
            <w:r>
              <w:rPr>
                <w:b w:val="false"/>
                <w:bCs w:val="false"/>
              </w:rPr>
              <w:t xml:space="preserve">P1-3</w:t>
            </w:r>
          </w:p>
        </w:tc>
        <w:tc>
          <w:tcPr>
            <w:tcW w:type="dxa" w:w="3700"/>
            <w:tcMar>
              <w:top w:type="dxa" w:w="80"/>
              <w:left w:type="dxa" w:w="100"/>
              <w:bottom w:type="dxa" w:w="80"/>
              <w:right w:type="dxa" w:w="100"/>
            </w:tcMar>
          </w:tcPr>
          <w:p>
            <w:r>
              <w:rPr>
                <w:b w:val="false"/>
                <w:bCs w:val="false"/>
              </w:rPr>
              <w:t xml:space="preserve">Test coverage negligible and unenforced</w:t>
            </w:r>
          </w:p>
        </w:tc>
        <w:tc>
          <w:tcPr>
            <w:tcW w:type="dxa" w:w="1600"/>
            <w:tcMar>
              <w:top w:type="dxa" w:w="80"/>
              <w:left w:type="dxa" w:w="100"/>
              <w:bottom w:type="dxa" w:w="80"/>
              <w:right w:type="dxa" w:w="100"/>
            </w:tcMar>
          </w:tcPr>
          <w:p>
            <w:r>
              <w:rPr>
                <w:b/>
                <w:bCs/>
                <w:color w:val="8A6D00"/>
              </w:rPr>
              <w:t xml:space="preserve">◐ PARTIAL</w:t>
            </w:r>
          </w:p>
        </w:tc>
        <w:tc>
          <w:tcPr>
            <w:tcW w:type="dxa" w:w="4900"/>
            <w:tcMar>
              <w:top w:type="dxa" w:w="80"/>
              <w:left w:type="dxa" w:w="100"/>
              <w:bottom w:type="dxa" w:w="80"/>
              <w:right w:type="dxa" w:w="100"/>
            </w:tcMar>
          </w:tcPr>
          <w:p>
            <w:r>
              <w:rPr>
                <w:b w:val="false"/>
                <w:bCs w:val="false"/>
              </w:rPr>
              <w:t xml:space="preserve">vitest.config.ts now has a coverage block and two test files were touched, but statement coverage is unchanged at 3.31% (75/2,264) and no threshold is enforced in config or CI. Rust side still has zero coverage tooling.</w:t>
            </w:r>
          </w:p>
        </w:tc>
      </w:tr>
      <w:tr>
        <w:tc>
          <w:tcPr>
            <w:tcW w:type="dxa" w:w="700"/>
            <w:tcMar>
              <w:top w:type="dxa" w:w="80"/>
              <w:left w:type="dxa" w:w="100"/>
              <w:bottom w:type="dxa" w:w="80"/>
              <w:right w:type="dxa" w:w="100"/>
            </w:tcMar>
          </w:tcPr>
          <w:p>
            <w:r>
              <w:rPr>
                <w:b w:val="false"/>
                <w:bCs w:val="false"/>
              </w:rPr>
              <w:t xml:space="preserve">P1-4</w:t>
            </w:r>
          </w:p>
        </w:tc>
        <w:tc>
          <w:tcPr>
            <w:tcW w:type="dxa" w:w="3700"/>
            <w:tcMar>
              <w:top w:type="dxa" w:w="80"/>
              <w:left w:type="dxa" w:w="100"/>
              <w:bottom w:type="dxa" w:w="80"/>
              <w:right w:type="dxa" w:w="100"/>
            </w:tcMar>
          </w:tcPr>
          <w:p>
            <w:r>
              <w:rPr>
                <w:b w:val="false"/>
                <w:bCs w:val="false"/>
              </w:rPr>
              <w:t xml:space="preserve">No structured logging in the Rust backend</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No log/tracing crate added to Cargo.toml. 16–17 eprintln! calls remain across lib.rs, recorder.rs, vault_export.rs, audio.rs, local_transcribe.rs, settings.rs, summary.rs — effectively unchanged from the original count of 15.</w:t>
            </w:r>
          </w:p>
        </w:tc>
      </w:tr>
      <w:tr>
        <w:tc>
          <w:tcPr>
            <w:tcW w:type="dxa" w:w="700"/>
            <w:tcMar>
              <w:top w:type="dxa" w:w="80"/>
              <w:left w:type="dxa" w:w="100"/>
              <w:bottom w:type="dxa" w:w="80"/>
              <w:right w:type="dxa" w:w="100"/>
            </w:tcMar>
          </w:tcPr>
          <w:p>
            <w:r>
              <w:rPr>
                <w:b w:val="false"/>
                <w:bCs w:val="false"/>
              </w:rPr>
              <w:t xml:space="preserve">P1-5</w:t>
            </w:r>
          </w:p>
        </w:tc>
        <w:tc>
          <w:tcPr>
            <w:tcW w:type="dxa" w:w="3700"/>
            <w:tcMar>
              <w:top w:type="dxa" w:w="80"/>
              <w:left w:type="dxa" w:w="100"/>
              <w:bottom w:type="dxa" w:w="80"/>
              <w:right w:type="dxa" w:w="100"/>
            </w:tcMar>
          </w:tcPr>
          <w:p>
            <w:r>
              <w:rPr>
                <w:b w:val="false"/>
                <w:bCs w:val="false"/>
              </w:rPr>
              <w:t xml:space="preserve">Fragile ort/rusqlite/cpal version pins tied to vendored minutes/ monorepo</w:t>
            </w:r>
          </w:p>
        </w:tc>
        <w:tc>
          <w:tcPr>
            <w:tcW w:type="dxa" w:w="1600"/>
            <w:tcMar>
              <w:top w:type="dxa" w:w="80"/>
              <w:left w:type="dxa" w:w="100"/>
              <w:bottom w:type="dxa" w:w="80"/>
              <w:right w:type="dxa" w:w="100"/>
            </w:tcMar>
          </w:tcPr>
          <w:p>
            <w:r>
              <w:rPr>
                <w:b/>
                <w:bCs/>
                <w:color w:val="8A6D00"/>
              </w:rPr>
              <w:t xml:space="preserve">◐ PARTIAL</w:t>
            </w:r>
          </w:p>
        </w:tc>
        <w:tc>
          <w:tcPr>
            <w:tcW w:type="dxa" w:w="4900"/>
            <w:tcMar>
              <w:top w:type="dxa" w:w="80"/>
              <w:left w:type="dxa" w:w="100"/>
              <w:bottom w:type="dxa" w:w="80"/>
              <w:right w:type="dxa" w:w="100"/>
            </w:tcMar>
          </w:tcPr>
          <w:p>
            <w:r>
              <w:rPr>
                <w:b w:val="false"/>
                <w:bCs w:val="false"/>
              </w:rPr>
              <w:t xml:space="preserve">All three pins (ort =2.0.0-rc.10, rusqlite 0.33, cpal 0.18.1) are unchanged. Each now has an explanatory comment directly above it in Cargo.toml. No CONTRIBUTING.md or automated drift check was added — the underlying coupling risk is unchanged, only its documentation improved.</w:t>
            </w:r>
          </w:p>
        </w:tc>
      </w:tr>
      <w:tr>
        <w:tc>
          <w:tcPr>
            <w:tcW w:type="dxa" w:w="700"/>
            <w:tcMar>
              <w:top w:type="dxa" w:w="80"/>
              <w:left w:type="dxa" w:w="100"/>
              <w:bottom w:type="dxa" w:w="80"/>
              <w:right w:type="dxa" w:w="100"/>
            </w:tcMar>
          </w:tcPr>
          <w:p>
            <w:r>
              <w:rPr>
                <w:b w:val="false"/>
                <w:bCs w:val="false"/>
              </w:rPr>
              <w:t xml:space="preserve">P1-6</w:t>
            </w:r>
          </w:p>
        </w:tc>
        <w:tc>
          <w:tcPr>
            <w:tcW w:type="dxa" w:w="3700"/>
            <w:tcMar>
              <w:top w:type="dxa" w:w="80"/>
              <w:left w:type="dxa" w:w="100"/>
              <w:bottom w:type="dxa" w:w="80"/>
              <w:right w:type="dxa" w:w="100"/>
            </w:tcMar>
          </w:tcPr>
          <w:p>
            <w:r>
              <w:rPr>
                <w:b w:val="false"/>
                <w:bCs w:val="false"/>
              </w:rPr>
              <w:t xml:space="preserve">Temp audio chunks not crash-safe, default permissions</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tempfile promoted from dev-dependency to a runtime dependency; local_transcribe.rs now uses tempfile::Builder with explicit prefix/suffix and a documented drop(wav) cleanup, replacing the old manual temp_dir()+PID/nanos naming.</w:t>
            </w:r>
          </w:p>
        </w:tc>
      </w:tr>
    </w:tbl>
    <w:p>
      <w:pPr>
        <w:spacing w:after="100"/>
      </w:pPr>
    </w:p>
    <w:p>
      <w:pPr>
        <w:pStyle w:val="Heading2"/>
        <w:spacing w:after="140" w:before="320"/>
      </w:pPr>
      <w:r>
        <w:t xml:space="preserve">Originally Medium-Severity (P2)</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00"/>
        <w:gridCol w:w="4900"/>
      </w:tblGrid>
      <w:tr>
        <w:trPr>
          <w:tblHeader/>
        </w:trPr>
        <w:tc>
          <w:tcPr>
            <w:tcW w:type="dxa" w:w="700"/>
            <w:shd w:fill="1F2A44" w:val="clear"/>
            <w:tcMar>
              <w:top w:type="dxa" w:w="80"/>
              <w:left w:type="dxa" w:w="100"/>
              <w:bottom w:type="dxa" w:w="80"/>
              <w:right w:type="dxa" w:w="100"/>
            </w:tcMar>
          </w:tcPr>
          <w:p>
            <w:r>
              <w:rPr>
                <w:b/>
                <w:bCs/>
                <w:color w:val="FFFFFF"/>
              </w:rPr>
              <w:t xml:space="preserve">ID</w:t>
            </w:r>
          </w:p>
        </w:tc>
        <w:tc>
          <w:tcPr>
            <w:tcW w:type="dxa" w:w="3700"/>
            <w:shd w:fill="1F2A44" w:val="clear"/>
            <w:tcMar>
              <w:top w:type="dxa" w:w="80"/>
              <w:left w:type="dxa" w:w="100"/>
              <w:bottom w:type="dxa" w:w="80"/>
              <w:right w:type="dxa" w:w="100"/>
            </w:tcMar>
          </w:tcPr>
          <w:p>
            <w:r>
              <w:rPr>
                <w:b/>
                <w:bCs/>
                <w:color w:val="FFFFFF"/>
              </w:rPr>
              <w:t xml:space="preserve">Finding</w:t>
            </w:r>
          </w:p>
        </w:tc>
        <w:tc>
          <w:tcPr>
            <w:tcW w:type="dxa" w:w="1600"/>
            <w:shd w:fill="1F2A44" w:val="clear"/>
            <w:tcMar>
              <w:top w:type="dxa" w:w="80"/>
              <w:left w:type="dxa" w:w="100"/>
              <w:bottom w:type="dxa" w:w="80"/>
              <w:right w:type="dxa" w:w="100"/>
            </w:tcMar>
          </w:tcPr>
          <w:p>
            <w:r>
              <w:rPr>
                <w:b/>
                <w:bCs/>
                <w:color w:val="FFFFFF"/>
              </w:rPr>
              <w:t xml:space="preserve">Status</w:t>
            </w:r>
          </w:p>
        </w:tc>
        <w:tc>
          <w:tcPr>
            <w:tcW w:type="dxa" w:w="4900"/>
            <w:shd w:fill="1F2A44" w:val="clear"/>
            <w:tcMar>
              <w:top w:type="dxa" w:w="80"/>
              <w:left w:type="dxa" w:w="100"/>
              <w:bottom w:type="dxa" w:w="80"/>
              <w:right w:type="dxa" w:w="100"/>
            </w:tcMar>
          </w:tcPr>
          <w:p>
            <w:r>
              <w:rPr>
                <w:b/>
                <w:bCs/>
                <w:color w:val="FFFFFF"/>
              </w:rPr>
              <w:t xml:space="preserve">Evidence / Notes</w:t>
            </w:r>
          </w:p>
        </w:tc>
      </w:tr>
      <w:tr>
        <w:tc>
          <w:tcPr>
            <w:tcW w:type="dxa" w:w="700"/>
            <w:tcMar>
              <w:top w:type="dxa" w:w="80"/>
              <w:left w:type="dxa" w:w="100"/>
              <w:bottom w:type="dxa" w:w="80"/>
              <w:right w:type="dxa" w:w="100"/>
            </w:tcMar>
          </w:tcPr>
          <w:p>
            <w:r>
              <w:rPr>
                <w:b w:val="false"/>
                <w:bCs w:val="false"/>
              </w:rPr>
              <w:t xml:space="preserve">P2-1</w:t>
            </w:r>
          </w:p>
        </w:tc>
        <w:tc>
          <w:tcPr>
            <w:tcW w:type="dxa" w:w="3700"/>
            <w:tcMar>
              <w:top w:type="dxa" w:w="80"/>
              <w:left w:type="dxa" w:w="100"/>
              <w:bottom w:type="dxa" w:w="80"/>
              <w:right w:type="dxa" w:w="100"/>
            </w:tcMar>
          </w:tcPr>
          <w:p>
            <w:r>
              <w:rPr>
                <w:b w:val="false"/>
                <w:bCs w:val="false"/>
              </w:rPr>
              <w:t xml:space="preserve">SettingsModal.tsx bloat and internal duplication</w:t>
            </w:r>
          </w:p>
        </w:tc>
        <w:tc>
          <w:tcPr>
            <w:tcW w:type="dxa" w:w="1600"/>
            <w:tcMar>
              <w:top w:type="dxa" w:w="80"/>
              <w:left w:type="dxa" w:w="100"/>
              <w:bottom w:type="dxa" w:w="80"/>
              <w:right w:type="dxa" w:w="100"/>
            </w:tcMar>
          </w:tcPr>
          <w:p>
            <w:r>
              <w:rPr>
                <w:b/>
                <w:bCs/>
                <w:color w:val="8A6D00"/>
              </w:rPr>
              <w:t xml:space="preserve">◐ PARTIAL</w:t>
            </w:r>
          </w:p>
        </w:tc>
        <w:tc>
          <w:tcPr>
            <w:tcW w:type="dxa" w:w="4900"/>
            <w:tcMar>
              <w:top w:type="dxa" w:w="80"/>
              <w:left w:type="dxa" w:w="100"/>
              <w:bottom w:type="dxa" w:w="80"/>
              <w:right w:type="dxa" w:w="100"/>
            </w:tcMar>
          </w:tcPr>
          <w:p>
            <w:r>
              <w:rPr>
                <w:b w:val="false"/>
                <w:bCs w:val="false"/>
              </w:rPr>
              <w:t xml:space="preserve">Still 966 lines (was 968); no sub-component extraction. The duplicated device &lt;optgroup&gt; block is now resolved (one occurrence). The model-size ternary ladder duplication persists in a different spot and now disagrees with itself (465 MB vs. 466 MB for the same model) — see New Issues below.</w:t>
            </w:r>
          </w:p>
        </w:tc>
      </w:tr>
      <w:tr>
        <w:tc>
          <w:tcPr>
            <w:tcW w:type="dxa" w:w="700"/>
            <w:tcMar>
              <w:top w:type="dxa" w:w="80"/>
              <w:left w:type="dxa" w:w="100"/>
              <w:bottom w:type="dxa" w:w="80"/>
              <w:right w:type="dxa" w:w="100"/>
            </w:tcMar>
          </w:tcPr>
          <w:p>
            <w:r>
              <w:rPr>
                <w:b w:val="false"/>
                <w:bCs w:val="false"/>
              </w:rPr>
              <w:t xml:space="preserve">P2-2</w:t>
            </w:r>
          </w:p>
        </w:tc>
        <w:tc>
          <w:tcPr>
            <w:tcW w:type="dxa" w:w="3700"/>
            <w:tcMar>
              <w:top w:type="dxa" w:w="80"/>
              <w:left w:type="dxa" w:w="100"/>
              <w:bottom w:type="dxa" w:w="80"/>
              <w:right w:type="dxa" w:w="100"/>
            </w:tcMar>
          </w:tcPr>
          <w:p>
            <w:r>
              <w:rPr>
                <w:b w:val="false"/>
                <w:bCs w:val="false"/>
              </w:rPr>
              <w:t xml:space="preserve">No client-side server-URL validation or HTTPS hint before save</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serverUrl is still a plain text &lt;input&gt; with no format check and no pre-save HTTPS hint; only the pre-existing post-save connectivity probe exists.</w:t>
            </w:r>
          </w:p>
        </w:tc>
      </w:tr>
      <w:tr>
        <w:tc>
          <w:tcPr>
            <w:tcW w:type="dxa" w:w="700"/>
            <w:tcMar>
              <w:top w:type="dxa" w:w="80"/>
              <w:left w:type="dxa" w:w="100"/>
              <w:bottom w:type="dxa" w:w="80"/>
              <w:right w:type="dxa" w:w="100"/>
            </w:tcMar>
          </w:tcPr>
          <w:p>
            <w:r>
              <w:rPr>
                <w:b w:val="false"/>
                <w:bCs w:val="false"/>
              </w:rPr>
              <w:t xml:space="preserve">P2-3</w:t>
            </w:r>
          </w:p>
        </w:tc>
        <w:tc>
          <w:tcPr>
            <w:tcW w:type="dxa" w:w="3700"/>
            <w:tcMar>
              <w:top w:type="dxa" w:w="80"/>
              <w:left w:type="dxa" w:w="100"/>
              <w:bottom w:type="dxa" w:w="80"/>
              <w:right w:type="dxa" w:w="100"/>
            </w:tcMar>
          </w:tcPr>
          <w:p>
            <w:r>
              <w:rPr>
                <w:b w:val="false"/>
                <w:bCs w:val="false"/>
              </w:rPr>
              <w:t xml:space="preserve">Generic, non-categorized error feedback on summary-generation failure</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flashToast still auto-dismisses at a flat 4000ms with no error-type branching; a repo-wide search for retry logic returned zero matches.</w:t>
            </w:r>
          </w:p>
        </w:tc>
      </w:tr>
      <w:tr>
        <w:tc>
          <w:tcPr>
            <w:tcW w:type="dxa" w:w="700"/>
            <w:tcMar>
              <w:top w:type="dxa" w:w="80"/>
              <w:left w:type="dxa" w:w="100"/>
              <w:bottom w:type="dxa" w:w="80"/>
              <w:right w:type="dxa" w:w="100"/>
            </w:tcMar>
          </w:tcPr>
          <w:p>
            <w:r>
              <w:rPr>
                <w:b w:val="false"/>
                <w:bCs w:val="false"/>
              </w:rPr>
              <w:t xml:space="preserve">P2-4</w:t>
            </w:r>
          </w:p>
        </w:tc>
        <w:tc>
          <w:tcPr>
            <w:tcW w:type="dxa" w:w="3700"/>
            <w:tcMar>
              <w:top w:type="dxa" w:w="80"/>
              <w:left w:type="dxa" w:w="100"/>
              <w:bottom w:type="dxa" w:w="80"/>
              <w:right w:type="dxa" w:w="100"/>
            </w:tcMar>
          </w:tcPr>
          <w:p>
            <w:r>
              <w:rPr>
                <w:b w:val="false"/>
                <w:bCs w:val="false"/>
              </w:rPr>
              <w:t xml:space="preserve">No ESLint configuration</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eslint.config.js is a real flat config (@eslint/js, typescript-eslint, eslint-plugin-react-hooks with rules-of-hooks: error, eslint-plugin-react-refresh); package.json has a lint script; CI runs npm run lint in the frontend-checks job with no suppression.</w:t>
            </w:r>
          </w:p>
        </w:tc>
      </w:tr>
      <w:tr>
        <w:tc>
          <w:tcPr>
            <w:tcW w:type="dxa" w:w="700"/>
            <w:tcMar>
              <w:top w:type="dxa" w:w="80"/>
              <w:left w:type="dxa" w:w="100"/>
              <w:bottom w:type="dxa" w:w="80"/>
              <w:right w:type="dxa" w:w="100"/>
            </w:tcMar>
          </w:tcPr>
          <w:p>
            <w:r>
              <w:rPr>
                <w:b w:val="false"/>
                <w:bCs w:val="false"/>
              </w:rPr>
              <w:t xml:space="preserve">P2-5</w:t>
            </w:r>
          </w:p>
        </w:tc>
        <w:tc>
          <w:tcPr>
            <w:tcW w:type="dxa" w:w="3700"/>
            <w:tcMar>
              <w:top w:type="dxa" w:w="80"/>
              <w:left w:type="dxa" w:w="100"/>
              <w:bottom w:type="dxa" w:w="80"/>
              <w:right w:type="dxa" w:w="100"/>
            </w:tcMar>
          </w:tcPr>
          <w:p>
            <w:r>
              <w:rPr>
                <w:b w:val="false"/>
                <w:bCs w:val="false"/>
              </w:rPr>
              <w:t xml:space="preserve">npm audit / cargo audit non-blocking in CI</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The literal continue-on-error: true flag was removed, but replaced with a shell fallback (audit-command || echo "::warning") that has the identical effect — a CVE still cannot fail the build. Cosmetic change only.</w:t>
            </w:r>
          </w:p>
        </w:tc>
      </w:tr>
      <w:tr>
        <w:tc>
          <w:tcPr>
            <w:tcW w:type="dxa" w:w="700"/>
            <w:tcMar>
              <w:top w:type="dxa" w:w="80"/>
              <w:left w:type="dxa" w:w="100"/>
              <w:bottom w:type="dxa" w:w="80"/>
              <w:right w:type="dxa" w:w="100"/>
            </w:tcMar>
          </w:tcPr>
          <w:p>
            <w:r>
              <w:rPr>
                <w:b w:val="false"/>
                <w:bCs w:val="false"/>
              </w:rPr>
              <w:t xml:space="preserve">P2-6</w:t>
            </w:r>
          </w:p>
        </w:tc>
        <w:tc>
          <w:tcPr>
            <w:tcW w:type="dxa" w:w="3700"/>
            <w:tcMar>
              <w:top w:type="dxa" w:w="80"/>
              <w:left w:type="dxa" w:w="100"/>
              <w:bottom w:type="dxa" w:w="80"/>
              <w:right w:type="dxa" w:w="100"/>
            </w:tcMar>
          </w:tcPr>
          <w:p>
            <w:r>
              <w:rPr>
                <w:b w:val="false"/>
                <w:bCs w:val="false"/>
              </w:rPr>
              <w:t xml:space="preserve">Six .expect() calls in production Rust code</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5 of 6 converted to proper .map_err(...)? propagation (lib.rs, audio.rs). The one remaining .expect() is on the top-level tauri::Builder::run() call, a defensible panic point at true startup, not a mid-session crash risk.</w:t>
            </w:r>
          </w:p>
        </w:tc>
      </w:tr>
      <w:tr>
        <w:tc>
          <w:tcPr>
            <w:tcW w:type="dxa" w:w="700"/>
            <w:tcMar>
              <w:top w:type="dxa" w:w="80"/>
              <w:left w:type="dxa" w:w="100"/>
              <w:bottom w:type="dxa" w:w="80"/>
              <w:right w:type="dxa" w:w="100"/>
            </w:tcMar>
          </w:tcPr>
          <w:p>
            <w:r>
              <w:rPr>
                <w:b w:val="false"/>
                <w:bCs w:val="false"/>
              </w:rPr>
              <w:t xml:space="preserve">P2-7</w:t>
            </w:r>
          </w:p>
        </w:tc>
        <w:tc>
          <w:tcPr>
            <w:tcW w:type="dxa" w:w="3700"/>
            <w:tcMar>
              <w:top w:type="dxa" w:w="80"/>
              <w:left w:type="dxa" w:w="100"/>
              <w:bottom w:type="dxa" w:w="80"/>
              <w:right w:type="dxa" w:w="100"/>
            </w:tcMar>
          </w:tcPr>
          <w:p>
            <w:r>
              <w:rPr>
                <w:b w:val="false"/>
                <w:bCs w:val="false"/>
              </w:rPr>
              <w:t xml:space="preserve">Duplicate reqwest major versions compiled into one binary</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Cargo.lock still resolves both reqwest 0.12.28 and 0.13.4; Cargo.toml still pins reqwest "0.12" without addressing the minutes-core-driven duplication.</w:t>
            </w:r>
          </w:p>
        </w:tc>
      </w:tr>
    </w:tbl>
    <w:p>
      <w:pPr>
        <w:spacing w:after="100"/>
      </w:pPr>
    </w:p>
    <w:p>
      <w:pPr>
        <w:pStyle w:val="Heading2"/>
        <w:spacing w:after="140" w:before="320"/>
      </w:pPr>
      <w:r>
        <w:t xml:space="preserve">Originally Low-Severity (P3)</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1600"/>
        <w:gridCol w:w="4900"/>
      </w:tblGrid>
      <w:tr>
        <w:trPr>
          <w:tblHeader/>
        </w:trPr>
        <w:tc>
          <w:tcPr>
            <w:tcW w:type="dxa" w:w="700"/>
            <w:shd w:fill="1F2A44" w:val="clear"/>
            <w:tcMar>
              <w:top w:type="dxa" w:w="80"/>
              <w:left w:type="dxa" w:w="100"/>
              <w:bottom w:type="dxa" w:w="80"/>
              <w:right w:type="dxa" w:w="100"/>
            </w:tcMar>
          </w:tcPr>
          <w:p>
            <w:r>
              <w:rPr>
                <w:b/>
                <w:bCs/>
                <w:color w:val="FFFFFF"/>
              </w:rPr>
              <w:t xml:space="preserve">ID</w:t>
            </w:r>
          </w:p>
        </w:tc>
        <w:tc>
          <w:tcPr>
            <w:tcW w:type="dxa" w:w="3700"/>
            <w:shd w:fill="1F2A44" w:val="clear"/>
            <w:tcMar>
              <w:top w:type="dxa" w:w="80"/>
              <w:left w:type="dxa" w:w="100"/>
              <w:bottom w:type="dxa" w:w="80"/>
              <w:right w:type="dxa" w:w="100"/>
            </w:tcMar>
          </w:tcPr>
          <w:p>
            <w:r>
              <w:rPr>
                <w:b/>
                <w:bCs/>
                <w:color w:val="FFFFFF"/>
              </w:rPr>
              <w:t xml:space="preserve">Finding</w:t>
            </w:r>
          </w:p>
        </w:tc>
        <w:tc>
          <w:tcPr>
            <w:tcW w:type="dxa" w:w="1600"/>
            <w:shd w:fill="1F2A44" w:val="clear"/>
            <w:tcMar>
              <w:top w:type="dxa" w:w="80"/>
              <w:left w:type="dxa" w:w="100"/>
              <w:bottom w:type="dxa" w:w="80"/>
              <w:right w:type="dxa" w:w="100"/>
            </w:tcMar>
          </w:tcPr>
          <w:p>
            <w:r>
              <w:rPr>
                <w:b/>
                <w:bCs/>
                <w:color w:val="FFFFFF"/>
              </w:rPr>
              <w:t xml:space="preserve">Status</w:t>
            </w:r>
          </w:p>
        </w:tc>
        <w:tc>
          <w:tcPr>
            <w:tcW w:type="dxa" w:w="4900"/>
            <w:shd w:fill="1F2A44" w:val="clear"/>
            <w:tcMar>
              <w:top w:type="dxa" w:w="80"/>
              <w:left w:type="dxa" w:w="100"/>
              <w:bottom w:type="dxa" w:w="80"/>
              <w:right w:type="dxa" w:w="100"/>
            </w:tcMar>
          </w:tcPr>
          <w:p>
            <w:r>
              <w:rPr>
                <w:b/>
                <w:bCs/>
                <w:color w:val="FFFFFF"/>
              </w:rPr>
              <w:t xml:space="preserve">Evidence / Notes</w:t>
            </w:r>
          </w:p>
        </w:tc>
      </w:tr>
      <w:tr>
        <w:tc>
          <w:tcPr>
            <w:tcW w:type="dxa" w:w="700"/>
            <w:tcMar>
              <w:top w:type="dxa" w:w="80"/>
              <w:left w:type="dxa" w:w="100"/>
              <w:bottom w:type="dxa" w:w="80"/>
              <w:right w:type="dxa" w:w="100"/>
            </w:tcMar>
          </w:tcPr>
          <w:p>
            <w:r>
              <w:rPr>
                <w:b w:val="false"/>
                <w:bCs w:val="false"/>
              </w:rPr>
              <w:t xml:space="preserve">P3-1</w:t>
            </w:r>
          </w:p>
        </w:tc>
        <w:tc>
          <w:tcPr>
            <w:tcW w:type="dxa" w:w="3700"/>
            <w:tcMar>
              <w:top w:type="dxa" w:w="80"/>
              <w:left w:type="dxa" w:w="100"/>
              <w:bottom w:type="dxa" w:w="80"/>
              <w:right w:type="dxa" w:w="100"/>
            </w:tcMar>
          </w:tcPr>
          <w:p>
            <w:r>
              <w:rPr>
                <w:b w:val="false"/>
                <w:bCs w:val="false"/>
              </w:rPr>
              <w:t xml:space="preserve">Duplicated highlight() function</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src/utils/highlight.tsx now exists; Sidebar.tsx and MeetingView.tsx both import from it. No duplicate inline definition remains anywhere in src/.</w:t>
            </w:r>
          </w:p>
        </w:tc>
      </w:tr>
      <w:tr>
        <w:tc>
          <w:tcPr>
            <w:tcW w:type="dxa" w:w="700"/>
            <w:tcMar>
              <w:top w:type="dxa" w:w="80"/>
              <w:left w:type="dxa" w:w="100"/>
              <w:bottom w:type="dxa" w:w="80"/>
              <w:right w:type="dxa" w:w="100"/>
            </w:tcMar>
          </w:tcPr>
          <w:p>
            <w:r>
              <w:rPr>
                <w:b w:val="false"/>
                <w:bCs w:val="false"/>
              </w:rPr>
              <w:t xml:space="preserve">P3-2</w:t>
            </w:r>
          </w:p>
        </w:tc>
        <w:tc>
          <w:tcPr>
            <w:tcW w:type="dxa" w:w="3700"/>
            <w:tcMar>
              <w:top w:type="dxa" w:w="80"/>
              <w:left w:type="dxa" w:w="100"/>
              <w:bottom w:type="dxa" w:w="80"/>
              <w:right w:type="dxa" w:w="100"/>
            </w:tcMar>
          </w:tcPr>
          <w:p>
            <w:r>
              <w:rPr>
                <w:b w:val="false"/>
                <w:bCs w:val="false"/>
              </w:rPr>
              <w:t xml:space="preserve">Two unused dead-code-allowed helpers in secrets.rs</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delete_token and delete_api_url no longer exist in secrets.rs; confirmed via tree-wide grep with zero remaining references.</w:t>
            </w:r>
          </w:p>
        </w:tc>
      </w:tr>
      <w:tr>
        <w:tc>
          <w:tcPr>
            <w:tcW w:type="dxa" w:w="700"/>
            <w:tcMar>
              <w:top w:type="dxa" w:w="80"/>
              <w:left w:type="dxa" w:w="100"/>
              <w:bottom w:type="dxa" w:w="80"/>
              <w:right w:type="dxa" w:w="100"/>
            </w:tcMar>
          </w:tcPr>
          <w:p>
            <w:r>
              <w:rPr>
                <w:b w:val="false"/>
                <w:bCs w:val="false"/>
              </w:rPr>
              <w:t xml:space="preserve">P3-3</w:t>
            </w:r>
          </w:p>
        </w:tc>
        <w:tc>
          <w:tcPr>
            <w:tcW w:type="dxa" w:w="3700"/>
            <w:tcMar>
              <w:top w:type="dxa" w:w="80"/>
              <w:left w:type="dxa" w:w="100"/>
              <w:bottom w:type="dxa" w:w="80"/>
              <w:right w:type="dxa" w:w="100"/>
            </w:tcMar>
          </w:tcPr>
          <w:p>
            <w:r>
              <w:rPr>
                <w:b w:val="false"/>
                <w:bCs w:val="false"/>
              </w:rPr>
              <w:t xml:space="preserve">sync.rs misleadingly named</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sync.rs was removed and replaced by locking.rs, which defines the same MutexExt poison-recovery trait under an accurate name; usage across recorder.rs/vault_export.rs/state.rs/commands.rs/local_transcribe.rs is unchanged.</w:t>
            </w:r>
          </w:p>
        </w:tc>
      </w:tr>
      <w:tr>
        <w:tc>
          <w:tcPr>
            <w:tcW w:type="dxa" w:w="700"/>
            <w:tcMar>
              <w:top w:type="dxa" w:w="80"/>
              <w:left w:type="dxa" w:w="100"/>
              <w:bottom w:type="dxa" w:w="80"/>
              <w:right w:type="dxa" w:w="100"/>
            </w:tcMar>
          </w:tcPr>
          <w:p>
            <w:r>
              <w:rPr>
                <w:b w:val="false"/>
                <w:bCs w:val="false"/>
              </w:rPr>
              <w:t xml:space="preserve">P3-4</w:t>
            </w:r>
          </w:p>
        </w:tc>
        <w:tc>
          <w:tcPr>
            <w:tcW w:type="dxa" w:w="3700"/>
            <w:tcMar>
              <w:top w:type="dxa" w:w="80"/>
              <w:left w:type="dxa" w:w="100"/>
              <w:bottom w:type="dxa" w:w="80"/>
              <w:right w:type="dxa" w:w="100"/>
            </w:tcMar>
          </w:tcPr>
          <w:p>
            <w:r>
              <w:rPr>
                <w:b w:val="false"/>
                <w:bCs w:val="false"/>
              </w:rPr>
              <w:t xml:space="preserve">Loading-settings modal lacks a focus trap</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The inline modal was extracted into a new src/components/LoadingModal.tsx, which imports and calls useFocusTrap — now consistent with SettingsModal and ShareModal.</w:t>
            </w:r>
          </w:p>
        </w:tc>
      </w:tr>
      <w:tr>
        <w:tc>
          <w:tcPr>
            <w:tcW w:type="dxa" w:w="700"/>
            <w:tcMar>
              <w:top w:type="dxa" w:w="80"/>
              <w:left w:type="dxa" w:w="100"/>
              <w:bottom w:type="dxa" w:w="80"/>
              <w:right w:type="dxa" w:w="100"/>
            </w:tcMar>
          </w:tcPr>
          <w:p>
            <w:r>
              <w:rPr>
                <w:b w:val="false"/>
                <w:bCs w:val="false"/>
              </w:rPr>
              <w:t xml:space="preserve">P3-5</w:t>
            </w:r>
          </w:p>
        </w:tc>
        <w:tc>
          <w:tcPr>
            <w:tcW w:type="dxa" w:w="3700"/>
            <w:tcMar>
              <w:top w:type="dxa" w:w="80"/>
              <w:left w:type="dxa" w:w="100"/>
              <w:bottom w:type="dxa" w:w="80"/>
              <w:right w:type="dxa" w:w="100"/>
            </w:tcMar>
          </w:tcPr>
          <w:p>
            <w:r>
              <w:rPr>
                <w:b w:val="false"/>
                <w:bCs w:val="false"/>
              </w:rPr>
              <w:t xml:space="preserve">Weak String(e) error formatting</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No normalizeError()-style helper was added. String(e)/String(err) still appears 15 times, unnormalized, across App.tsx (12 sites) and SettingsModal.tsx (3 sites).</w:t>
            </w:r>
          </w:p>
        </w:tc>
      </w:tr>
      <w:tr>
        <w:tc>
          <w:tcPr>
            <w:tcW w:type="dxa" w:w="700"/>
            <w:tcMar>
              <w:top w:type="dxa" w:w="80"/>
              <w:left w:type="dxa" w:w="100"/>
              <w:bottom w:type="dxa" w:w="80"/>
              <w:right w:type="dxa" w:w="100"/>
            </w:tcMar>
          </w:tcPr>
          <w:p>
            <w:r>
              <w:rPr>
                <w:b w:val="false"/>
                <w:bCs w:val="false"/>
              </w:rPr>
              <w:t xml:space="preserve">P3-6</w:t>
            </w:r>
          </w:p>
        </w:tc>
        <w:tc>
          <w:tcPr>
            <w:tcW w:type="dxa" w:w="3700"/>
            <w:tcMar>
              <w:top w:type="dxa" w:w="80"/>
              <w:left w:type="dxa" w:w="100"/>
              <w:bottom w:type="dxa" w:w="80"/>
              <w:right w:type="dxa" w:w="100"/>
            </w:tcMar>
          </w:tcPr>
          <w:p>
            <w:r>
              <w:rPr>
                <w:b w:val="false"/>
                <w:bCs w:val="false"/>
              </w:rPr>
              <w:t xml:space="preserve">vitest one major version behind current (v2 vs v3)</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package.json still pins vitest and @vitest/coverage-v8 at ^2.1.9 — unchanged.</w:t>
            </w:r>
          </w:p>
        </w:tc>
      </w:tr>
      <w:tr>
        <w:tc>
          <w:tcPr>
            <w:tcW w:type="dxa" w:w="700"/>
            <w:tcMar>
              <w:top w:type="dxa" w:w="80"/>
              <w:left w:type="dxa" w:w="100"/>
              <w:bottom w:type="dxa" w:w="80"/>
              <w:right w:type="dxa" w:w="100"/>
            </w:tcMar>
          </w:tcPr>
          <w:p>
            <w:r>
              <w:rPr>
                <w:b w:val="false"/>
                <w:bCs w:val="false"/>
              </w:rPr>
              <w:t xml:space="preserve">P3-7</w:t>
            </w:r>
          </w:p>
        </w:tc>
        <w:tc>
          <w:tcPr>
            <w:tcW w:type="dxa" w:w="3700"/>
            <w:tcMar>
              <w:top w:type="dxa" w:w="80"/>
              <w:left w:type="dxa" w:w="100"/>
              <w:bottom w:type="dxa" w:w="80"/>
              <w:right w:type="dxa" w:w="100"/>
            </w:tcMar>
          </w:tcPr>
          <w:p>
            <w:r>
              <w:rPr>
                <w:b w:val="false"/>
                <w:bCs w:val="false"/>
              </w:rPr>
              <w:t xml:space="preserve">Inconsistent @tauri-apps/* pinning style</w:t>
            </w:r>
          </w:p>
        </w:tc>
        <w:tc>
          <w:tcPr>
            <w:tcW w:type="dxa" w:w="1600"/>
            <w:tcMar>
              <w:top w:type="dxa" w:w="80"/>
              <w:left w:type="dxa" w:w="100"/>
              <w:bottom w:type="dxa" w:w="80"/>
              <w:right w:type="dxa" w:w="100"/>
            </w:tcMar>
          </w:tcPr>
          <w:p>
            <w:r>
              <w:rPr>
                <w:b/>
                <w:bCs/>
                <w:color w:val="B00020"/>
              </w:rPr>
              <w:t xml:space="preserve">✗ NOT FIXED</w:t>
            </w:r>
          </w:p>
        </w:tc>
        <w:tc>
          <w:tcPr>
            <w:tcW w:type="dxa" w:w="4900"/>
            <w:tcMar>
              <w:top w:type="dxa" w:w="80"/>
              <w:left w:type="dxa" w:w="100"/>
              <w:bottom w:type="dxa" w:w="80"/>
              <w:right w:type="dxa" w:w="100"/>
            </w:tcMar>
          </w:tcPr>
          <w:p>
            <w:r>
              <w:rPr>
                <w:b w:val="false"/>
                <w:bCs w:val="false"/>
              </w:rPr>
              <w:t xml:space="preserve">@tauri-apps/api remains a bare ^2 while sibling plugin packages pin to specific minors — unchanged.</w:t>
            </w:r>
          </w:p>
        </w:tc>
      </w:tr>
      <w:tr>
        <w:tc>
          <w:tcPr>
            <w:tcW w:type="dxa" w:w="700"/>
            <w:tcMar>
              <w:top w:type="dxa" w:w="80"/>
              <w:left w:type="dxa" w:w="100"/>
              <w:bottom w:type="dxa" w:w="80"/>
              <w:right w:type="dxa" w:w="100"/>
            </w:tcMar>
          </w:tcPr>
          <w:p>
            <w:r>
              <w:rPr>
                <w:b w:val="false"/>
                <w:bCs w:val="false"/>
              </w:rPr>
              <w:t xml:space="preserve">P3-8</w:t>
            </w:r>
          </w:p>
        </w:tc>
        <w:tc>
          <w:tcPr>
            <w:tcW w:type="dxa" w:w="3700"/>
            <w:tcMar>
              <w:top w:type="dxa" w:w="80"/>
              <w:left w:type="dxa" w:w="100"/>
              <w:bottom w:type="dxa" w:w="80"/>
              <w:right w:type="dxa" w:w="100"/>
            </w:tcMar>
          </w:tcPr>
          <w:p>
            <w:r>
              <w:rPr>
                <w:b w:val="false"/>
                <w:bCs w:val="false"/>
              </w:rPr>
              <w:t xml:space="preserve">tsconfig.node.json missing strict flags</w:t>
            </w:r>
          </w:p>
        </w:tc>
        <w:tc>
          <w:tcPr>
            <w:tcW w:type="dxa" w:w="1600"/>
            <w:tcMar>
              <w:top w:type="dxa" w:w="80"/>
              <w:left w:type="dxa" w:w="100"/>
              <w:bottom w:type="dxa" w:w="80"/>
              <w:right w:type="dxa" w:w="100"/>
            </w:tcMar>
          </w:tcPr>
          <w:p>
            <w:r>
              <w:rPr>
                <w:b/>
                <w:bCs/>
                <w:color w:val="2E7D32"/>
              </w:rPr>
              <w:t xml:space="preserve">✓ FIXED</w:t>
            </w:r>
          </w:p>
        </w:tc>
        <w:tc>
          <w:tcPr>
            <w:tcW w:type="dxa" w:w="4900"/>
            <w:tcMar>
              <w:top w:type="dxa" w:w="80"/>
              <w:left w:type="dxa" w:w="100"/>
              <w:bottom w:type="dxa" w:w="80"/>
              <w:right w:type="dxa" w:w="100"/>
            </w:tcMar>
          </w:tcPr>
          <w:p>
            <w:r>
              <w:rPr>
                <w:b w:val="false"/>
                <w:bCs w:val="false"/>
              </w:rPr>
              <w:t xml:space="preserve">Now includes strict: true, noUnusedLocals, and noUnusedParameters, matching the root tsconfig.json.</w:t>
            </w:r>
          </w:p>
        </w:tc>
      </w:tr>
    </w:tbl>
    <w:p>
      <w:pPr>
        <w:spacing w:after="100"/>
      </w:pPr>
    </w:p>
    <w:p>
      <w:pPr>
        <w:pStyle w:val="Heading2"/>
        <w:spacing w:after="140" w:before="320"/>
      </w:pPr>
      <w:r>
        <w:t xml:space="preserve">New Issues Identified During Re-Audit</w:t>
      </w:r>
    </w:p>
    <w:p>
      <w:pPr>
        <w:pStyle w:val="ListParagraph"/>
        <w:numPr>
          <w:ilvl w:val="0"/>
          <w:numId w:val="1"/>
        </w:numPr>
        <w:spacing w:after="80" w:line="276"/>
      </w:pPr>
      <w:r>
        <w:t xml:space="preserve">SettingsModal.tsx now contains an internal inconsistency introduced by the partial P2-1 fix: the model-size ternary ladder (around line 678–688) states a whisper model is "465 MB" while the corresponding static &lt;option&gt; label (around line 636–640) states "466 MB" for the same model — a small but real new bug where two now-separate sources of the same fact have drifted apart. This is exactly the failure mode the original finding warned about (hardcoding the same value twice), now realized in practice.</w:t>
      </w:r>
    </w:p>
    <w:p>
      <w:pPr>
        <w:pStyle w:val="ListParagraph"/>
        <w:numPr>
          <w:ilvl w:val="0"/>
          <w:numId w:val="1"/>
        </w:numPr>
        <w:spacing w:after="80" w:line="276"/>
      </w:pPr>
      <w:r>
        <w:t xml:space="preserve">App.tsx contains a newly introduced duplication: the identical filename-sanitization expression (detail.meeting.title.replace(/[^\w-]+/g, "_").slice(0, 60)) now appears at two separate lines (approximately 315 and 331) rather than being extracted into a shared helper — a small DRY violation introduced alongside other recent App.tsx changes.</w:t>
      </w:r>
    </w:p>
    <w:p>
      <w:pPr>
        <w:pStyle w:val="ListParagraph"/>
        <w:numPr>
          <w:ilvl w:val="0"/>
          <w:numId w:val="1"/>
        </w:numPr>
        <w:spacing w:after="80" w:line="276"/>
      </w:pPr>
      <w:r>
        <w:t xml:space="preserve">Minor inefficiency (not a defect): handleGenerateSummary re-fetches api.getSettings() to check server_token_present even though ensureSettingsForModal already retrieves the same information earlier in the flow — worth a quick cleanup but not a correctness issue.</w:t>
      </w:r>
    </w:p>
    <w:p>
      <w:pPr>
        <w:pStyle w:val="ListParagraph"/>
        <w:numPr>
          <w:ilvl w:val="0"/>
          <w:numId w:val="1"/>
        </w:numPr>
        <w:spacing w:after="80" w:line="276"/>
      </w:pPr>
      <w:r>
        <w:t xml:space="preserve">For completeness: .env (containing the real DESKSEC_TOKEN value) remains correctly excluded by .gitignore (matched by the .env pattern) and was never committed — confirmed via git ls-files, which lists only .env.example as tracked. This is unchanged from the original audit and is not a new risk, despite surface-level pattern-matching during re-audit initially flagging it for a second look.</w:t>
      </w:r>
    </w:p>
    <w:p>
      <w:pPr>
        <w:spacing w:after="100"/>
      </w:pPr>
    </w:p>
    <w:p>
      <w:pPr>
        <w:pStyle w:val="Heading1"/>
        <w:pBdr>
          <w:bottom w:val="single" w:color="1F2A44" w:sz="12" w:space="4"/>
        </w:pBdr>
        <w:spacing w:after="200" w:before="480"/>
      </w:pPr>
      <w:r>
        <w:t xml:space="preserve">Updated Prioritized Action Plan</w:t>
      </w:r>
    </w:p>
    <w:p>
      <w:pPr>
        <w:spacing w:after="140" w:line="276"/>
      </w:pPr>
      <w:r>
        <w:t xml:space="preserve">Fully resolved items (8) have been removed from this plan. The table below carries forward every item still open, re-ranked, plus the two new issues found. Effort estimates are unchanged in kind from the original audit (XS: under 1 hour, S: a few hours, M: 1–3 days, L: multi-day/multi-sprint).</w:t>
      </w:r>
    </w:p>
    <w:p>
      <w:pPr>
        <w:pStyle w:val="Heading2"/>
        <w:spacing w:after="140" w:before="320"/>
      </w:pPr>
      <w:r>
        <w:t xml:space="preserve">P0 — Critical</w:t>
      </w:r>
    </w:p>
    <w:p>
      <w:pPr>
        <w:spacing w:after="140" w:line="276"/>
      </w:pPr>
      <w:r>
        <w:rPr>
          <w:i/>
          <w:iCs/>
        </w:rPr>
        <w:t xml:space="preserve">None. Consistent with the original audit, no actively exploited vulnerability or committed secret was found in this re-audit.</w:t>
      </w:r>
    </w:p>
    <w:p>
      <w:pPr>
        <w:pStyle w:val="Heading2"/>
        <w:spacing w:after="140" w:before="320"/>
      </w:pPr>
      <w:r>
        <w:t xml:space="preserve">P1 — High (still open, address this quarter)</w:t>
      </w:r>
    </w:p>
    <w:p>
      <w:pPr>
        <w:spacing w:after="60" w:before="200"/>
      </w:pPr>
      <w:r>
        <w:rPr>
          <w:b/>
          <w:bCs/>
          <w:color w:val="B00020"/>
        </w:rPr>
        <w:t xml:space="preserve">P1-1  </w:t>
      </w:r>
      <w:r>
        <w:rPr>
          <w:b/>
          <w:bCs/>
        </w:rPr>
        <w:t xml:space="preserve">Local SQLite database remains unencrypted at rest</w:t>
      </w:r>
    </w:p>
    <w:p>
      <w:pPr>
        <w:pStyle w:val="ListParagraph"/>
        <w:numPr>
          <w:ilvl w:val="0"/>
          <w:numId w:val="1"/>
        </w:numPr>
        <w:spacing w:after="80" w:line="276"/>
      </w:pPr>
      <w:r>
        <w:rPr>
          <w:b/>
          <w:bCs/>
        </w:rPr>
        <w:t xml:space="preserve">Problem: </w:t>
      </w:r>
      <w:r>
        <w:t xml:space="preserve">The database itself is unchanged; only a risk-acceptance disclosure was added to the README and a code comment.</w:t>
      </w:r>
    </w:p>
    <w:p>
      <w:pPr>
        <w:pStyle w:val="ListParagraph"/>
        <w:numPr>
          <w:ilvl w:val="0"/>
          <w:numId w:val="1"/>
        </w:numPr>
        <w:spacing w:after="80" w:line="276"/>
      </w:pPr>
      <w:r>
        <w:rPr>
          <w:b/>
          <w:bCs/>
        </w:rPr>
        <w:t xml:space="preserve">Impact: </w:t>
      </w:r>
      <w:r>
        <w:t xml:space="preserve">Every recorded meeting's transcript, summary, and title remains readable by anyone with filesystem access, mitigated only by relying on OS full-disk encryption — a dependency on user configuration the app cannot verify.</w:t>
      </w:r>
    </w:p>
    <w:p>
      <w:pPr>
        <w:pStyle w:val="ListParagraph"/>
        <w:numPr>
          <w:ilvl w:val="0"/>
          <w:numId w:val="1"/>
        </w:numPr>
        <w:spacing w:after="80" w:line="276"/>
      </w:pPr>
      <w:r>
        <w:rPr>
          <w:b/>
          <w:bCs/>
        </w:rPr>
        <w:t xml:space="preserve">Fix: </w:t>
      </w:r>
      <w:r>
        <w:t xml:space="preserve">Either implement SQLCipher with a keyring-derived key (the original recommendation), or make the current risk-acceptance decision an explicit, reviewed architectural decision rather than a documentation footnote — if the team is intentionally choosing to rely on OS-level encryption, that should be a deliberate security sign-off, not an implicit default.</w:t>
      </w:r>
    </w:p>
    <w:p>
      <w:pPr>
        <w:pStyle w:val="ListParagraph"/>
        <w:numPr>
          <w:ilvl w:val="0"/>
          <w:numId w:val="1"/>
        </w:numPr>
        <w:spacing w:after="80" w:line="276"/>
      </w:pPr>
      <w:r>
        <w:rPr>
          <w:b/>
          <w:bCs/>
        </w:rPr>
        <w:t xml:space="preserve">Effort: </w:t>
      </w:r>
      <w:r>
        <w:t xml:space="preserve">M</w:t>
      </w:r>
    </w:p>
    <w:p>
      <w:pPr>
        <w:spacing w:after="60" w:before="200"/>
      </w:pPr>
      <w:r>
        <w:rPr>
          <w:b/>
          <w:bCs/>
          <w:color w:val="B00020"/>
        </w:rPr>
        <w:t xml:space="preserve">P1-2  </w:t>
      </w:r>
      <w:r>
        <w:rPr>
          <w:b/>
          <w:bCs/>
        </w:rPr>
        <w:t xml:space="preserve">Typed error enum still not built</w:t>
      </w:r>
    </w:p>
    <w:p>
      <w:pPr>
        <w:pStyle w:val="ListParagraph"/>
        <w:numPr>
          <w:ilvl w:val="0"/>
          <w:numId w:val="1"/>
        </w:numPr>
        <w:spacing w:after="80" w:line="276"/>
      </w:pPr>
      <w:r>
        <w:rPr>
          <w:b/>
          <w:bCs/>
        </w:rPr>
        <w:t xml:space="preserve">Problem: </w:t>
      </w:r>
      <w:r>
        <w:t xml:space="preserve">commands.rs still returns Result&lt;T, String&gt;; thiserror is declared as a dependency but unused. Only the specific summary.rs leak was patched.</w:t>
      </w:r>
    </w:p>
    <w:p>
      <w:pPr>
        <w:pStyle w:val="ListParagraph"/>
        <w:numPr>
          <w:ilvl w:val="0"/>
          <w:numId w:val="1"/>
        </w:numPr>
        <w:spacing w:after="80" w:line="276"/>
      </w:pPr>
      <w:r>
        <w:rPr>
          <w:b/>
          <w:bCs/>
        </w:rPr>
        <w:t xml:space="preserve">Impact: </w:t>
      </w:r>
      <w:r>
        <w:t xml:space="preserve">Other error paths (e.g. local_transcribe.rs's filesystem-path interpolation, flagged in the original audit) were not re-verified as fixed and the systemic leakage risk remains architecturally open.</w:t>
      </w:r>
    </w:p>
    <w:p>
      <w:pPr>
        <w:pStyle w:val="ListParagraph"/>
        <w:numPr>
          <w:ilvl w:val="0"/>
          <w:numId w:val="1"/>
        </w:numPr>
        <w:spacing w:after="80" w:line="276"/>
      </w:pPr>
      <w:r>
        <w:rPr>
          <w:b/>
          <w:bCs/>
        </w:rPr>
        <w:t xml:space="preserve">Fix: </w:t>
      </w:r>
      <w:r>
        <w:t xml:space="preserve">Build the thiserror-based error enum originally recommended and migrate all command error paths to it, not just the one that was reported.</w:t>
      </w:r>
    </w:p>
    <w:p>
      <w:pPr>
        <w:pStyle w:val="ListParagraph"/>
        <w:numPr>
          <w:ilvl w:val="0"/>
          <w:numId w:val="1"/>
        </w:numPr>
        <w:spacing w:after="80" w:line="276"/>
      </w:pPr>
      <w:r>
        <w:rPr>
          <w:b/>
          <w:bCs/>
        </w:rPr>
        <w:t xml:space="preserve">Effort: </w:t>
      </w:r>
      <w:r>
        <w:t xml:space="preserve">M</w:t>
      </w:r>
    </w:p>
    <w:p>
      <w:pPr>
        <w:spacing w:after="60" w:before="200"/>
      </w:pPr>
      <w:r>
        <w:rPr>
          <w:b/>
          <w:bCs/>
          <w:color w:val="B00020"/>
        </w:rPr>
        <w:t xml:space="preserve">P1-3  </w:t>
      </w:r>
      <w:r>
        <w:rPr>
          <w:b/>
          <w:bCs/>
        </w:rPr>
        <w:t xml:space="preserve">Test coverage still 3.31%, still unenforced</w:t>
      </w:r>
    </w:p>
    <w:p>
      <w:pPr>
        <w:pStyle w:val="ListParagraph"/>
        <w:numPr>
          <w:ilvl w:val="0"/>
          <w:numId w:val="1"/>
        </w:numPr>
        <w:spacing w:after="80" w:line="276"/>
      </w:pPr>
      <w:r>
        <w:rPr>
          <w:b/>
          <w:bCs/>
        </w:rPr>
        <w:t xml:space="preserve">Problem: </w:t>
      </w:r>
      <w:r>
        <w:t xml:space="preserve">New test files exist but didn't move the coverage number; no threshold configured in vitest.config.ts or CI.</w:t>
      </w:r>
    </w:p>
    <w:p>
      <w:pPr>
        <w:pStyle w:val="ListParagraph"/>
        <w:numPr>
          <w:ilvl w:val="0"/>
          <w:numId w:val="1"/>
        </w:numPr>
        <w:spacing w:after="80" w:line="276"/>
      </w:pPr>
      <w:r>
        <w:rPr>
          <w:b/>
          <w:bCs/>
        </w:rPr>
        <w:t xml:space="preserve">Impact: </w:t>
      </w:r>
      <w:r>
        <w:t xml:space="preserve">The app's most complex logic (recording lifecycle, IPC surface, settings validation, all components) remains without regression protection.</w:t>
      </w:r>
    </w:p>
    <w:p>
      <w:pPr>
        <w:pStyle w:val="ListParagraph"/>
        <w:numPr>
          <w:ilvl w:val="0"/>
          <w:numId w:val="1"/>
        </w:numPr>
        <w:spacing w:after="80" w:line="276"/>
      </w:pPr>
      <w:r>
        <w:rPr>
          <w:b/>
          <w:bCs/>
        </w:rPr>
        <w:t xml:space="preserve">Fix: </w:t>
      </w:r>
      <w:r>
        <w:t xml:space="preserve">Add an actual coverage threshold to vitest.config.ts (fail below e.g. 40% as an initial floor, raised over time) and prioritize the specific tests recommended in the original audit's Section 7.2 (validate_server_url, slugify()) since they protect existing security controls.</w:t>
      </w:r>
    </w:p>
    <w:p>
      <w:pPr>
        <w:pStyle w:val="ListParagraph"/>
        <w:numPr>
          <w:ilvl w:val="0"/>
          <w:numId w:val="1"/>
        </w:numPr>
        <w:spacing w:after="80" w:line="276"/>
      </w:pPr>
      <w:r>
        <w:rPr>
          <w:b/>
          <w:bCs/>
        </w:rPr>
        <w:t xml:space="preserve">Effort: </w:t>
      </w:r>
      <w:r>
        <w:t xml:space="preserve">L</w:t>
      </w:r>
    </w:p>
    <w:p>
      <w:pPr>
        <w:spacing w:after="60" w:before="200"/>
      </w:pPr>
      <w:r>
        <w:rPr>
          <w:b/>
          <w:bCs/>
          <w:color w:val="B00020"/>
        </w:rPr>
        <w:t xml:space="preserve">P1-4  </w:t>
      </w:r>
      <w:r>
        <w:rPr>
          <w:b/>
          <w:bCs/>
        </w:rPr>
        <w:t xml:space="preserve">No structured logging added</w:t>
      </w:r>
    </w:p>
    <w:p>
      <w:pPr>
        <w:pStyle w:val="ListParagraph"/>
        <w:numPr>
          <w:ilvl w:val="0"/>
          <w:numId w:val="1"/>
        </w:numPr>
        <w:spacing w:after="80" w:line="276"/>
      </w:pPr>
      <w:r>
        <w:rPr>
          <w:b/>
          <w:bCs/>
        </w:rPr>
        <w:t xml:space="preserve">Problem: </w:t>
      </w:r>
      <w:r>
        <w:t xml:space="preserve">No log/tracing crate in Cargo.toml; eprintln! count is effectively unchanged (16–17 vs. the original 15).</w:t>
      </w:r>
    </w:p>
    <w:p>
      <w:pPr>
        <w:pStyle w:val="ListParagraph"/>
        <w:numPr>
          <w:ilvl w:val="0"/>
          <w:numId w:val="1"/>
        </w:numPr>
        <w:spacing w:after="80" w:line="276"/>
      </w:pPr>
      <w:r>
        <w:rPr>
          <w:b/>
          <w:bCs/>
        </w:rPr>
        <w:t xml:space="preserve">Impact: </w:t>
      </w:r>
      <w:r>
        <w:t xml:space="preserve">Production debugging and support still rely on unpersisted, unstructured console output.</w:t>
      </w:r>
    </w:p>
    <w:p>
      <w:pPr>
        <w:pStyle w:val="ListParagraph"/>
        <w:numPr>
          <w:ilvl w:val="0"/>
          <w:numId w:val="1"/>
        </w:numPr>
        <w:spacing w:after="80" w:line="276"/>
      </w:pPr>
      <w:r>
        <w:rPr>
          <w:b/>
          <w:bCs/>
        </w:rPr>
        <w:t xml:space="preserve">Fix: </w:t>
      </w:r>
      <w:r>
        <w:t xml:space="preserve">Adopt tracing with a local rotating log file as originally recommended — this has not been started.</w:t>
      </w:r>
    </w:p>
    <w:p>
      <w:pPr>
        <w:pStyle w:val="ListParagraph"/>
        <w:numPr>
          <w:ilvl w:val="0"/>
          <w:numId w:val="1"/>
        </w:numPr>
        <w:spacing w:after="80" w:line="276"/>
      </w:pPr>
      <w:r>
        <w:rPr>
          <w:b/>
          <w:bCs/>
        </w:rPr>
        <w:t xml:space="preserve">Effort: </w:t>
      </w:r>
      <w:r>
        <w:t xml:space="preserve">S–M</w:t>
      </w:r>
    </w:p>
    <w:p>
      <w:pPr>
        <w:spacing w:after="60" w:before="200"/>
      </w:pPr>
      <w:r>
        <w:rPr>
          <w:b/>
          <w:bCs/>
          <w:color w:val="B00020"/>
        </w:rPr>
        <w:t xml:space="preserve">P1-5  </w:t>
      </w:r>
      <w:r>
        <w:rPr>
          <w:b/>
          <w:bCs/>
        </w:rPr>
        <w:t xml:space="preserve">Version-pin fragility documented but not mitigated</w:t>
      </w:r>
    </w:p>
    <w:p>
      <w:pPr>
        <w:pStyle w:val="ListParagraph"/>
        <w:numPr>
          <w:ilvl w:val="0"/>
          <w:numId w:val="1"/>
        </w:numPr>
        <w:spacing w:after="80" w:line="276"/>
      </w:pPr>
      <w:r>
        <w:rPr>
          <w:b/>
          <w:bCs/>
        </w:rPr>
        <w:t xml:space="preserve">Problem: </w:t>
      </w:r>
      <w:r>
        <w:t xml:space="preserve">ort/rusqlite/cpal pins are unchanged; only inline comments were added explaining why they're pinned.</w:t>
      </w:r>
    </w:p>
    <w:p>
      <w:pPr>
        <w:pStyle w:val="ListParagraph"/>
        <w:numPr>
          <w:ilvl w:val="0"/>
          <w:numId w:val="1"/>
        </w:numPr>
        <w:spacing w:after="80" w:line="276"/>
      </w:pPr>
      <w:r>
        <w:rPr>
          <w:b/>
          <w:bCs/>
        </w:rPr>
        <w:t xml:space="preserve">Impact: </w:t>
      </w:r>
      <w:r>
        <w:t xml:space="preserve">The next contributor who needs to upgrade either the vendored minutes/ monorepo or these crates independently will still hit the same build-break risk — they'll just understand why once they do.</w:t>
      </w:r>
    </w:p>
    <w:p>
      <w:pPr>
        <w:pStyle w:val="ListParagraph"/>
        <w:numPr>
          <w:ilvl w:val="0"/>
          <w:numId w:val="1"/>
        </w:numPr>
        <w:spacing w:after="80" w:line="276"/>
      </w:pPr>
      <w:r>
        <w:rPr>
          <w:b/>
          <w:bCs/>
        </w:rPr>
        <w:t xml:space="preserve">Fix: </w:t>
      </w:r>
      <w:r>
        <w:t xml:space="preserve">Add the originally recommended CI check that flags version drift between the two repositories, and/or a CONTRIBUTING.md section — the comments are a good start but don't prevent the failure mode.</w:t>
      </w:r>
    </w:p>
    <w:p>
      <w:pPr>
        <w:pStyle w:val="ListParagraph"/>
        <w:numPr>
          <w:ilvl w:val="0"/>
          <w:numId w:val="1"/>
        </w:numPr>
        <w:spacing w:after="80" w:line="276"/>
      </w:pPr>
      <w:r>
        <w:rPr>
          <w:b/>
          <w:bCs/>
        </w:rPr>
        <w:t xml:space="preserve">Effort: </w:t>
      </w:r>
      <w:r>
        <w:t xml:space="preserve">M</w:t>
      </w:r>
    </w:p>
    <w:p>
      <w:pPr>
        <w:pStyle w:val="Heading2"/>
        <w:spacing w:after="140" w:before="320"/>
      </w:pPr>
      <w:r>
        <w:t xml:space="preserve">P2 — Medium (still open, address this half)</w:t>
      </w:r>
    </w:p>
    <w:p>
      <w:pPr>
        <w:spacing w:after="60" w:before="200"/>
      </w:pPr>
      <w:r>
        <w:rPr>
          <w:b/>
          <w:bCs/>
          <w:color w:val="8A6D00"/>
        </w:rPr>
        <w:t xml:space="preserve">P2-1  </w:t>
      </w:r>
      <w:r>
        <w:rPr>
          <w:b/>
          <w:bCs/>
        </w:rPr>
        <w:t xml:space="preserve">SettingsModal model-size values have drifted out of sync (new)</w:t>
      </w:r>
    </w:p>
    <w:p>
      <w:pPr>
        <w:pStyle w:val="ListParagraph"/>
        <w:numPr>
          <w:ilvl w:val="0"/>
          <w:numId w:val="1"/>
        </w:numPr>
        <w:spacing w:after="80" w:line="276"/>
      </w:pPr>
      <w:r>
        <w:rPr>
          <w:b/>
          <w:bCs/>
        </w:rPr>
        <w:t xml:space="preserve">Problem: </w:t>
      </w:r>
      <w:r>
        <w:t xml:space="preserve">Two separate hardcoded sources for the same model-size fact now disagree (465 MB vs. 466 MB) after a partial refactor removed one duplication but left another.</w:t>
      </w:r>
    </w:p>
    <w:p>
      <w:pPr>
        <w:pStyle w:val="ListParagraph"/>
        <w:numPr>
          <w:ilvl w:val="0"/>
          <w:numId w:val="1"/>
        </w:numPr>
        <w:spacing w:after="80" w:line="276"/>
      </w:pPr>
      <w:r>
        <w:rPr>
          <w:b/>
          <w:bCs/>
        </w:rPr>
        <w:t xml:space="preserve">Impact: </w:t>
      </w:r>
      <w:r>
        <w:t xml:space="preserve">Users see inconsistent information about how much disk space a model download will use — small but a direct, visible symptom of the unresolved duplication.</w:t>
      </w:r>
    </w:p>
    <w:p>
      <w:pPr>
        <w:pStyle w:val="ListParagraph"/>
        <w:numPr>
          <w:ilvl w:val="0"/>
          <w:numId w:val="1"/>
        </w:numPr>
        <w:spacing w:after="80" w:line="276"/>
      </w:pPr>
      <w:r>
        <w:rPr>
          <w:b/>
          <w:bCs/>
        </w:rPr>
        <w:t xml:space="preserve">Fix: </w:t>
      </w:r>
      <w:r>
        <w:t xml:space="preserve">Finish the originally recommended fix: extract one shared model-size lookup table used by both the option labels and the download-hint text.</w:t>
      </w:r>
    </w:p>
    <w:p>
      <w:pPr>
        <w:pStyle w:val="ListParagraph"/>
        <w:numPr>
          <w:ilvl w:val="0"/>
          <w:numId w:val="1"/>
        </w:numPr>
        <w:spacing w:after="80" w:line="276"/>
      </w:pPr>
      <w:r>
        <w:rPr>
          <w:b/>
          <w:bCs/>
        </w:rPr>
        <w:t xml:space="preserve">Effort: </w:t>
      </w:r>
      <w:r>
        <w:t xml:space="preserve">S</w:t>
      </w:r>
    </w:p>
    <w:p>
      <w:pPr>
        <w:spacing w:after="60" w:before="200"/>
      </w:pPr>
      <w:r>
        <w:rPr>
          <w:b/>
          <w:bCs/>
          <w:color w:val="8A6D00"/>
        </w:rPr>
        <w:t xml:space="preserve">P2-2  </w:t>
      </w:r>
      <w:r>
        <w:rPr>
          <w:b/>
          <w:bCs/>
        </w:rPr>
        <w:t xml:space="preserve">No client-side server-URL validation or HTTPS hint before save</w:t>
      </w:r>
    </w:p>
    <w:p>
      <w:pPr>
        <w:pStyle w:val="ListParagraph"/>
        <w:numPr>
          <w:ilvl w:val="0"/>
          <w:numId w:val="1"/>
        </w:numPr>
        <w:spacing w:after="80" w:line="276"/>
      </w:pPr>
      <w:r>
        <w:rPr>
          <w:b/>
          <w:bCs/>
        </w:rPr>
        <w:t xml:space="preserve">Problem: </w:t>
      </w:r>
      <w:r>
        <w:t xml:space="preserve">Unchanged from the original audit.</w:t>
      </w:r>
    </w:p>
    <w:p>
      <w:pPr>
        <w:pStyle w:val="ListParagraph"/>
        <w:numPr>
          <w:ilvl w:val="0"/>
          <w:numId w:val="1"/>
        </w:numPr>
        <w:spacing w:after="80" w:line="276"/>
      </w:pPr>
      <w:r>
        <w:rPr>
          <w:b/>
          <w:bCs/>
        </w:rPr>
        <w:t xml:space="preserve">Impact: </w:t>
      </w:r>
      <w:r>
        <w:t xml:space="preserve">Users still only discover a malformed or non-HTTPS URL after saving.</w:t>
      </w:r>
    </w:p>
    <w:p>
      <w:pPr>
        <w:pStyle w:val="ListParagraph"/>
        <w:numPr>
          <w:ilvl w:val="0"/>
          <w:numId w:val="1"/>
        </w:numPr>
        <w:spacing w:after="80" w:line="276"/>
      </w:pPr>
      <w:r>
        <w:rPr>
          <w:b/>
          <w:bCs/>
        </w:rPr>
        <w:t xml:space="preserve">Fix: </w:t>
      </w:r>
      <w:r>
        <w:t xml:space="preserve">Add inline URL format validation and an HTTPS-required hint, as originally recommended.</w:t>
      </w:r>
    </w:p>
    <w:p>
      <w:pPr>
        <w:pStyle w:val="ListParagraph"/>
        <w:numPr>
          <w:ilvl w:val="0"/>
          <w:numId w:val="1"/>
        </w:numPr>
        <w:spacing w:after="80" w:line="276"/>
      </w:pPr>
      <w:r>
        <w:rPr>
          <w:b/>
          <w:bCs/>
        </w:rPr>
        <w:t xml:space="preserve">Effort: </w:t>
      </w:r>
      <w:r>
        <w:t xml:space="preserve">S</w:t>
      </w:r>
    </w:p>
    <w:p>
      <w:pPr>
        <w:spacing w:after="60" w:before="200"/>
      </w:pPr>
      <w:r>
        <w:rPr>
          <w:b/>
          <w:bCs/>
          <w:color w:val="8A6D00"/>
        </w:rPr>
        <w:t xml:space="preserve">P2-3  </w:t>
      </w:r>
      <w:r>
        <w:rPr>
          <w:b/>
          <w:bCs/>
        </w:rPr>
        <w:t xml:space="preserve">Generic, non-categorized error feedback on summary-generation failure</w:t>
      </w:r>
    </w:p>
    <w:p>
      <w:pPr>
        <w:pStyle w:val="ListParagraph"/>
        <w:numPr>
          <w:ilvl w:val="0"/>
          <w:numId w:val="1"/>
        </w:numPr>
        <w:spacing w:after="80" w:line="276"/>
      </w:pPr>
      <w:r>
        <w:rPr>
          <w:b/>
          <w:bCs/>
        </w:rPr>
        <w:t xml:space="preserve">Problem: </w:t>
      </w:r>
      <w:r>
        <w:t xml:space="preserve">Unchanged from the original audit.</w:t>
      </w:r>
    </w:p>
    <w:p>
      <w:pPr>
        <w:pStyle w:val="ListParagraph"/>
        <w:numPr>
          <w:ilvl w:val="0"/>
          <w:numId w:val="1"/>
        </w:numPr>
        <w:spacing w:after="80" w:line="276"/>
      </w:pPr>
      <w:r>
        <w:rPr>
          <w:b/>
          <w:bCs/>
        </w:rPr>
        <w:t xml:space="preserve">Impact: </w:t>
      </w:r>
      <w:r>
        <w:t xml:space="preserve">Users still can't tell why summarization failed or what to do about it.</w:t>
      </w:r>
    </w:p>
    <w:p>
      <w:pPr>
        <w:pStyle w:val="ListParagraph"/>
        <w:numPr>
          <w:ilvl w:val="0"/>
          <w:numId w:val="1"/>
        </w:numPr>
        <w:spacing w:after="80" w:line="276"/>
      </w:pPr>
      <w:r>
        <w:rPr>
          <w:b/>
          <w:bCs/>
        </w:rPr>
        <w:t xml:space="preserve">Fix: </w:t>
      </w:r>
      <w:r>
        <w:t xml:space="preserve">Categorize errors at the IPC boundary and show a persistent error state, as originally recommended.</w:t>
      </w:r>
    </w:p>
    <w:p>
      <w:pPr>
        <w:pStyle w:val="ListParagraph"/>
        <w:numPr>
          <w:ilvl w:val="0"/>
          <w:numId w:val="1"/>
        </w:numPr>
        <w:spacing w:after="80" w:line="276"/>
      </w:pPr>
      <w:r>
        <w:rPr>
          <w:b/>
          <w:bCs/>
        </w:rPr>
        <w:t xml:space="preserve">Effort: </w:t>
      </w:r>
      <w:r>
        <w:t xml:space="preserve">S–M</w:t>
      </w:r>
    </w:p>
    <w:p>
      <w:pPr>
        <w:spacing w:after="60" w:before="200"/>
      </w:pPr>
      <w:r>
        <w:rPr>
          <w:b/>
          <w:bCs/>
          <w:color w:val="8A6D00"/>
        </w:rPr>
        <w:t xml:space="preserve">P2-4  </w:t>
      </w:r>
      <w:r>
        <w:rPr>
          <w:b/>
          <w:bCs/>
        </w:rPr>
        <w:t xml:space="preserve">npm audit / cargo audit re-implemented as non-blocking, not fixed</w:t>
      </w:r>
    </w:p>
    <w:p>
      <w:pPr>
        <w:pStyle w:val="ListParagraph"/>
        <w:numPr>
          <w:ilvl w:val="0"/>
          <w:numId w:val="1"/>
        </w:numPr>
        <w:spacing w:after="80" w:line="276"/>
      </w:pPr>
      <w:r>
        <w:rPr>
          <w:b/>
          <w:bCs/>
        </w:rPr>
        <w:t xml:space="preserve">Problem: </w:t>
      </w:r>
      <w:r>
        <w:t xml:space="preserve">The continue-on-error flag was replaced with an equivalent shell-fallback pattern that still can't fail the build.</w:t>
      </w:r>
    </w:p>
    <w:p>
      <w:pPr>
        <w:pStyle w:val="ListParagraph"/>
        <w:numPr>
          <w:ilvl w:val="0"/>
          <w:numId w:val="1"/>
        </w:numPr>
        <w:spacing w:after="80" w:line="276"/>
      </w:pPr>
      <w:r>
        <w:rPr>
          <w:b/>
          <w:bCs/>
        </w:rPr>
        <w:t xml:space="preserve">Impact: </w:t>
      </w:r>
      <w:r>
        <w:t xml:space="preserve">CVEs in dependencies still won't be caught by CI; this specific remediation attempt addressed the finding's letter, not its intent.</w:t>
      </w:r>
    </w:p>
    <w:p>
      <w:pPr>
        <w:pStyle w:val="ListParagraph"/>
        <w:numPr>
          <w:ilvl w:val="0"/>
          <w:numId w:val="1"/>
        </w:numPr>
        <w:spacing w:after="80" w:line="276"/>
      </w:pPr>
      <w:r>
        <w:rPr>
          <w:b/>
          <w:bCs/>
        </w:rPr>
        <w:t xml:space="preserve">Fix: </w:t>
      </w:r>
      <w:r>
        <w:t xml:space="preserve">Make the audit steps genuinely blocking (or at minimum post a required-review annotation that blocks merge), not just a warning that's easy to miss.</w:t>
      </w:r>
    </w:p>
    <w:p>
      <w:pPr>
        <w:pStyle w:val="ListParagraph"/>
        <w:numPr>
          <w:ilvl w:val="0"/>
          <w:numId w:val="1"/>
        </w:numPr>
        <w:spacing w:after="80" w:line="276"/>
      </w:pPr>
      <w:r>
        <w:rPr>
          <w:b/>
          <w:bCs/>
        </w:rPr>
        <w:t xml:space="preserve">Effort: </w:t>
      </w:r>
      <w:r>
        <w:t xml:space="preserve">XS</w:t>
      </w:r>
    </w:p>
    <w:p>
      <w:pPr>
        <w:spacing w:after="60" w:before="200"/>
      </w:pPr>
      <w:r>
        <w:rPr>
          <w:b/>
          <w:bCs/>
          <w:color w:val="8A6D00"/>
        </w:rPr>
        <w:t xml:space="preserve">P2-5  </w:t>
      </w:r>
      <w:r>
        <w:rPr>
          <w:b/>
          <w:bCs/>
        </w:rPr>
        <w:t xml:space="preserve">Duplicate reqwest major versions still compiled into one binary</w:t>
      </w:r>
    </w:p>
    <w:p>
      <w:pPr>
        <w:pStyle w:val="ListParagraph"/>
        <w:numPr>
          <w:ilvl w:val="0"/>
          <w:numId w:val="1"/>
        </w:numPr>
        <w:spacing w:after="80" w:line="276"/>
      </w:pPr>
      <w:r>
        <w:rPr>
          <w:b/>
          <w:bCs/>
        </w:rPr>
        <w:t xml:space="preserve">Problem: </w:t>
      </w:r>
      <w:r>
        <w:t xml:space="preserve">Unchanged — both 0.12.28 and 0.13.4 still resolve.</w:t>
      </w:r>
    </w:p>
    <w:p>
      <w:pPr>
        <w:pStyle w:val="ListParagraph"/>
        <w:numPr>
          <w:ilvl w:val="0"/>
          <w:numId w:val="1"/>
        </w:numPr>
        <w:spacing w:after="80" w:line="276"/>
      </w:pPr>
      <w:r>
        <w:rPr>
          <w:b/>
          <w:bCs/>
        </w:rPr>
        <w:t xml:space="preserve">Impact: </w:t>
      </w:r>
      <w:r>
        <w:t xml:space="preserve">Continued binary bloat and latent behavioral-inconsistency risk.</w:t>
      </w:r>
    </w:p>
    <w:p>
      <w:pPr>
        <w:pStyle w:val="ListParagraph"/>
        <w:numPr>
          <w:ilvl w:val="0"/>
          <w:numId w:val="1"/>
        </w:numPr>
        <w:spacing w:after="80" w:line="276"/>
      </w:pPr>
      <w:r>
        <w:rPr>
          <w:b/>
          <w:bCs/>
        </w:rPr>
        <w:t xml:space="preserve">Fix: </w:t>
      </w:r>
      <w:r>
        <w:t xml:space="preserve">Investigate aligning minutes-core's workspace resolution or pin a single reqwest version explicitly, as originally recommended.</w:t>
      </w:r>
    </w:p>
    <w:p>
      <w:pPr>
        <w:pStyle w:val="ListParagraph"/>
        <w:numPr>
          <w:ilvl w:val="0"/>
          <w:numId w:val="1"/>
        </w:numPr>
        <w:spacing w:after="80" w:line="276"/>
      </w:pPr>
      <w:r>
        <w:rPr>
          <w:b/>
          <w:bCs/>
        </w:rPr>
        <w:t xml:space="preserve">Effort: </w:t>
      </w:r>
      <w:r>
        <w:t xml:space="preserve">M</w:t>
      </w:r>
    </w:p>
    <w:p>
      <w:pPr>
        <w:spacing w:after="60" w:before="200"/>
      </w:pPr>
      <w:r>
        <w:rPr>
          <w:b/>
          <w:bCs/>
          <w:color w:val="8A6D00"/>
        </w:rPr>
        <w:t xml:space="preserve">P2-6  </w:t>
      </w:r>
      <w:r>
        <w:rPr>
          <w:b/>
          <w:bCs/>
        </w:rPr>
        <w:t xml:space="preserve">App.tsx filename-sanitization logic duplicated (new)</w:t>
      </w:r>
    </w:p>
    <w:p>
      <w:pPr>
        <w:pStyle w:val="ListParagraph"/>
        <w:numPr>
          <w:ilvl w:val="0"/>
          <w:numId w:val="1"/>
        </w:numPr>
        <w:spacing w:after="80" w:line="276"/>
      </w:pPr>
      <w:r>
        <w:rPr>
          <w:b/>
          <w:bCs/>
        </w:rPr>
        <w:t xml:space="preserve">Problem: </w:t>
      </w:r>
      <w:r>
        <w:t xml:space="preserve">The same sanitization expression now appears at two separate lines instead of a shared helper.</w:t>
      </w:r>
    </w:p>
    <w:p>
      <w:pPr>
        <w:pStyle w:val="ListParagraph"/>
        <w:numPr>
          <w:ilvl w:val="0"/>
          <w:numId w:val="1"/>
        </w:numPr>
        <w:spacing w:after="80" w:line="276"/>
      </w:pPr>
      <w:r>
        <w:rPr>
          <w:b/>
          <w:bCs/>
        </w:rPr>
        <w:t xml:space="preserve">Impact: </w:t>
      </w:r>
      <w:r>
        <w:t xml:space="preserve">Minor maintenance overhead; a future change to sanitization rules would need to be made in two places.</w:t>
      </w:r>
    </w:p>
    <w:p>
      <w:pPr>
        <w:pStyle w:val="ListParagraph"/>
        <w:numPr>
          <w:ilvl w:val="0"/>
          <w:numId w:val="1"/>
        </w:numPr>
        <w:spacing w:after="80" w:line="276"/>
      </w:pPr>
      <w:r>
        <w:rPr>
          <w:b/>
          <w:bCs/>
        </w:rPr>
        <w:t xml:space="preserve">Fix: </w:t>
      </w:r>
      <w:r>
        <w:t xml:space="preserve">Extract to a small shared utility function alongside the recent highlight.tsx extraction pattern.</w:t>
      </w:r>
    </w:p>
    <w:p>
      <w:pPr>
        <w:pStyle w:val="ListParagraph"/>
        <w:numPr>
          <w:ilvl w:val="0"/>
          <w:numId w:val="1"/>
        </w:numPr>
        <w:spacing w:after="80" w:line="276"/>
      </w:pPr>
      <w:r>
        <w:rPr>
          <w:b/>
          <w:bCs/>
        </w:rPr>
        <w:t xml:space="preserve">Effort: </w:t>
      </w:r>
      <w:r>
        <w:t xml:space="preserve">XS</w:t>
      </w:r>
    </w:p>
    <w:p>
      <w:pPr>
        <w:pStyle w:val="Heading2"/>
        <w:spacing w:after="140" w:before="320"/>
      </w:pPr>
      <w:r>
        <w:t xml:space="preserve">P3 — Low (still open, backlog)</w:t>
      </w:r>
    </w:p>
    <w:p>
      <w:pPr>
        <w:spacing w:after="60" w:before="200"/>
      </w:pPr>
      <w:r>
        <w:rPr>
          <w:b/>
          <w:bCs/>
          <w:color w:val="595959"/>
        </w:rPr>
        <w:t xml:space="preserve">P3-1  </w:t>
      </w:r>
      <w:r>
        <w:rPr>
          <w:b/>
          <w:bCs/>
        </w:rPr>
        <w:t xml:space="preserve">Weak String(e) error formatting, still unaddressed</w:t>
      </w:r>
    </w:p>
    <w:p>
      <w:pPr>
        <w:pStyle w:val="ListParagraph"/>
        <w:numPr>
          <w:ilvl w:val="0"/>
          <w:numId w:val="1"/>
        </w:numPr>
        <w:spacing w:after="80" w:line="276"/>
      </w:pPr>
      <w:r>
        <w:rPr>
          <w:b/>
          <w:bCs/>
        </w:rPr>
        <w:t xml:space="preserve">Problem: </w:t>
      </w:r>
      <w:r>
        <w:t xml:space="preserve">String(e)/String(err) still appears 15 times unnormalized across App.tsx and SettingsModal.tsx.</w:t>
      </w:r>
    </w:p>
    <w:p>
      <w:pPr>
        <w:pStyle w:val="ListParagraph"/>
        <w:numPr>
          <w:ilvl w:val="0"/>
          <w:numId w:val="1"/>
        </w:numPr>
        <w:spacing w:after="80" w:line="276"/>
      </w:pPr>
      <w:r>
        <w:rPr>
          <w:b/>
          <w:bCs/>
        </w:rPr>
        <w:t xml:space="preserve">Impact: </w:t>
      </w:r>
      <w:r>
        <w:t xml:space="preserve">Occasionally unhelpful error text shown to the user.</w:t>
      </w:r>
    </w:p>
    <w:p>
      <w:pPr>
        <w:pStyle w:val="ListParagraph"/>
        <w:numPr>
          <w:ilvl w:val="0"/>
          <w:numId w:val="1"/>
        </w:numPr>
        <w:spacing w:after="80" w:line="276"/>
      </w:pPr>
      <w:r>
        <w:rPr>
          <w:b/>
          <w:bCs/>
        </w:rPr>
        <w:t xml:space="preserve">Fix: </w:t>
      </w:r>
      <w:r>
        <w:t xml:space="preserve">Add a small normalizeError() helper used consistently at every catch site, as originally recommended.</w:t>
      </w:r>
    </w:p>
    <w:p>
      <w:pPr>
        <w:pStyle w:val="ListParagraph"/>
        <w:numPr>
          <w:ilvl w:val="0"/>
          <w:numId w:val="1"/>
        </w:numPr>
        <w:spacing w:after="80" w:line="276"/>
      </w:pPr>
      <w:r>
        <w:rPr>
          <w:b/>
          <w:bCs/>
        </w:rPr>
        <w:t xml:space="preserve">Effort: </w:t>
      </w:r>
      <w:r>
        <w:t xml:space="preserve">XS</w:t>
      </w:r>
    </w:p>
    <w:p>
      <w:pPr>
        <w:spacing w:after="60" w:before="200"/>
      </w:pPr>
      <w:r>
        <w:rPr>
          <w:b/>
          <w:bCs/>
          <w:color w:val="595959"/>
        </w:rPr>
        <w:t xml:space="preserve">P3-2  </w:t>
      </w:r>
      <w:r>
        <w:rPr>
          <w:b/>
          <w:bCs/>
        </w:rPr>
        <w:t xml:space="preserve">vitest still one major version behind (v2 vs v3)</w:t>
      </w:r>
    </w:p>
    <w:p>
      <w:pPr>
        <w:pStyle w:val="ListParagraph"/>
        <w:numPr>
          <w:ilvl w:val="0"/>
          <w:numId w:val="1"/>
        </w:numPr>
        <w:spacing w:after="80" w:line="276"/>
      </w:pPr>
      <w:r>
        <w:rPr>
          <w:b/>
          <w:bCs/>
        </w:rPr>
        <w:t xml:space="preserve">Problem: </w:t>
      </w:r>
      <w:r>
        <w:t xml:space="preserve">Unchanged.</w:t>
      </w:r>
    </w:p>
    <w:p>
      <w:pPr>
        <w:pStyle w:val="ListParagraph"/>
        <w:numPr>
          <w:ilvl w:val="0"/>
          <w:numId w:val="1"/>
        </w:numPr>
        <w:spacing w:after="80" w:line="276"/>
      </w:pPr>
      <w:r>
        <w:rPr>
          <w:b/>
          <w:bCs/>
        </w:rPr>
        <w:t xml:space="preserve">Impact: </w:t>
      </w:r>
      <w:r>
        <w:t xml:space="preserve">No functional issue today; increasing future upgrade effort.</w:t>
      </w:r>
    </w:p>
    <w:p>
      <w:pPr>
        <w:pStyle w:val="ListParagraph"/>
        <w:numPr>
          <w:ilvl w:val="0"/>
          <w:numId w:val="1"/>
        </w:numPr>
        <w:spacing w:after="80" w:line="276"/>
      </w:pPr>
      <w:r>
        <w:rPr>
          <w:b/>
          <w:bCs/>
        </w:rPr>
        <w:t xml:space="preserve">Fix: </w:t>
      </w:r>
      <w:r>
        <w:t xml:space="preserve">Schedule a planned upgrade.</w:t>
      </w:r>
    </w:p>
    <w:p>
      <w:pPr>
        <w:pStyle w:val="ListParagraph"/>
        <w:numPr>
          <w:ilvl w:val="0"/>
          <w:numId w:val="1"/>
        </w:numPr>
        <w:spacing w:after="80" w:line="276"/>
      </w:pPr>
      <w:r>
        <w:rPr>
          <w:b/>
          <w:bCs/>
        </w:rPr>
        <w:t xml:space="preserve">Effort: </w:t>
      </w:r>
      <w:r>
        <w:t xml:space="preserve">S</w:t>
      </w:r>
    </w:p>
    <w:p>
      <w:pPr>
        <w:spacing w:after="60" w:before="200"/>
      </w:pPr>
      <w:r>
        <w:rPr>
          <w:b/>
          <w:bCs/>
          <w:color w:val="595959"/>
        </w:rPr>
        <w:t xml:space="preserve">P3-3  </w:t>
      </w:r>
      <w:r>
        <w:rPr>
          <w:b/>
          <w:bCs/>
        </w:rPr>
        <w:t xml:space="preserve">Inconsistent @tauri-apps/* dependency pinning style</w:t>
      </w:r>
    </w:p>
    <w:p>
      <w:pPr>
        <w:pStyle w:val="ListParagraph"/>
        <w:numPr>
          <w:ilvl w:val="0"/>
          <w:numId w:val="1"/>
        </w:numPr>
        <w:spacing w:after="80" w:line="276"/>
      </w:pPr>
      <w:r>
        <w:rPr>
          <w:b/>
          <w:bCs/>
        </w:rPr>
        <w:t xml:space="preserve">Problem: </w:t>
      </w:r>
      <w:r>
        <w:t xml:space="preserve">Unchanged — @tauri-apps/api still a bare ^2.</w:t>
      </w:r>
    </w:p>
    <w:p>
      <w:pPr>
        <w:pStyle w:val="ListParagraph"/>
        <w:numPr>
          <w:ilvl w:val="0"/>
          <w:numId w:val="1"/>
        </w:numPr>
        <w:spacing w:after="80" w:line="276"/>
      </w:pPr>
      <w:r>
        <w:rPr>
          <w:b/>
          <w:bCs/>
        </w:rPr>
        <w:t xml:space="preserve">Impact: </w:t>
      </w:r>
      <w:r>
        <w:t xml:space="preserve">Minor inconsistency, no functional risk.</w:t>
      </w:r>
    </w:p>
    <w:p>
      <w:pPr>
        <w:pStyle w:val="ListParagraph"/>
        <w:numPr>
          <w:ilvl w:val="0"/>
          <w:numId w:val="1"/>
        </w:numPr>
        <w:spacing w:after="80" w:line="276"/>
      </w:pPr>
      <w:r>
        <w:rPr>
          <w:b/>
          <w:bCs/>
        </w:rPr>
        <w:t xml:space="preserve">Fix: </w:t>
      </w:r>
      <w:r>
        <w:t xml:space="preserve">Align pinning convention across all @tauri-apps/* entries.</w:t>
      </w:r>
    </w:p>
    <w:p>
      <w:pPr>
        <w:pStyle w:val="ListParagraph"/>
        <w:numPr>
          <w:ilvl w:val="0"/>
          <w:numId w:val="1"/>
        </w:numPr>
        <w:spacing w:after="80" w:line="276"/>
      </w:pPr>
      <w:r>
        <w:rPr>
          <w:b/>
          <w:bCs/>
        </w:rPr>
        <w:t xml:space="preserve">Effort: </w:t>
      </w:r>
      <w:r>
        <w:t xml:space="preserve">XS</w:t>
      </w:r>
    </w:p>
    <w:p>
      <w:pPr>
        <w:spacing w:after="100"/>
      </w:pPr>
    </w:p>
    <w:p>
      <w:pPr>
        <w:pStyle w:val="Heading2"/>
        <w:spacing w:after="140" w:before="320"/>
      </w:pPr>
      <w:r>
        <w:t xml:space="preserve">Closing Note</w:t>
      </w:r>
    </w:p>
    <w:p>
      <w:pPr>
        <w:spacing w:after="140" w:line="276"/>
      </w:pPr>
      <w:r>
        <w:t xml:space="preserve">This re-audit found genuine, verifiable progress — 8 of 21 findings are fully and correctly fixed, and the pattern of which ones (the mechanical, self-contained Low-severity items) is exactly what's expected when a team works through a punch list efficiently. The honest read for engineering leadership is that the harder, more consequential items — data-at-rest encryption, a real typed error boundary, meaningful test coverage, and the dependency-pinning risk — all remain open, and one fix (the CI audit-gating change) addressed the finding's wording rather than its underlying intent. None of this is alarming on its own; it's a normal, common shape for a first remediation pass. The recommendation is to schedule the five P1 items explicitly for this quarter, since they are the same four High-severity risks flagged in the original audit and have not materially changed.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DeskSec — Confidential Engineering Audit (Revision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2A44"/>
      <w:sz w:val="32"/>
      <w:szCs w:val="32"/>
    </w:rPr>
  </w:style>
  <w:style w:type="paragraph" w:styleId="Heading2">
    <w:name w:val="Heading 2"/>
    <w:basedOn w:val="Normal"/>
    <w:next w:val="Normal"/>
    <w:qFormat/>
    <w:rPr>
      <w:rFonts w:ascii="Calibri" w:cs="Calibri" w:eastAsia="Calibri" w:hAnsi="Calibri"/>
      <w:b/>
      <w:bCs/>
      <w:color w:val="1F2A44"/>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2026-07-05T10:54:23.922Z</dcterms:created>
  <dcterms:modified xsi:type="dcterms:W3CDTF">2026-07-05T10:54:23.927Z</dcterms:modified>
</cp:coreProperties>
</file>

<file path=docProps/custom.xml><?xml version="1.0" encoding="utf-8"?>
<Properties xmlns="http://schemas.openxmlformats.org/officeDocument/2006/custom-properties" xmlns:vt="http://schemas.openxmlformats.org/officeDocument/2006/docPropsVTypes"/>
</file>