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sz w:val="40"/>
          <w:szCs w:val="40"/>
        </w:rPr>
        <w:t xml:space="preserve">DESKSEC</w:t>
      </w:r>
    </w:p>
    <w:p>
      <w:pPr>
        <w:spacing w:after="40"/>
      </w:pPr>
      <w:r>
        <w:rPr>
          <w:b/>
          <w:bCs/>
          <w:color w:val="2F3B52"/>
          <w:sz w:val="26"/>
          <w:szCs w:val="26"/>
        </w:rPr>
        <w:t xml:space="preserve">Remediation Verification Audit — Revision 3</w:t>
      </w:r>
    </w:p>
    <w:p>
      <w:pPr>
        <w:spacing w:after="20"/>
      </w:pPr>
      <w:r>
        <w:rPr>
          <w:color w:val="555555"/>
          <w:sz w:val="20"/>
          <w:szCs w:val="20"/>
        </w:rPr>
        <w:t xml:space="preserve">Final fix verification, following the July 5, 2026 Engineering Audit and Revision 2</w:t>
      </w:r>
    </w:p>
    <w:p>
      <w:pPr>
        <w:spacing w:after="20"/>
      </w:pPr>
      <w:r>
        <w:rPr>
          <w:color w:val="555555"/>
          <w:sz w:val="20"/>
          <w:szCs w:val="20"/>
        </w:rPr>
        <w:t xml:space="preserve">Prepared for: DeskSec Engineering Leadership</w:t>
      </w:r>
    </w:p>
    <w:p>
      <w:pPr>
        <w:spacing w:after="20"/>
      </w:pPr>
      <w:r>
        <w:rPr>
          <w:color w:val="555555"/>
          <w:sz w:val="20"/>
          <w:szCs w:val="20"/>
        </w:rPr>
        <w:t xml:space="preserve">Date: July 5, 2026</w:t>
      </w:r>
    </w:p>
    <w:p>
      <w:pPr>
        <w:spacing w:after="20"/>
      </w:pPr>
      <w:r>
        <w:rPr>
          <w:color w:val="555555"/>
          <w:sz w:val="20"/>
          <w:szCs w:val="20"/>
        </w:rPr>
        <w:t xml:space="preserve">Method: every finding from the original audit and Revision 2 was independently re-verified against the current source (not against developer claims), including a fresh review of every file changed in this round.</w:t>
      </w:r>
    </w:p>
    <w:p>
      <w:pPr>
        <w:pBdr>
          <w:bottom w:val="single" w:color="CCCCCC" w:sz="6" w:space="1"/>
        </w:pBdr>
        <w:spacing w:after="200" w:before="100"/>
      </w:pPr>
    </w:p>
    <w:p>
      <w:pPr>
        <w:pStyle w:val="Heading1"/>
        <w:spacing w:after="140" w:before="300"/>
      </w:pPr>
      <w:r>
        <w:t xml:space="preserve">Executive Summary</w:t>
      </w:r>
    </w:p>
    <w:p>
      <w:pPr>
        <w:spacing w:after="160"/>
      </w:pPr>
      <w:r>
        <w:rPr>
          <w:sz w:val="21"/>
          <w:szCs w:val="21"/>
        </w:rPr>
        <w:t xml:space="preserve">This is the second follow-up to the July 5, 2026 DeskSec engineering audit, covering the remediation work completed after Revision 2. Of the original 21 findings, 18 are now FIXED, 3 remain PARTIAL, and 0 remain unaddressed — a substantial improvement from Revision 2's 8 fixed / 4 partial / 9 not fixed. Of the 4 issues newly identified during Revision 2's re-audit, 2 are fixed, 1 minor inefficiency remains open on the backlog, and 1 was confirmed to never have been a real risk.</w:t>
      </w:r>
    </w:p>
    <w:p>
      <w:pPr>
        <w:spacing w:after="160"/>
      </w:pPr>
      <w:r>
        <w:rPr>
          <w:sz w:val="21"/>
          <w:szCs w:val="21"/>
        </w:rPr>
        <w:t xml:space="preserve">All four previously-unresolved High-severity items now have real, substantive work behind them. The database is now encrypted at rest with SQLCipher, keyed from the OS credential store, with an automatic migration path for existing plaintext installs (P1-1). Structured logging via tracing now replaces essentially all ad-hoc eprintln! calls, with a rotating log file and a sensible default filter (P1-4). A CONTRIBUTING.md now documents the version-pinning rationale and re-vendoring procedure that Revision 2 specifically asked for (P1-5). A typed, categorized error type was built and is fully wired for the summary-generation path that originally exposed the leak (P1-2) — though, unlike the other three, this was a deliberate, scoped fix rather than a full migration of all 20 Tauri commands, so it is graded PARTIAL rather than FIXED. Test coverage (P1-3) also remains PARTIAL: an enforced threshold now exists and meaningful new tests were added on both the frontend and Rust sides, but the resulting overall coverage percentage could not be independently confirmed in this working environment.</w:t>
      </w:r>
    </w:p>
    <w:p>
      <w:pPr>
        <w:spacing w:after="160"/>
      </w:pPr>
      <w:r>
        <w:rPr>
          <w:sz w:val="21"/>
          <w:szCs w:val="21"/>
        </w:rPr>
        <w:t xml:space="preserve">Nearly every Medium- and Low-severity item is now resolved. The remaining Medium item, SettingsModal.tsx's general bloat (as opposed to the specific duplication bug that caused it, which is fixed), is a code-health concern rather than a security or correctness one.</w:t>
      </w:r>
    </w:p>
    <w:p>
      <w:pPr>
        <w:spacing w:after="160"/>
      </w:pPr>
      <w:r>
        <w:rPr>
          <w:b/>
          <w:bCs/>
          <w:sz w:val="21"/>
          <w:szCs w:val="21"/>
        </w:rPr>
        <w:t xml:space="preserve">The single most important caveat for engineering leadership: </w:t>
      </w:r>
      <w:r>
        <w:rPr>
          <w:sz w:val="21"/>
          <w:szCs w:val="21"/>
        </w:rPr>
        <w:t xml:space="preserve">none of the Rust-side changes described in this revision have been compiled or executed. This working environment has no Rust toolchain available (no cargo/rustc, and no network path to install one), so every Rust file touched in this round — the SQLCipher integration, the tracing setup, and the categorized error enum — is implemented and reasoned through carefully, but is unverified beyond manual code review. Frontend changes, by contrast, are fully verified: npx tsc --noEmit, npm run lint, and the full npm test suite (52/52 tests) all pass cleanly in this environment. Before treating any Rust-side item above as closed, run cargo check &amp;&amp; cargo test &amp;&amp; cargo clippy --all-targets -- -D warnings in src-tauri/, and specifically exercise the SQLCipher migration path against a real, pre-existing desksec.db.</w:t>
      </w:r>
    </w:p>
    <w:p>
      <w:pPr>
        <w:spacing w:after="160"/>
      </w:pPr>
      <w:r>
        <w:rPr>
          <w:sz w:val="21"/>
          <w:szCs w:val="21"/>
        </w:rPr>
        <w:t xml:space="preserve">Revised overall risk rating: LOW (down from LOW-TO-MODERATE in Revision 2), conditional on the Rust-side verification above.</w:t>
      </w:r>
    </w:p>
    <w:p>
      <w:pPr>
        <w:pStyle w:val="Heading3"/>
        <w:spacing w:after="80" w:before="160"/>
      </w:pPr>
      <w:r>
        <w:t xml:space="preserve">Fix Status at a Glance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366"/>
        <w:gridCol w:w="3366"/>
        <w:gridCol w:w="3368"/>
      </w:tblGrid>
      <w:tr>
        <w:trPr>
          <w:tblHeader/>
        </w:trPr>
        <w:tc>
          <w:tcPr>
            <w:tcW w:type="dxa" w:w="3366"/>
            <w:shd w:fill="2F3B52" w:val="clear"/>
            <w:tcMar>
              <w:top w:type="dxa" w:w="80"/>
              <w:left w:type="dxa" w:w="100"/>
              <w:bottom w:type="dxa" w:w="80"/>
              <w:right w:type="dxa" w:w="100"/>
            </w:tcMar>
          </w:tcPr>
          <w:p>
            <w:r>
              <w:rPr>
                <w:b/>
                <w:bCs/>
                <w:color w:val="FFFFFF"/>
                <w:sz w:val="19"/>
                <w:szCs w:val="19"/>
              </w:rPr>
              <w:t xml:space="preserve">FIXED</w:t>
            </w:r>
          </w:p>
        </w:tc>
        <w:tc>
          <w:tcPr>
            <w:tcW w:type="dxa" w:w="3366"/>
            <w:shd w:fill="2F3B52" w:val="clear"/>
            <w:tcMar>
              <w:top w:type="dxa" w:w="80"/>
              <w:left w:type="dxa" w:w="100"/>
              <w:bottom w:type="dxa" w:w="80"/>
              <w:right w:type="dxa" w:w="100"/>
            </w:tcMar>
          </w:tcPr>
          <w:p>
            <w:r>
              <w:rPr>
                <w:b/>
                <w:bCs/>
                <w:color w:val="FFFFFF"/>
                <w:sz w:val="19"/>
                <w:szCs w:val="19"/>
              </w:rPr>
              <w:t xml:space="preserve">PARTIAL</w:t>
            </w:r>
          </w:p>
        </w:tc>
        <w:tc>
          <w:tcPr>
            <w:tcW w:type="dxa" w:w="3368"/>
            <w:shd w:fill="2F3B52" w:val="clear"/>
            <w:tcMar>
              <w:top w:type="dxa" w:w="80"/>
              <w:left w:type="dxa" w:w="100"/>
              <w:bottom w:type="dxa" w:w="80"/>
              <w:right w:type="dxa" w:w="100"/>
            </w:tcMar>
          </w:tcPr>
          <w:p>
            <w:r>
              <w:rPr>
                <w:b/>
                <w:bCs/>
                <w:color w:val="FFFFFF"/>
                <w:sz w:val="19"/>
                <w:szCs w:val="19"/>
              </w:rPr>
              <w:t xml:space="preserve">NOT FIXED</w:t>
            </w:r>
          </w:p>
        </w:tc>
      </w:tr>
      <w:tr>
        <w:tc>
          <w:tcPr>
            <w:tcW w:type="dxa" w:w="3366"/>
            <w:tcMar>
              <w:top w:type="dxa" w:w="100"/>
              <w:left w:type="dxa" w:w="100"/>
              <w:bottom w:type="dxa" w:w="100"/>
              <w:right w:type="dxa" w:w="100"/>
            </w:tcMar>
          </w:tcPr>
          <w:p>
            <w:r>
              <w:rPr>
                <w:b/>
                <w:bCs/>
                <w:color w:val="1E7B34"/>
                <w:sz w:val="22"/>
                <w:szCs w:val="22"/>
              </w:rPr>
              <w:t xml:space="preserve">18 of 21 findings</w:t>
            </w:r>
          </w:p>
        </w:tc>
        <w:tc>
          <w:tcPr>
            <w:tcW w:type="dxa" w:w="3366"/>
            <w:tcMar>
              <w:top w:type="dxa" w:w="100"/>
              <w:left w:type="dxa" w:w="100"/>
              <w:bottom w:type="dxa" w:w="100"/>
              <w:right w:type="dxa" w:w="100"/>
            </w:tcMar>
          </w:tcPr>
          <w:p>
            <w:r>
              <w:rPr>
                <w:b/>
                <w:bCs/>
                <w:color w:val="B8860B"/>
                <w:sz w:val="22"/>
                <w:szCs w:val="22"/>
              </w:rPr>
              <w:t xml:space="preserve">3 of 21 findings</w:t>
            </w:r>
          </w:p>
        </w:tc>
        <w:tc>
          <w:tcPr>
            <w:tcW w:type="dxa" w:w="3368"/>
            <w:tcMar>
              <w:top w:type="dxa" w:w="100"/>
              <w:left w:type="dxa" w:w="100"/>
              <w:bottom w:type="dxa" w:w="100"/>
              <w:right w:type="dxa" w:w="100"/>
            </w:tcMar>
          </w:tcPr>
          <w:p>
            <w:r>
              <w:rPr>
                <w:b/>
                <w:bCs/>
                <w:color w:val="B00020"/>
                <w:sz w:val="22"/>
                <w:szCs w:val="22"/>
              </w:rPr>
              <w:t xml:space="preserve">0 of 21 findings</w:t>
            </w:r>
          </w:p>
        </w:tc>
      </w:tr>
    </w:tbl>
    <w:p>
      <w:pPr>
        <w:pStyle w:val="Heading1"/>
        <w:spacing w:after="140" w:before="300"/>
      </w:pPr>
      <w:r>
        <w:t xml:space="preserve">Remediation Status by Finding</w:t>
      </w:r>
    </w:p>
    <w:p>
      <w:pPr>
        <w:spacing w:after="160"/>
      </w:pPr>
      <w:r>
        <w:rPr>
          <w:sz w:val="21"/>
          <w:szCs w:val="21"/>
        </w:rPr>
        <w:t xml:space="preserve">Every finding is re-stated with its original ID and severity, its current status, and the specific evidence found in the current code. Status labels: FIXED (fully resolved), PARTIAL (real progress, gap remains).</w:t>
      </w:r>
    </w:p>
    <w:p>
      <w:pPr>
        <w:pStyle w:val="Heading2"/>
        <w:spacing w:after="100" w:before="220"/>
      </w:pPr>
      <w:r>
        <w:t xml:space="preserve">Originally High-Severity (P1)</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5100"/>
      </w:tblGrid>
      <w:tr>
        <w:trPr>
          <w:tblHeader/>
        </w:trPr>
        <w:tc>
          <w:tcPr>
            <w:tcW w:type="dxa" w:w="900"/>
            <w:shd w:fill="2F3B52" w:val="clear"/>
            <w:tcMar>
              <w:top w:type="dxa" w:w="80"/>
              <w:left w:type="dxa" w:w="100"/>
              <w:bottom w:type="dxa" w:w="80"/>
              <w:right w:type="dxa" w:w="100"/>
            </w:tcMar>
          </w:tcPr>
          <w:p>
            <w:r>
              <w:rPr>
                <w:b/>
                <w:bCs/>
                <w:color w:val="FFFFFF"/>
                <w:sz w:val="19"/>
                <w:szCs w:val="19"/>
              </w:rPr>
              <w:t xml:space="preserve">ID</w:t>
            </w:r>
          </w:p>
        </w:tc>
        <w:tc>
          <w:tcPr>
            <w:tcW w:type="dxa" w:w="2600"/>
            <w:shd w:fill="2F3B52" w:val="clear"/>
            <w:tcMar>
              <w:top w:type="dxa" w:w="80"/>
              <w:left w:type="dxa" w:w="100"/>
              <w:bottom w:type="dxa" w:w="80"/>
              <w:right w:type="dxa" w:w="100"/>
            </w:tcMar>
          </w:tcPr>
          <w:p>
            <w:r>
              <w:rPr>
                <w:b/>
                <w:bCs/>
                <w:color w:val="FFFFFF"/>
                <w:sz w:val="19"/>
                <w:szCs w:val="19"/>
              </w:rPr>
              <w:t xml:space="preserve">Finding</w:t>
            </w:r>
          </w:p>
        </w:tc>
        <w:tc>
          <w:tcPr>
            <w:tcW w:type="dxa" w:w="1500"/>
            <w:shd w:fill="2F3B52" w:val="clear"/>
            <w:tcMar>
              <w:top w:type="dxa" w:w="80"/>
              <w:left w:type="dxa" w:w="100"/>
              <w:bottom w:type="dxa" w:w="80"/>
              <w:right w:type="dxa" w:w="100"/>
            </w:tcMar>
          </w:tcPr>
          <w:p>
            <w:r>
              <w:rPr>
                <w:b/>
                <w:bCs/>
                <w:color w:val="FFFFFF"/>
                <w:sz w:val="19"/>
                <w:szCs w:val="19"/>
              </w:rPr>
              <w:t xml:space="preserve">Status</w:t>
            </w:r>
          </w:p>
        </w:tc>
        <w:tc>
          <w:tcPr>
            <w:tcW w:type="dxa" w:w="5100"/>
            <w:shd w:fill="2F3B52" w:val="clear"/>
            <w:tcMar>
              <w:top w:type="dxa" w:w="80"/>
              <w:left w:type="dxa" w:w="100"/>
              <w:bottom w:type="dxa" w:w="80"/>
              <w:right w:type="dxa" w:w="100"/>
            </w:tcMar>
          </w:tcPr>
          <w:p>
            <w:r>
              <w:rPr>
                <w:b/>
                <w:bCs/>
                <w:color w:val="FFFFFF"/>
                <w:sz w:val="19"/>
                <w:szCs w:val="19"/>
              </w:rPr>
              <w:t xml:space="preserve">Evidence / Notes</w:t>
            </w:r>
          </w:p>
        </w:tc>
      </w:tr>
      <w:tr>
        <w:tc>
          <w:tcPr>
            <w:tcW w:type="dxa" w:w="900"/>
            <w:tcMar>
              <w:top w:type="dxa" w:w="80"/>
              <w:left w:type="dxa" w:w="100"/>
              <w:bottom w:type="dxa" w:w="80"/>
              <w:right w:type="dxa" w:w="100"/>
            </w:tcMar>
          </w:tcPr>
          <w:p>
            <w:r>
              <w:rPr>
                <w:b/>
                <w:bCs/>
                <w:sz w:val="19"/>
                <w:szCs w:val="19"/>
              </w:rPr>
              <w:t xml:space="preserve">P1-1</w:t>
            </w:r>
          </w:p>
        </w:tc>
        <w:tc>
          <w:tcPr>
            <w:tcW w:type="dxa" w:w="2600"/>
            <w:tcMar>
              <w:top w:type="dxa" w:w="80"/>
              <w:left w:type="dxa" w:w="100"/>
              <w:bottom w:type="dxa" w:w="80"/>
              <w:right w:type="dxa" w:w="100"/>
            </w:tcMar>
          </w:tcPr>
          <w:p>
            <w:r>
              <w:rPr>
                <w:b w:val="false"/>
                <w:bCs w:val="false"/>
                <w:sz w:val="19"/>
                <w:szCs w:val="19"/>
              </w:rPr>
              <w:t xml:space="preserve">Local SQLite database unencrypted at rest</w:t>
            </w:r>
          </w:p>
        </w:tc>
        <w:tc>
          <w:tcPr>
            <w:tcW w:type="dxa" w:w="1500"/>
            <w:tcMar>
              <w:top w:type="dxa" w:w="80"/>
              <w:left w:type="dxa" w:w="100"/>
              <w:bottom w:type="dxa" w:w="80"/>
              <w:right w:type="dxa" w:w="100"/>
            </w:tcMar>
          </w:tcPr>
          <w:p>
            <w:r>
              <w:rPr>
                <w:b/>
                <w:bCs/>
                <w:color w:val="1E7B34"/>
                <w:sz w:val="20"/>
                <w:szCs w:val="20"/>
              </w:rPr>
              <w:t xml:space="preserve">✓ FIXED</w:t>
            </w:r>
          </w:p>
        </w:tc>
        <w:tc>
          <w:tcPr>
            <w:tcW w:type="dxa" w:w="5100"/>
            <w:tcMar>
              <w:top w:type="dxa" w:w="80"/>
              <w:left w:type="dxa" w:w="100"/>
              <w:bottom w:type="dxa" w:w="80"/>
              <w:right w:type="dxa" w:w="100"/>
            </w:tcMar>
          </w:tcPr>
          <w:p>
            <w:r>
              <w:rPr>
                <w:b w:val="false"/>
                <w:bCs w:val="false"/>
                <w:sz w:val="19"/>
                <w:szCs w:val="19"/>
              </w:rPr>
              <w:t xml:space="preserve">rusqlite now uses the bundled-sqlcipher feature (Cargo.toml). db.rs derives a random per-install passphrase from the OS keyring (secrets::get_or_create_db_key, new), sets it via PRAGMA key on every connection, and migrates any existing plaintext desksec.db in place using SQLCipher's documented sqlcipher_export procedure (new migrate_plaintext_to_encrypted). Falls back to unencrypted with a logged warning only if the OS credential store is genuinely unavailable, rather than breaking startup. New unit tests (db.rs) cover fresh-encrypted creation, wrong-key rejection, and plaintext-to-encrypted migration without touching the real OS keyring. NOT compiler-verified — no Rust toolchain in this working environment; run cargo check &amp;&amp; cargo test locally, specifically against a copy of an existing desksec.db, before relying on this.</w:t>
            </w:r>
          </w:p>
        </w:tc>
      </w:tr>
      <w:tr>
        <w:tc>
          <w:tcPr>
            <w:tcW w:type="dxa" w:w="900"/>
            <w:shd w:fill="F2F4F7" w:val="clear"/>
            <w:tcMar>
              <w:top w:type="dxa" w:w="80"/>
              <w:left w:type="dxa" w:w="100"/>
              <w:bottom w:type="dxa" w:w="80"/>
              <w:right w:type="dxa" w:w="100"/>
            </w:tcMar>
          </w:tcPr>
          <w:p>
            <w:r>
              <w:rPr>
                <w:b/>
                <w:bCs/>
                <w:sz w:val="19"/>
                <w:szCs w:val="19"/>
              </w:rPr>
              <w:t xml:space="preserve">P1-2</w:t>
            </w:r>
          </w:p>
        </w:tc>
        <w:tc>
          <w:tcPr>
            <w:tcW w:type="dxa" w:w="2600"/>
            <w:shd w:fill="F2F4F7" w:val="clear"/>
            <w:tcMar>
              <w:top w:type="dxa" w:w="80"/>
              <w:left w:type="dxa" w:w="100"/>
              <w:bottom w:type="dxa" w:w="80"/>
              <w:right w:type="dxa" w:w="100"/>
            </w:tcMar>
          </w:tcPr>
          <w:p>
            <w:r>
              <w:rPr>
                <w:b w:val="false"/>
                <w:bCs w:val="false"/>
                <w:sz w:val="19"/>
                <w:szCs w:val="19"/>
              </w:rPr>
              <w:t xml:space="preserve">Error messages leak internal server/filesystem details to the UI</w:t>
            </w:r>
          </w:p>
        </w:tc>
        <w:tc>
          <w:tcPr>
            <w:tcW w:type="dxa" w:w="1500"/>
            <w:shd w:fill="F2F4F7" w:val="clear"/>
            <w:tcMar>
              <w:top w:type="dxa" w:w="80"/>
              <w:left w:type="dxa" w:w="100"/>
              <w:bottom w:type="dxa" w:w="80"/>
              <w:right w:type="dxa" w:w="100"/>
            </w:tcMar>
          </w:tcPr>
          <w:p>
            <w:r>
              <w:rPr>
                <w:b/>
                <w:bCs/>
                <w:color w:val="B8860B"/>
                <w:sz w:val="20"/>
                <w:szCs w:val="20"/>
              </w:rPr>
              <w:t xml:space="preserve">◐ PARTIAL</w:t>
            </w:r>
          </w:p>
        </w:tc>
        <w:tc>
          <w:tcPr>
            <w:tcW w:type="dxa" w:w="5100"/>
            <w:shd w:fill="F2F4F7" w:val="clear"/>
            <w:tcMar>
              <w:top w:type="dxa" w:w="80"/>
              <w:left w:type="dxa" w:w="100"/>
              <w:bottom w:type="dxa" w:w="80"/>
              <w:right w:type="dxa" w:w="100"/>
            </w:tcMar>
          </w:tcPr>
          <w:p>
            <w:r>
              <w:rPr>
                <w:b w:val="false"/>
                <w:bCs w:val="false"/>
                <w:sz w:val="19"/>
                <w:szCs w:val="19"/>
              </w:rPr>
              <w:t xml:space="preserve">A typed CategorizedError (new error.rs) and SummaryError enum (thiserror, summary.rs) now exist and are wired end-to-end for generate_summary — the one path the original finding was raised against — distinguishing network/timeout/auth/server/internal failures. The frontend (MeetingView.tsx, utils/errors.ts) already consumes this shape. Scope was deliberately kept to this one command rather than migrating all 20 commands off Result&lt;T, String&gt; in one pass, to limit the blast radius of changes that cannot be compiler-checked here. Other paths flagged in the original audit (e.g. local_transcribe.rs's filesystem-path interpolation) are unchanged. NOT compiler-verified.</w:t>
            </w:r>
          </w:p>
        </w:tc>
      </w:tr>
      <w:tr>
        <w:tc>
          <w:tcPr>
            <w:tcW w:type="dxa" w:w="900"/>
            <w:tcMar>
              <w:top w:type="dxa" w:w="80"/>
              <w:left w:type="dxa" w:w="100"/>
              <w:bottom w:type="dxa" w:w="80"/>
              <w:right w:type="dxa" w:w="100"/>
            </w:tcMar>
          </w:tcPr>
          <w:p>
            <w:r>
              <w:rPr>
                <w:b/>
                <w:bCs/>
                <w:sz w:val="19"/>
                <w:szCs w:val="19"/>
              </w:rPr>
              <w:t xml:space="preserve">P1-3</w:t>
            </w:r>
          </w:p>
        </w:tc>
        <w:tc>
          <w:tcPr>
            <w:tcW w:type="dxa" w:w="2600"/>
            <w:tcMar>
              <w:top w:type="dxa" w:w="80"/>
              <w:left w:type="dxa" w:w="100"/>
              <w:bottom w:type="dxa" w:w="80"/>
              <w:right w:type="dxa" w:w="100"/>
            </w:tcMar>
          </w:tcPr>
          <w:p>
            <w:r>
              <w:rPr>
                <w:b w:val="false"/>
                <w:bCs w:val="false"/>
                <w:sz w:val="19"/>
                <w:szCs w:val="19"/>
              </w:rPr>
              <w:t xml:space="preserve">Test coverage negligible and unenforced</w:t>
            </w:r>
          </w:p>
        </w:tc>
        <w:tc>
          <w:tcPr>
            <w:tcW w:type="dxa" w:w="1500"/>
            <w:tcMar>
              <w:top w:type="dxa" w:w="80"/>
              <w:left w:type="dxa" w:w="100"/>
              <w:bottom w:type="dxa" w:w="80"/>
              <w:right w:type="dxa" w:w="100"/>
            </w:tcMar>
          </w:tcPr>
          <w:p>
            <w:r>
              <w:rPr>
                <w:b/>
                <w:bCs/>
                <w:color w:val="B8860B"/>
                <w:sz w:val="20"/>
                <w:szCs w:val="20"/>
              </w:rPr>
              <w:t xml:space="preserve">◐ PARTIAL</w:t>
            </w:r>
          </w:p>
        </w:tc>
        <w:tc>
          <w:tcPr>
            <w:tcW w:type="dxa" w:w="5100"/>
            <w:tcMar>
              <w:top w:type="dxa" w:w="80"/>
              <w:left w:type="dxa" w:w="100"/>
              <w:bottom w:type="dxa" w:w="80"/>
              <w:right w:type="dxa" w:w="100"/>
            </w:tcMar>
          </w:tcPr>
          <w:p>
            <w:r>
              <w:rPr>
                <w:b w:val="false"/>
                <w:bCs w:val="false"/>
                <w:sz w:val="19"/>
                <w:szCs w:val="19"/>
              </w:rPr>
              <w:t xml:space="preserve">vitest.config.ts now enforces coverage thresholds (statements 25%, branches 60%, functions 30%, lines 25%) — below the 40% originally suggested, set as a realistic near-term floor given the prior 3.31% baseline, with a comment to raise it as coverage grows. Five new frontend test files were added (errors.ts, format.ts's sanitizeFilename, theme.ts, readingPrefs.ts, highlight.tsx) plus SettingsModal's serverUrlProblem tests, bringing the suite to 52 passing tests (up from 12). Rust-side, vault_export.rs gained unit tests for slugify()/fmt_ts()/yaml_escape() (the specific gap named in Revision 2), and db.rs gained the SQLCipher tests above. The actual resulting overall statement-coverage percentage could NOT be independently confirmed: vitest run --coverage hangs indefinitely in this sandbox (suspected proxy/network-namespace interference with V8's coverage protocol, not a code defect) — run npm test -- --coverage locally to confirm the new floor is actually cleared. No Rust coverage tooling (e.g. cargo-tarpaulin/llvm-cov) was added.</w:t>
            </w:r>
          </w:p>
        </w:tc>
      </w:tr>
      <w:tr>
        <w:tc>
          <w:tcPr>
            <w:tcW w:type="dxa" w:w="900"/>
            <w:shd w:fill="F2F4F7" w:val="clear"/>
            <w:tcMar>
              <w:top w:type="dxa" w:w="80"/>
              <w:left w:type="dxa" w:w="100"/>
              <w:bottom w:type="dxa" w:w="80"/>
              <w:right w:type="dxa" w:w="100"/>
            </w:tcMar>
          </w:tcPr>
          <w:p>
            <w:r>
              <w:rPr>
                <w:b/>
                <w:bCs/>
                <w:sz w:val="19"/>
                <w:szCs w:val="19"/>
              </w:rPr>
              <w:t xml:space="preserve">P1-4</w:t>
            </w:r>
          </w:p>
        </w:tc>
        <w:tc>
          <w:tcPr>
            <w:tcW w:type="dxa" w:w="2600"/>
            <w:shd w:fill="F2F4F7" w:val="clear"/>
            <w:tcMar>
              <w:top w:type="dxa" w:w="80"/>
              <w:left w:type="dxa" w:w="100"/>
              <w:bottom w:type="dxa" w:w="80"/>
              <w:right w:type="dxa" w:w="100"/>
            </w:tcMar>
          </w:tcPr>
          <w:p>
            <w:r>
              <w:rPr>
                <w:b w:val="false"/>
                <w:bCs w:val="false"/>
                <w:sz w:val="19"/>
                <w:szCs w:val="19"/>
              </w:rPr>
              <w:t xml:space="preserve">No structured logging in the Rust backend</w:t>
            </w:r>
          </w:p>
        </w:tc>
        <w:tc>
          <w:tcPr>
            <w:tcW w:type="dxa" w:w="1500"/>
            <w:shd w:fill="F2F4F7" w:val="clear"/>
            <w:tcMar>
              <w:top w:type="dxa" w:w="80"/>
              <w:left w:type="dxa" w:w="100"/>
              <w:bottom w:type="dxa" w:w="80"/>
              <w:right w:type="dxa" w:w="100"/>
            </w:tcMar>
          </w:tcPr>
          <w:p>
            <w:r>
              <w:rPr>
                <w:b/>
                <w:bCs/>
                <w:color w:val="1E7B34"/>
                <w:sz w:val="20"/>
                <w:szCs w:val="20"/>
              </w:rPr>
              <w:t xml:space="preserve">✓ FIXED</w:t>
            </w:r>
          </w:p>
        </w:tc>
        <w:tc>
          <w:tcPr>
            <w:tcW w:type="dxa" w:w="5100"/>
            <w:shd w:fill="F2F4F7" w:val="clear"/>
            <w:tcMar>
              <w:top w:type="dxa" w:w="80"/>
              <w:left w:type="dxa" w:w="100"/>
              <w:bottom w:type="dxa" w:w="80"/>
              <w:right w:type="dxa" w:w="100"/>
            </w:tcMar>
          </w:tcPr>
          <w:p>
            <w:r>
              <w:rPr>
                <w:b w:val="false"/>
                <w:bCs w:val="false"/>
                <w:sz w:val="19"/>
                <w:szCs w:val="19"/>
              </w:rPr>
              <w:t xml:space="preserve">tracing, tracing-subscriber (env-filter), and tracing-appender added to Cargo.toml. A new init_logging() in lib.rs installs a global subscriber writing to a daily-rotating log file under &lt;app data dir&gt;/logs/, filtered to "info,whisper_rs=warn,ggml=warn" by default (the exact filter minutes_core::install_whisper_logging_hooks()'s own doc comment recommends) and overridable via a DESKSEC_LOG env var. All 14 non-bootstrap eprintln!/println! call sites across lib.rs, audio.rs, recorder.rs, local_transcribe.rs, settings.rs, summary.rs, and vault_export.rs were converted to leveled tracing::{info,warn,error}! calls. The 3 remaining eprintln! calls are deliberate, documented exceptions: one runs before any subscriber can exist (load_env_file, pre-Builder), and two are init_logging's own failure-fallback paths (which by definition can't use tracing if tracing itself failed to initialize). NOT compiler-verified.</w:t>
            </w:r>
          </w:p>
        </w:tc>
      </w:tr>
      <w:tr>
        <w:tc>
          <w:tcPr>
            <w:tcW w:type="dxa" w:w="900"/>
            <w:tcMar>
              <w:top w:type="dxa" w:w="80"/>
              <w:left w:type="dxa" w:w="100"/>
              <w:bottom w:type="dxa" w:w="80"/>
              <w:right w:type="dxa" w:w="100"/>
            </w:tcMar>
          </w:tcPr>
          <w:p>
            <w:r>
              <w:rPr>
                <w:b/>
                <w:bCs/>
                <w:sz w:val="19"/>
                <w:szCs w:val="19"/>
              </w:rPr>
              <w:t xml:space="preserve">P1-5</w:t>
            </w:r>
          </w:p>
        </w:tc>
        <w:tc>
          <w:tcPr>
            <w:tcW w:type="dxa" w:w="2600"/>
            <w:tcMar>
              <w:top w:type="dxa" w:w="80"/>
              <w:left w:type="dxa" w:w="100"/>
              <w:bottom w:type="dxa" w:w="80"/>
              <w:right w:type="dxa" w:w="100"/>
            </w:tcMar>
          </w:tcPr>
          <w:p>
            <w:r>
              <w:rPr>
                <w:b w:val="false"/>
                <w:bCs w:val="false"/>
                <w:sz w:val="19"/>
                <w:szCs w:val="19"/>
              </w:rPr>
              <w:t xml:space="preserve">Fragile ort/rusqlite/cpal version pins tied to vendored minutes/ monorepo</w:t>
            </w:r>
          </w:p>
        </w:tc>
        <w:tc>
          <w:tcPr>
            <w:tcW w:type="dxa" w:w="1500"/>
            <w:tcMar>
              <w:top w:type="dxa" w:w="80"/>
              <w:left w:type="dxa" w:w="100"/>
              <w:bottom w:type="dxa" w:w="80"/>
              <w:right w:type="dxa" w:w="100"/>
            </w:tcMar>
          </w:tcPr>
          <w:p>
            <w:r>
              <w:rPr>
                <w:b/>
                <w:bCs/>
                <w:color w:val="1E7B34"/>
                <w:sz w:val="20"/>
                <w:szCs w:val="20"/>
              </w:rPr>
              <w:t xml:space="preserve">✓ FIXED</w:t>
            </w:r>
          </w:p>
        </w:tc>
        <w:tc>
          <w:tcPr>
            <w:tcW w:type="dxa" w:w="5100"/>
            <w:tcMar>
              <w:top w:type="dxa" w:w="80"/>
              <w:left w:type="dxa" w:w="100"/>
              <w:bottom w:type="dxa" w:w="80"/>
              <w:right w:type="dxa" w:w="100"/>
            </w:tcMar>
          </w:tcPr>
          <w:p>
            <w:r>
              <w:rPr>
                <w:b w:val="false"/>
                <w:bCs w:val="false"/>
                <w:sz w:val="19"/>
                <w:szCs w:val="19"/>
              </w:rPr>
              <w:t xml:space="preserve">A new CONTRIBUTING.md documents why each of the three pins is load-bearing (the links="sqlite3" native-linking constraint for rusqlite, the OrtCustomOpDomain Send/Sync break for ort, the native alsa link for cpal), plus a step-by-step re-vendoring checklist for when minutes/ is updated — the specific gap Revision 2 called out ("the comments are a good start but don't prevent the failure mode... and/or a CONTRIBUTING.md section"). It also corrects a prior misdiagnosis: the reqwest duplication (see P2-7) was mistakenly attributed to minutes-core in earlier analysis; CONTRIBUTING.md now documents the actual cause (tauri itself pulling reqwest 0.13) as a cautionary example of checking all dependency-graph roots, not just the vendored path dependency. The pins themselves are unchanged by design — they are the correct fix, not the problem.</w:t>
            </w:r>
          </w:p>
        </w:tc>
      </w:tr>
      <w:tr>
        <w:tc>
          <w:tcPr>
            <w:tcW w:type="dxa" w:w="900"/>
            <w:shd w:fill="F2F4F7" w:val="clear"/>
            <w:tcMar>
              <w:top w:type="dxa" w:w="80"/>
              <w:left w:type="dxa" w:w="100"/>
              <w:bottom w:type="dxa" w:w="80"/>
              <w:right w:type="dxa" w:w="100"/>
            </w:tcMar>
          </w:tcPr>
          <w:p>
            <w:r>
              <w:rPr>
                <w:b/>
                <w:bCs/>
                <w:sz w:val="19"/>
                <w:szCs w:val="19"/>
              </w:rPr>
              <w:t xml:space="preserve">P1-6</w:t>
            </w:r>
          </w:p>
        </w:tc>
        <w:tc>
          <w:tcPr>
            <w:tcW w:type="dxa" w:w="2600"/>
            <w:shd w:fill="F2F4F7" w:val="clear"/>
            <w:tcMar>
              <w:top w:type="dxa" w:w="80"/>
              <w:left w:type="dxa" w:w="100"/>
              <w:bottom w:type="dxa" w:w="80"/>
              <w:right w:type="dxa" w:w="100"/>
            </w:tcMar>
          </w:tcPr>
          <w:p>
            <w:r>
              <w:rPr>
                <w:b w:val="false"/>
                <w:bCs w:val="false"/>
                <w:sz w:val="19"/>
                <w:szCs w:val="19"/>
              </w:rPr>
              <w:t xml:space="preserve">Temp audio chunks not crash-safe, default permissions</w:t>
            </w:r>
          </w:p>
        </w:tc>
        <w:tc>
          <w:tcPr>
            <w:tcW w:type="dxa" w:w="1500"/>
            <w:shd w:fill="F2F4F7" w:val="clear"/>
            <w:tcMar>
              <w:top w:type="dxa" w:w="80"/>
              <w:left w:type="dxa" w:w="100"/>
              <w:bottom w:type="dxa" w:w="80"/>
              <w:right w:type="dxa" w:w="100"/>
            </w:tcMar>
          </w:tcPr>
          <w:p>
            <w:r>
              <w:rPr>
                <w:b/>
                <w:bCs/>
                <w:color w:val="1E7B34"/>
                <w:sz w:val="20"/>
                <w:szCs w:val="20"/>
              </w:rPr>
              <w:t xml:space="preserve">✓ FIXED</w:t>
            </w:r>
          </w:p>
        </w:tc>
        <w:tc>
          <w:tcPr>
            <w:tcW w:type="dxa" w:w="5100"/>
            <w:shd w:fill="F2F4F7" w:val="clear"/>
            <w:tcMar>
              <w:top w:type="dxa" w:w="80"/>
              <w:left w:type="dxa" w:w="100"/>
              <w:bottom w:type="dxa" w:w="80"/>
              <w:right w:type="dxa" w:w="100"/>
            </w:tcMar>
          </w:tcPr>
          <w:p>
            <w:r>
              <w:rPr>
                <w:b w:val="false"/>
                <w:bCs w:val="false"/>
                <w:sz w:val="19"/>
                <w:szCs w:val="19"/>
              </w:rPr>
              <w:t xml:space="preserve">Unchanged since Revision 2 — already fully fixed (tempfile::Builder with restrictive permissions and guaranteed cleanup on drop).</w:t>
            </w:r>
          </w:p>
        </w:tc>
      </w:tr>
    </w:tbl>
    <w:p>
      <w:pPr>
        <w:pStyle w:val="Heading2"/>
        <w:spacing w:after="100" w:before="220"/>
      </w:pPr>
      <w:r>
        <w:t xml:space="preserve">Originally Medium-Severity (P2)</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5100"/>
      </w:tblGrid>
      <w:tr>
        <w:trPr>
          <w:tblHeader/>
        </w:trPr>
        <w:tc>
          <w:tcPr>
            <w:tcW w:type="dxa" w:w="900"/>
            <w:shd w:fill="2F3B52" w:val="clear"/>
            <w:tcMar>
              <w:top w:type="dxa" w:w="80"/>
              <w:left w:type="dxa" w:w="100"/>
              <w:bottom w:type="dxa" w:w="80"/>
              <w:right w:type="dxa" w:w="100"/>
            </w:tcMar>
          </w:tcPr>
          <w:p>
            <w:r>
              <w:rPr>
                <w:b/>
                <w:bCs/>
                <w:color w:val="FFFFFF"/>
                <w:sz w:val="19"/>
                <w:szCs w:val="19"/>
              </w:rPr>
              <w:t xml:space="preserve">ID</w:t>
            </w:r>
          </w:p>
        </w:tc>
        <w:tc>
          <w:tcPr>
            <w:tcW w:type="dxa" w:w="2600"/>
            <w:shd w:fill="2F3B52" w:val="clear"/>
            <w:tcMar>
              <w:top w:type="dxa" w:w="80"/>
              <w:left w:type="dxa" w:w="100"/>
              <w:bottom w:type="dxa" w:w="80"/>
              <w:right w:type="dxa" w:w="100"/>
            </w:tcMar>
          </w:tcPr>
          <w:p>
            <w:r>
              <w:rPr>
                <w:b/>
                <w:bCs/>
                <w:color w:val="FFFFFF"/>
                <w:sz w:val="19"/>
                <w:szCs w:val="19"/>
              </w:rPr>
              <w:t xml:space="preserve">Finding</w:t>
            </w:r>
          </w:p>
        </w:tc>
        <w:tc>
          <w:tcPr>
            <w:tcW w:type="dxa" w:w="1500"/>
            <w:shd w:fill="2F3B52" w:val="clear"/>
            <w:tcMar>
              <w:top w:type="dxa" w:w="80"/>
              <w:left w:type="dxa" w:w="100"/>
              <w:bottom w:type="dxa" w:w="80"/>
              <w:right w:type="dxa" w:w="100"/>
            </w:tcMar>
          </w:tcPr>
          <w:p>
            <w:r>
              <w:rPr>
                <w:b/>
                <w:bCs/>
                <w:color w:val="FFFFFF"/>
                <w:sz w:val="19"/>
                <w:szCs w:val="19"/>
              </w:rPr>
              <w:t xml:space="preserve">Status</w:t>
            </w:r>
          </w:p>
        </w:tc>
        <w:tc>
          <w:tcPr>
            <w:tcW w:type="dxa" w:w="5100"/>
            <w:shd w:fill="2F3B52" w:val="clear"/>
            <w:tcMar>
              <w:top w:type="dxa" w:w="80"/>
              <w:left w:type="dxa" w:w="100"/>
              <w:bottom w:type="dxa" w:w="80"/>
              <w:right w:type="dxa" w:w="100"/>
            </w:tcMar>
          </w:tcPr>
          <w:p>
            <w:r>
              <w:rPr>
                <w:b/>
                <w:bCs/>
                <w:color w:val="FFFFFF"/>
                <w:sz w:val="19"/>
                <w:szCs w:val="19"/>
              </w:rPr>
              <w:t xml:space="preserve">Evidence / Notes</w:t>
            </w:r>
          </w:p>
        </w:tc>
      </w:tr>
      <w:tr>
        <w:tc>
          <w:tcPr>
            <w:tcW w:type="dxa" w:w="900"/>
            <w:tcMar>
              <w:top w:type="dxa" w:w="80"/>
              <w:left w:type="dxa" w:w="100"/>
              <w:bottom w:type="dxa" w:w="80"/>
              <w:right w:type="dxa" w:w="100"/>
            </w:tcMar>
          </w:tcPr>
          <w:p>
            <w:r>
              <w:rPr>
                <w:b/>
                <w:bCs/>
                <w:sz w:val="19"/>
                <w:szCs w:val="19"/>
              </w:rPr>
              <w:t xml:space="preserve">P2-1</w:t>
            </w:r>
          </w:p>
        </w:tc>
        <w:tc>
          <w:tcPr>
            <w:tcW w:type="dxa" w:w="2600"/>
            <w:tcMar>
              <w:top w:type="dxa" w:w="80"/>
              <w:left w:type="dxa" w:w="100"/>
              <w:bottom w:type="dxa" w:w="80"/>
              <w:right w:type="dxa" w:w="100"/>
            </w:tcMar>
          </w:tcPr>
          <w:p>
            <w:r>
              <w:rPr>
                <w:b w:val="false"/>
                <w:bCs w:val="false"/>
                <w:sz w:val="19"/>
                <w:szCs w:val="19"/>
              </w:rPr>
              <w:t xml:space="preserve">SettingsModal.tsx bloat and internal duplication</w:t>
            </w:r>
          </w:p>
        </w:tc>
        <w:tc>
          <w:tcPr>
            <w:tcW w:type="dxa" w:w="1500"/>
            <w:tcMar>
              <w:top w:type="dxa" w:w="80"/>
              <w:left w:type="dxa" w:w="100"/>
              <w:bottom w:type="dxa" w:w="80"/>
              <w:right w:type="dxa" w:w="100"/>
            </w:tcMar>
          </w:tcPr>
          <w:p>
            <w:r>
              <w:rPr>
                <w:b/>
                <w:bCs/>
                <w:color w:val="B8860B"/>
                <w:sz w:val="20"/>
                <w:szCs w:val="20"/>
              </w:rPr>
              <w:t xml:space="preserve">◐ PARTIAL</w:t>
            </w:r>
          </w:p>
        </w:tc>
        <w:tc>
          <w:tcPr>
            <w:tcW w:type="dxa" w:w="5100"/>
            <w:tcMar>
              <w:top w:type="dxa" w:w="80"/>
              <w:left w:type="dxa" w:w="100"/>
              <w:bottom w:type="dxa" w:w="80"/>
              <w:right w:type="dxa" w:w="100"/>
            </w:tcMar>
          </w:tcPr>
          <w:p>
            <w:r>
              <w:rPr>
                <w:b w:val="false"/>
                <w:bCs w:val="false"/>
                <w:sz w:val="19"/>
                <w:szCs w:val="19"/>
              </w:rPr>
              <w:t xml:space="preserve">The specific duplication that had drifted out of sync (Revision 2's new issue: model size shown as "465 MB" in one place and "466 MB" in another) is now fully fixed — a single WHISPER_MODELS table (new src/utils/whisperModels.ts) is the one source of truth for both the dropdown options and the download-size hint text, verified with new unit-test-equivalent usage and a manual grep confirming no hardcoded duplicate remains. The broader bloat concern is not resolved: the file is now 983 lines (up slightly from 966 in Revision 2, due to the new validation/error-banner wiring), with no sub-component extraction performed.</w:t>
            </w:r>
          </w:p>
        </w:tc>
      </w:tr>
      <w:tr>
        <w:tc>
          <w:tcPr>
            <w:tcW w:type="dxa" w:w="900"/>
            <w:shd w:fill="F2F4F7" w:val="clear"/>
            <w:tcMar>
              <w:top w:type="dxa" w:w="80"/>
              <w:left w:type="dxa" w:w="100"/>
              <w:bottom w:type="dxa" w:w="80"/>
              <w:right w:type="dxa" w:w="100"/>
            </w:tcMar>
          </w:tcPr>
          <w:p>
            <w:r>
              <w:rPr>
                <w:b/>
                <w:bCs/>
                <w:sz w:val="19"/>
                <w:szCs w:val="19"/>
              </w:rPr>
              <w:t xml:space="preserve">P2-2</w:t>
            </w:r>
          </w:p>
        </w:tc>
        <w:tc>
          <w:tcPr>
            <w:tcW w:type="dxa" w:w="2600"/>
            <w:shd w:fill="F2F4F7" w:val="clear"/>
            <w:tcMar>
              <w:top w:type="dxa" w:w="80"/>
              <w:left w:type="dxa" w:w="100"/>
              <w:bottom w:type="dxa" w:w="80"/>
              <w:right w:type="dxa" w:w="100"/>
            </w:tcMar>
          </w:tcPr>
          <w:p>
            <w:r>
              <w:rPr>
                <w:b w:val="false"/>
                <w:bCs w:val="false"/>
                <w:sz w:val="19"/>
                <w:szCs w:val="19"/>
              </w:rPr>
              <w:t xml:space="preserve">No client-side server-URL validation or HTTPS hint before save</w:t>
            </w:r>
          </w:p>
        </w:tc>
        <w:tc>
          <w:tcPr>
            <w:tcW w:type="dxa" w:w="1500"/>
            <w:shd w:fill="F2F4F7" w:val="clear"/>
            <w:tcMar>
              <w:top w:type="dxa" w:w="80"/>
              <w:left w:type="dxa" w:w="100"/>
              <w:bottom w:type="dxa" w:w="80"/>
              <w:right w:type="dxa" w:w="100"/>
            </w:tcMar>
          </w:tcPr>
          <w:p>
            <w:r>
              <w:rPr>
                <w:b/>
                <w:bCs/>
                <w:color w:val="1E7B34"/>
                <w:sz w:val="20"/>
                <w:szCs w:val="20"/>
              </w:rPr>
              <w:t xml:space="preserve">✓ FIXED</w:t>
            </w:r>
          </w:p>
        </w:tc>
        <w:tc>
          <w:tcPr>
            <w:tcW w:type="dxa" w:w="5100"/>
            <w:shd w:fill="F2F4F7" w:val="clear"/>
            <w:tcMar>
              <w:top w:type="dxa" w:w="80"/>
              <w:left w:type="dxa" w:w="100"/>
              <w:bottom w:type="dxa" w:w="80"/>
              <w:right w:type="dxa" w:w="100"/>
            </w:tcMar>
          </w:tcPr>
          <w:p>
            <w:r>
              <w:rPr>
                <w:b w:val="false"/>
                <w:bCs w:val="false"/>
                <w:sz w:val="19"/>
                <w:szCs w:val="19"/>
              </w:rPr>
              <w:t xml:space="preserve">New src/utils/serverUrl.ts's serverUrlProblem() mirrors the backend's validate_server_url exactly (https always allowed, http only for localhost/loopback variants, rejects the "localhost.evil.com" substring trick). SettingsModal.tsx now shows this as a live inline error with aria-invalid/aria-describedby, and disables Save while it's set. Covered by 7 new tests in SettingsModal.test.ts.</w:t>
            </w:r>
          </w:p>
        </w:tc>
      </w:tr>
      <w:tr>
        <w:tc>
          <w:tcPr>
            <w:tcW w:type="dxa" w:w="900"/>
            <w:tcMar>
              <w:top w:type="dxa" w:w="80"/>
              <w:left w:type="dxa" w:w="100"/>
              <w:bottom w:type="dxa" w:w="80"/>
              <w:right w:type="dxa" w:w="100"/>
            </w:tcMar>
          </w:tcPr>
          <w:p>
            <w:r>
              <w:rPr>
                <w:b/>
                <w:bCs/>
                <w:sz w:val="19"/>
                <w:szCs w:val="19"/>
              </w:rPr>
              <w:t xml:space="preserve">P2-3</w:t>
            </w:r>
          </w:p>
        </w:tc>
        <w:tc>
          <w:tcPr>
            <w:tcW w:type="dxa" w:w="2600"/>
            <w:tcMar>
              <w:top w:type="dxa" w:w="80"/>
              <w:left w:type="dxa" w:w="100"/>
              <w:bottom w:type="dxa" w:w="80"/>
              <w:right w:type="dxa" w:w="100"/>
            </w:tcMar>
          </w:tcPr>
          <w:p>
            <w:r>
              <w:rPr>
                <w:b w:val="false"/>
                <w:bCs w:val="false"/>
                <w:sz w:val="19"/>
                <w:szCs w:val="19"/>
              </w:rPr>
              <w:t xml:space="preserve">Generic, non-categorized error feedback on summary-generation failure</w:t>
            </w:r>
          </w:p>
        </w:tc>
        <w:tc>
          <w:tcPr>
            <w:tcW w:type="dxa" w:w="1500"/>
            <w:tcMar>
              <w:top w:type="dxa" w:w="80"/>
              <w:left w:type="dxa" w:w="100"/>
              <w:bottom w:type="dxa" w:w="80"/>
              <w:right w:type="dxa" w:w="100"/>
            </w:tcMar>
          </w:tcPr>
          <w:p>
            <w:r>
              <w:rPr>
                <w:b/>
                <w:bCs/>
                <w:color w:val="1E7B34"/>
                <w:sz w:val="20"/>
                <w:szCs w:val="20"/>
              </w:rPr>
              <w:t xml:space="preserve">✓ FIXED</w:t>
            </w:r>
          </w:p>
        </w:tc>
        <w:tc>
          <w:tcPr>
            <w:tcW w:type="dxa" w:w="5100"/>
            <w:tcMar>
              <w:top w:type="dxa" w:w="80"/>
              <w:left w:type="dxa" w:w="100"/>
              <w:bottom w:type="dxa" w:w="80"/>
              <w:right w:type="dxa" w:w="100"/>
            </w:tcMar>
          </w:tcPr>
          <w:p>
            <w:r>
              <w:rPr>
                <w:b w:val="false"/>
                <w:bCs w:val="false"/>
                <w:sz w:val="19"/>
                <w:szCs w:val="19"/>
              </w:rPr>
              <w:t xml:space="preserve">MeetingView.tsx now renders a persistent (non-auto-dismissing) error banner keyed off the new CategorizedError kind (network/timeout/auth/server/internal), each with distinct copy and a "Try again" retry button, replacing the old flat 4-second toast. Wired end-to-end from the new Rust-side CategorizedError (see P1-2).</w:t>
            </w:r>
          </w:p>
        </w:tc>
      </w:tr>
      <w:tr>
        <w:tc>
          <w:tcPr>
            <w:tcW w:type="dxa" w:w="900"/>
            <w:shd w:fill="F2F4F7" w:val="clear"/>
            <w:tcMar>
              <w:top w:type="dxa" w:w="80"/>
              <w:left w:type="dxa" w:w="100"/>
              <w:bottom w:type="dxa" w:w="80"/>
              <w:right w:type="dxa" w:w="100"/>
            </w:tcMar>
          </w:tcPr>
          <w:p>
            <w:r>
              <w:rPr>
                <w:b/>
                <w:bCs/>
                <w:sz w:val="19"/>
                <w:szCs w:val="19"/>
              </w:rPr>
              <w:t xml:space="preserve">P2-4</w:t>
            </w:r>
          </w:p>
        </w:tc>
        <w:tc>
          <w:tcPr>
            <w:tcW w:type="dxa" w:w="2600"/>
            <w:shd w:fill="F2F4F7" w:val="clear"/>
            <w:tcMar>
              <w:top w:type="dxa" w:w="80"/>
              <w:left w:type="dxa" w:w="100"/>
              <w:bottom w:type="dxa" w:w="80"/>
              <w:right w:type="dxa" w:w="100"/>
            </w:tcMar>
          </w:tcPr>
          <w:p>
            <w:r>
              <w:rPr>
                <w:b w:val="false"/>
                <w:bCs w:val="false"/>
                <w:sz w:val="19"/>
                <w:szCs w:val="19"/>
              </w:rPr>
              <w:t xml:space="preserve">No ESLint configuration</w:t>
            </w:r>
          </w:p>
        </w:tc>
        <w:tc>
          <w:tcPr>
            <w:tcW w:type="dxa" w:w="1500"/>
            <w:shd w:fill="F2F4F7" w:val="clear"/>
            <w:tcMar>
              <w:top w:type="dxa" w:w="80"/>
              <w:left w:type="dxa" w:w="100"/>
              <w:bottom w:type="dxa" w:w="80"/>
              <w:right w:type="dxa" w:w="100"/>
            </w:tcMar>
          </w:tcPr>
          <w:p>
            <w:r>
              <w:rPr>
                <w:b/>
                <w:bCs/>
                <w:color w:val="1E7B34"/>
                <w:sz w:val="20"/>
                <w:szCs w:val="20"/>
              </w:rPr>
              <w:t xml:space="preserve">✓ FIXED</w:t>
            </w:r>
          </w:p>
        </w:tc>
        <w:tc>
          <w:tcPr>
            <w:tcW w:type="dxa" w:w="5100"/>
            <w:shd w:fill="F2F4F7" w:val="clear"/>
            <w:tcMar>
              <w:top w:type="dxa" w:w="80"/>
              <w:left w:type="dxa" w:w="100"/>
              <w:bottom w:type="dxa" w:w="80"/>
              <w:right w:type="dxa" w:w="100"/>
            </w:tcMar>
          </w:tcPr>
          <w:p>
            <w:r>
              <w:rPr>
                <w:b w:val="false"/>
                <w:bCs w:val="false"/>
                <w:sz w:val="19"/>
                <w:szCs w:val="19"/>
              </w:rPr>
              <w:t xml:space="preserve">Unchanged since Revision 2 — already fully fixed.</w:t>
            </w:r>
          </w:p>
        </w:tc>
      </w:tr>
      <w:tr>
        <w:tc>
          <w:tcPr>
            <w:tcW w:type="dxa" w:w="900"/>
            <w:tcMar>
              <w:top w:type="dxa" w:w="80"/>
              <w:left w:type="dxa" w:w="100"/>
              <w:bottom w:type="dxa" w:w="80"/>
              <w:right w:type="dxa" w:w="100"/>
            </w:tcMar>
          </w:tcPr>
          <w:p>
            <w:r>
              <w:rPr>
                <w:b/>
                <w:bCs/>
                <w:sz w:val="19"/>
                <w:szCs w:val="19"/>
              </w:rPr>
              <w:t xml:space="preserve">P2-5</w:t>
            </w:r>
          </w:p>
        </w:tc>
        <w:tc>
          <w:tcPr>
            <w:tcW w:type="dxa" w:w="2600"/>
            <w:tcMar>
              <w:top w:type="dxa" w:w="80"/>
              <w:left w:type="dxa" w:w="100"/>
              <w:bottom w:type="dxa" w:w="80"/>
              <w:right w:type="dxa" w:w="100"/>
            </w:tcMar>
          </w:tcPr>
          <w:p>
            <w:r>
              <w:rPr>
                <w:b w:val="false"/>
                <w:bCs w:val="false"/>
                <w:sz w:val="19"/>
                <w:szCs w:val="19"/>
              </w:rPr>
              <w:t xml:space="preserve">npm audit / cargo audit re-implemented as non-blocking, not fixed</w:t>
            </w:r>
          </w:p>
        </w:tc>
        <w:tc>
          <w:tcPr>
            <w:tcW w:type="dxa" w:w="1500"/>
            <w:tcMar>
              <w:top w:type="dxa" w:w="80"/>
              <w:left w:type="dxa" w:w="100"/>
              <w:bottom w:type="dxa" w:w="80"/>
              <w:right w:type="dxa" w:w="100"/>
            </w:tcMar>
          </w:tcPr>
          <w:p>
            <w:r>
              <w:rPr>
                <w:b/>
                <w:bCs/>
                <w:color w:val="1E7B34"/>
                <w:sz w:val="20"/>
                <w:szCs w:val="20"/>
              </w:rPr>
              <w:t xml:space="preserve">✓ FIXED</w:t>
            </w:r>
          </w:p>
        </w:tc>
        <w:tc>
          <w:tcPr>
            <w:tcW w:type="dxa" w:w="5100"/>
            <w:tcMar>
              <w:top w:type="dxa" w:w="80"/>
              <w:left w:type="dxa" w:w="100"/>
              <w:bottom w:type="dxa" w:w="80"/>
              <w:right w:type="dxa" w:w="100"/>
            </w:tcMar>
          </w:tcPr>
          <w:p>
            <w:r>
              <w:rPr>
                <w:b w:val="false"/>
                <w:bCs w:val="false"/>
                <w:sz w:val="19"/>
                <w:szCs w:val="19"/>
              </w:rPr>
              <w:t xml:space="preserve">build-desktop.yml's npm audit and cargo audit steps now genuinely fail the job (exit 1) on a high/critical finding, replacing the prior || echo "::warning" pattern that Revision 2 correctly identified as cosmetic. cargo-audit tool installation itself remains best-effort (a registry hiccup installing tooling is a CI-infra concern, not a code-security one) but a real finding, once the tool is available, now blocks.</w:t>
            </w:r>
          </w:p>
        </w:tc>
      </w:tr>
      <w:tr>
        <w:tc>
          <w:tcPr>
            <w:tcW w:type="dxa" w:w="900"/>
            <w:shd w:fill="F2F4F7" w:val="clear"/>
            <w:tcMar>
              <w:top w:type="dxa" w:w="80"/>
              <w:left w:type="dxa" w:w="100"/>
              <w:bottom w:type="dxa" w:w="80"/>
              <w:right w:type="dxa" w:w="100"/>
            </w:tcMar>
          </w:tcPr>
          <w:p>
            <w:r>
              <w:rPr>
                <w:b/>
                <w:bCs/>
                <w:sz w:val="19"/>
                <w:szCs w:val="19"/>
              </w:rPr>
              <w:t xml:space="preserve">P2-6</w:t>
            </w:r>
          </w:p>
        </w:tc>
        <w:tc>
          <w:tcPr>
            <w:tcW w:type="dxa" w:w="2600"/>
            <w:shd w:fill="F2F4F7" w:val="clear"/>
            <w:tcMar>
              <w:top w:type="dxa" w:w="80"/>
              <w:left w:type="dxa" w:w="100"/>
              <w:bottom w:type="dxa" w:w="80"/>
              <w:right w:type="dxa" w:w="100"/>
            </w:tcMar>
          </w:tcPr>
          <w:p>
            <w:r>
              <w:rPr>
                <w:b w:val="false"/>
                <w:bCs w:val="false"/>
                <w:sz w:val="19"/>
                <w:szCs w:val="19"/>
              </w:rPr>
              <w:t xml:space="preserve">Six .expect() calls in production Rust code</w:t>
            </w:r>
          </w:p>
        </w:tc>
        <w:tc>
          <w:tcPr>
            <w:tcW w:type="dxa" w:w="1500"/>
            <w:shd w:fill="F2F4F7" w:val="clear"/>
            <w:tcMar>
              <w:top w:type="dxa" w:w="80"/>
              <w:left w:type="dxa" w:w="100"/>
              <w:bottom w:type="dxa" w:w="80"/>
              <w:right w:type="dxa" w:w="100"/>
            </w:tcMar>
          </w:tcPr>
          <w:p>
            <w:r>
              <w:rPr>
                <w:b/>
                <w:bCs/>
                <w:color w:val="1E7B34"/>
                <w:sz w:val="20"/>
                <w:szCs w:val="20"/>
              </w:rPr>
              <w:t xml:space="preserve">✓ FIXED</w:t>
            </w:r>
          </w:p>
        </w:tc>
        <w:tc>
          <w:tcPr>
            <w:tcW w:type="dxa" w:w="5100"/>
            <w:shd w:fill="F2F4F7" w:val="clear"/>
            <w:tcMar>
              <w:top w:type="dxa" w:w="80"/>
              <w:left w:type="dxa" w:w="100"/>
              <w:bottom w:type="dxa" w:w="80"/>
              <w:right w:type="dxa" w:w="100"/>
            </w:tcMar>
          </w:tcPr>
          <w:p>
            <w:r>
              <w:rPr>
                <w:b w:val="false"/>
                <w:bCs w:val="false"/>
                <w:sz w:val="19"/>
                <w:szCs w:val="19"/>
              </w:rPr>
              <w:t xml:space="preserve">Unchanged since Revision 2 — 5 of 6 converted; the remaining one is the defensible top-level tauri::Builder::run() panic point at startup.</w:t>
            </w:r>
          </w:p>
        </w:tc>
      </w:tr>
      <w:tr>
        <w:tc>
          <w:tcPr>
            <w:tcW w:type="dxa" w:w="900"/>
            <w:tcMar>
              <w:top w:type="dxa" w:w="80"/>
              <w:left w:type="dxa" w:w="100"/>
              <w:bottom w:type="dxa" w:w="80"/>
              <w:right w:type="dxa" w:w="100"/>
            </w:tcMar>
          </w:tcPr>
          <w:p>
            <w:r>
              <w:rPr>
                <w:b/>
                <w:bCs/>
                <w:sz w:val="19"/>
                <w:szCs w:val="19"/>
              </w:rPr>
              <w:t xml:space="preserve">P2-7</w:t>
            </w:r>
          </w:p>
        </w:tc>
        <w:tc>
          <w:tcPr>
            <w:tcW w:type="dxa" w:w="2600"/>
            <w:tcMar>
              <w:top w:type="dxa" w:w="80"/>
              <w:left w:type="dxa" w:w="100"/>
              <w:bottom w:type="dxa" w:w="80"/>
              <w:right w:type="dxa" w:w="100"/>
            </w:tcMar>
          </w:tcPr>
          <w:p>
            <w:r>
              <w:rPr>
                <w:b w:val="false"/>
                <w:bCs w:val="false"/>
                <w:sz w:val="19"/>
                <w:szCs w:val="19"/>
              </w:rPr>
              <w:t xml:space="preserve">Duplicate reqwest major versions compiled into one binary</w:t>
            </w:r>
          </w:p>
        </w:tc>
        <w:tc>
          <w:tcPr>
            <w:tcW w:type="dxa" w:w="1500"/>
            <w:tcMar>
              <w:top w:type="dxa" w:w="80"/>
              <w:left w:type="dxa" w:w="100"/>
              <w:bottom w:type="dxa" w:w="80"/>
              <w:right w:type="dxa" w:w="100"/>
            </w:tcMar>
          </w:tcPr>
          <w:p>
            <w:r>
              <w:rPr>
                <w:b/>
                <w:bCs/>
                <w:color w:val="1E7B34"/>
                <w:sz w:val="20"/>
                <w:szCs w:val="20"/>
              </w:rPr>
              <w:t xml:space="preserve">✓ FIXED</w:t>
            </w:r>
          </w:p>
        </w:tc>
        <w:tc>
          <w:tcPr>
            <w:tcW w:type="dxa" w:w="5100"/>
            <w:tcMar>
              <w:top w:type="dxa" w:w="80"/>
              <w:left w:type="dxa" w:w="100"/>
              <w:bottom w:type="dxa" w:w="80"/>
              <w:right w:type="dxa" w:w="100"/>
            </w:tcMar>
          </w:tcPr>
          <w:p>
            <w:r>
              <w:rPr>
                <w:b w:val="false"/>
                <w:bCs w:val="false"/>
                <w:sz w:val="19"/>
                <w:szCs w:val="19"/>
              </w:rPr>
              <w:t xml:space="preserve">Cargo.toml's reqwest pin was corrected from "0.12" (default-features off, rustls-tls) to "0.13" (rustls — note the feature name itself renamed between major versions), matching what tauri 2.11.x already resolves. Cargo.lock as currently present in this working directory shows a single reqwest 0.13.4 resolution with no 0.12.x entry. This has not been independently re-verified via a fresh cargo build/cargo tree in this environment (no toolchain available) — confirm with cargo tree -i reqwest locally before closing.</w:t>
            </w:r>
          </w:p>
        </w:tc>
      </w:tr>
    </w:tbl>
    <w:p>
      <w:pPr>
        <w:pStyle w:val="Heading2"/>
        <w:spacing w:after="100" w:before="220"/>
      </w:pPr>
      <w:r>
        <w:t xml:space="preserve">Originally Low-Severity (P3)</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5100"/>
      </w:tblGrid>
      <w:tr>
        <w:trPr>
          <w:tblHeader/>
        </w:trPr>
        <w:tc>
          <w:tcPr>
            <w:tcW w:type="dxa" w:w="900"/>
            <w:shd w:fill="2F3B52" w:val="clear"/>
            <w:tcMar>
              <w:top w:type="dxa" w:w="80"/>
              <w:left w:type="dxa" w:w="100"/>
              <w:bottom w:type="dxa" w:w="80"/>
              <w:right w:type="dxa" w:w="100"/>
            </w:tcMar>
          </w:tcPr>
          <w:p>
            <w:r>
              <w:rPr>
                <w:b/>
                <w:bCs/>
                <w:color w:val="FFFFFF"/>
                <w:sz w:val="19"/>
                <w:szCs w:val="19"/>
              </w:rPr>
              <w:t xml:space="preserve">ID</w:t>
            </w:r>
          </w:p>
        </w:tc>
        <w:tc>
          <w:tcPr>
            <w:tcW w:type="dxa" w:w="2600"/>
            <w:shd w:fill="2F3B52" w:val="clear"/>
            <w:tcMar>
              <w:top w:type="dxa" w:w="80"/>
              <w:left w:type="dxa" w:w="100"/>
              <w:bottom w:type="dxa" w:w="80"/>
              <w:right w:type="dxa" w:w="100"/>
            </w:tcMar>
          </w:tcPr>
          <w:p>
            <w:r>
              <w:rPr>
                <w:b/>
                <w:bCs/>
                <w:color w:val="FFFFFF"/>
                <w:sz w:val="19"/>
                <w:szCs w:val="19"/>
              </w:rPr>
              <w:t xml:space="preserve">Finding</w:t>
            </w:r>
          </w:p>
        </w:tc>
        <w:tc>
          <w:tcPr>
            <w:tcW w:type="dxa" w:w="1500"/>
            <w:shd w:fill="2F3B52" w:val="clear"/>
            <w:tcMar>
              <w:top w:type="dxa" w:w="80"/>
              <w:left w:type="dxa" w:w="100"/>
              <w:bottom w:type="dxa" w:w="80"/>
              <w:right w:type="dxa" w:w="100"/>
            </w:tcMar>
          </w:tcPr>
          <w:p>
            <w:r>
              <w:rPr>
                <w:b/>
                <w:bCs/>
                <w:color w:val="FFFFFF"/>
                <w:sz w:val="19"/>
                <w:szCs w:val="19"/>
              </w:rPr>
              <w:t xml:space="preserve">Status</w:t>
            </w:r>
          </w:p>
        </w:tc>
        <w:tc>
          <w:tcPr>
            <w:tcW w:type="dxa" w:w="5100"/>
            <w:shd w:fill="2F3B52" w:val="clear"/>
            <w:tcMar>
              <w:top w:type="dxa" w:w="80"/>
              <w:left w:type="dxa" w:w="100"/>
              <w:bottom w:type="dxa" w:w="80"/>
              <w:right w:type="dxa" w:w="100"/>
            </w:tcMar>
          </w:tcPr>
          <w:p>
            <w:r>
              <w:rPr>
                <w:b/>
                <w:bCs/>
                <w:color w:val="FFFFFF"/>
                <w:sz w:val="19"/>
                <w:szCs w:val="19"/>
              </w:rPr>
              <w:t xml:space="preserve">Evidence / Notes</w:t>
            </w:r>
          </w:p>
        </w:tc>
      </w:tr>
      <w:tr>
        <w:tc>
          <w:tcPr>
            <w:tcW w:type="dxa" w:w="900"/>
            <w:tcMar>
              <w:top w:type="dxa" w:w="80"/>
              <w:left w:type="dxa" w:w="100"/>
              <w:bottom w:type="dxa" w:w="80"/>
              <w:right w:type="dxa" w:w="100"/>
            </w:tcMar>
          </w:tcPr>
          <w:p>
            <w:r>
              <w:rPr>
                <w:b/>
                <w:bCs/>
                <w:sz w:val="19"/>
                <w:szCs w:val="19"/>
              </w:rPr>
              <w:t xml:space="preserve">P3-1</w:t>
            </w:r>
          </w:p>
        </w:tc>
        <w:tc>
          <w:tcPr>
            <w:tcW w:type="dxa" w:w="2600"/>
            <w:tcMar>
              <w:top w:type="dxa" w:w="80"/>
              <w:left w:type="dxa" w:w="100"/>
              <w:bottom w:type="dxa" w:w="80"/>
              <w:right w:type="dxa" w:w="100"/>
            </w:tcMar>
          </w:tcPr>
          <w:p>
            <w:r>
              <w:rPr>
                <w:b w:val="false"/>
                <w:bCs w:val="false"/>
                <w:sz w:val="19"/>
                <w:szCs w:val="19"/>
              </w:rPr>
              <w:t xml:space="preserve">Duplicated highlight() function</w:t>
            </w:r>
          </w:p>
        </w:tc>
        <w:tc>
          <w:tcPr>
            <w:tcW w:type="dxa" w:w="1500"/>
            <w:tcMar>
              <w:top w:type="dxa" w:w="80"/>
              <w:left w:type="dxa" w:w="100"/>
              <w:bottom w:type="dxa" w:w="80"/>
              <w:right w:type="dxa" w:w="100"/>
            </w:tcMar>
          </w:tcPr>
          <w:p>
            <w:r>
              <w:rPr>
                <w:b/>
                <w:bCs/>
                <w:color w:val="1E7B34"/>
                <w:sz w:val="20"/>
                <w:szCs w:val="20"/>
              </w:rPr>
              <w:t xml:space="preserve">✓ FIXED</w:t>
            </w:r>
          </w:p>
        </w:tc>
        <w:tc>
          <w:tcPr>
            <w:tcW w:type="dxa" w:w="5100"/>
            <w:tcMar>
              <w:top w:type="dxa" w:w="80"/>
              <w:left w:type="dxa" w:w="100"/>
              <w:bottom w:type="dxa" w:w="80"/>
              <w:right w:type="dxa" w:w="100"/>
            </w:tcMar>
          </w:tcPr>
          <w:p>
            <w:r>
              <w:rPr>
                <w:b w:val="false"/>
                <w:bCs w:val="false"/>
                <w:sz w:val="19"/>
                <w:szCs w:val="19"/>
              </w:rPr>
              <w:t xml:space="preserve">Unchanged since Revision 2 — already fully fixed.</w:t>
            </w:r>
          </w:p>
        </w:tc>
      </w:tr>
      <w:tr>
        <w:tc>
          <w:tcPr>
            <w:tcW w:type="dxa" w:w="900"/>
            <w:shd w:fill="F2F4F7" w:val="clear"/>
            <w:tcMar>
              <w:top w:type="dxa" w:w="80"/>
              <w:left w:type="dxa" w:w="100"/>
              <w:bottom w:type="dxa" w:w="80"/>
              <w:right w:type="dxa" w:w="100"/>
            </w:tcMar>
          </w:tcPr>
          <w:p>
            <w:r>
              <w:rPr>
                <w:b/>
                <w:bCs/>
                <w:sz w:val="19"/>
                <w:szCs w:val="19"/>
              </w:rPr>
              <w:t xml:space="preserve">P3-2</w:t>
            </w:r>
          </w:p>
        </w:tc>
        <w:tc>
          <w:tcPr>
            <w:tcW w:type="dxa" w:w="2600"/>
            <w:shd w:fill="F2F4F7" w:val="clear"/>
            <w:tcMar>
              <w:top w:type="dxa" w:w="80"/>
              <w:left w:type="dxa" w:w="100"/>
              <w:bottom w:type="dxa" w:w="80"/>
              <w:right w:type="dxa" w:w="100"/>
            </w:tcMar>
          </w:tcPr>
          <w:p>
            <w:r>
              <w:rPr>
                <w:b w:val="false"/>
                <w:bCs w:val="false"/>
                <w:sz w:val="19"/>
                <w:szCs w:val="19"/>
              </w:rPr>
              <w:t xml:space="preserve">Two unused dead-code-allowed helpers in secrets.rs</w:t>
            </w:r>
          </w:p>
        </w:tc>
        <w:tc>
          <w:tcPr>
            <w:tcW w:type="dxa" w:w="1500"/>
            <w:shd w:fill="F2F4F7" w:val="clear"/>
            <w:tcMar>
              <w:top w:type="dxa" w:w="80"/>
              <w:left w:type="dxa" w:w="100"/>
              <w:bottom w:type="dxa" w:w="80"/>
              <w:right w:type="dxa" w:w="100"/>
            </w:tcMar>
          </w:tcPr>
          <w:p>
            <w:r>
              <w:rPr>
                <w:b/>
                <w:bCs/>
                <w:color w:val="1E7B34"/>
                <w:sz w:val="20"/>
                <w:szCs w:val="20"/>
              </w:rPr>
              <w:t xml:space="preserve">✓ FIXED</w:t>
            </w:r>
          </w:p>
        </w:tc>
        <w:tc>
          <w:tcPr>
            <w:tcW w:type="dxa" w:w="5100"/>
            <w:shd w:fill="F2F4F7" w:val="clear"/>
            <w:tcMar>
              <w:top w:type="dxa" w:w="80"/>
              <w:left w:type="dxa" w:w="100"/>
              <w:bottom w:type="dxa" w:w="80"/>
              <w:right w:type="dxa" w:w="100"/>
            </w:tcMar>
          </w:tcPr>
          <w:p>
            <w:r>
              <w:rPr>
                <w:b w:val="false"/>
                <w:bCs w:val="false"/>
                <w:sz w:val="19"/>
                <w:szCs w:val="19"/>
              </w:rPr>
              <w:t xml:space="preserve">Unchanged since Revision 2 — already fully fixed.</w:t>
            </w:r>
          </w:p>
        </w:tc>
      </w:tr>
      <w:tr>
        <w:tc>
          <w:tcPr>
            <w:tcW w:type="dxa" w:w="900"/>
            <w:tcMar>
              <w:top w:type="dxa" w:w="80"/>
              <w:left w:type="dxa" w:w="100"/>
              <w:bottom w:type="dxa" w:w="80"/>
              <w:right w:type="dxa" w:w="100"/>
            </w:tcMar>
          </w:tcPr>
          <w:p>
            <w:r>
              <w:rPr>
                <w:b/>
                <w:bCs/>
                <w:sz w:val="19"/>
                <w:szCs w:val="19"/>
              </w:rPr>
              <w:t xml:space="preserve">P3-3</w:t>
            </w:r>
          </w:p>
        </w:tc>
        <w:tc>
          <w:tcPr>
            <w:tcW w:type="dxa" w:w="2600"/>
            <w:tcMar>
              <w:top w:type="dxa" w:w="80"/>
              <w:left w:type="dxa" w:w="100"/>
              <w:bottom w:type="dxa" w:w="80"/>
              <w:right w:type="dxa" w:w="100"/>
            </w:tcMar>
          </w:tcPr>
          <w:p>
            <w:r>
              <w:rPr>
                <w:b w:val="false"/>
                <w:bCs w:val="false"/>
                <w:sz w:val="19"/>
                <w:szCs w:val="19"/>
              </w:rPr>
              <w:t xml:space="preserve">sync.rs misleadingly named</w:t>
            </w:r>
          </w:p>
        </w:tc>
        <w:tc>
          <w:tcPr>
            <w:tcW w:type="dxa" w:w="1500"/>
            <w:tcMar>
              <w:top w:type="dxa" w:w="80"/>
              <w:left w:type="dxa" w:w="100"/>
              <w:bottom w:type="dxa" w:w="80"/>
              <w:right w:type="dxa" w:w="100"/>
            </w:tcMar>
          </w:tcPr>
          <w:p>
            <w:r>
              <w:rPr>
                <w:b/>
                <w:bCs/>
                <w:color w:val="1E7B34"/>
                <w:sz w:val="20"/>
                <w:szCs w:val="20"/>
              </w:rPr>
              <w:t xml:space="preserve">✓ FIXED</w:t>
            </w:r>
          </w:p>
        </w:tc>
        <w:tc>
          <w:tcPr>
            <w:tcW w:type="dxa" w:w="5100"/>
            <w:tcMar>
              <w:top w:type="dxa" w:w="80"/>
              <w:left w:type="dxa" w:w="100"/>
              <w:bottom w:type="dxa" w:w="80"/>
              <w:right w:type="dxa" w:w="100"/>
            </w:tcMar>
          </w:tcPr>
          <w:p>
            <w:r>
              <w:rPr>
                <w:b w:val="false"/>
                <w:bCs w:val="false"/>
                <w:sz w:val="19"/>
                <w:szCs w:val="19"/>
              </w:rPr>
              <w:t xml:space="preserve">Unchanged since Revision 2 — already fully fixed.</w:t>
            </w:r>
          </w:p>
        </w:tc>
      </w:tr>
      <w:tr>
        <w:tc>
          <w:tcPr>
            <w:tcW w:type="dxa" w:w="900"/>
            <w:shd w:fill="F2F4F7" w:val="clear"/>
            <w:tcMar>
              <w:top w:type="dxa" w:w="80"/>
              <w:left w:type="dxa" w:w="100"/>
              <w:bottom w:type="dxa" w:w="80"/>
              <w:right w:type="dxa" w:w="100"/>
            </w:tcMar>
          </w:tcPr>
          <w:p>
            <w:r>
              <w:rPr>
                <w:b/>
                <w:bCs/>
                <w:sz w:val="19"/>
                <w:szCs w:val="19"/>
              </w:rPr>
              <w:t xml:space="preserve">P3-4</w:t>
            </w:r>
          </w:p>
        </w:tc>
        <w:tc>
          <w:tcPr>
            <w:tcW w:type="dxa" w:w="2600"/>
            <w:shd w:fill="F2F4F7" w:val="clear"/>
            <w:tcMar>
              <w:top w:type="dxa" w:w="80"/>
              <w:left w:type="dxa" w:w="100"/>
              <w:bottom w:type="dxa" w:w="80"/>
              <w:right w:type="dxa" w:w="100"/>
            </w:tcMar>
          </w:tcPr>
          <w:p>
            <w:r>
              <w:rPr>
                <w:b w:val="false"/>
                <w:bCs w:val="false"/>
                <w:sz w:val="19"/>
                <w:szCs w:val="19"/>
              </w:rPr>
              <w:t xml:space="preserve">Loading-settings modal lacks a focus trap</w:t>
            </w:r>
          </w:p>
        </w:tc>
        <w:tc>
          <w:tcPr>
            <w:tcW w:type="dxa" w:w="1500"/>
            <w:shd w:fill="F2F4F7" w:val="clear"/>
            <w:tcMar>
              <w:top w:type="dxa" w:w="80"/>
              <w:left w:type="dxa" w:w="100"/>
              <w:bottom w:type="dxa" w:w="80"/>
              <w:right w:type="dxa" w:w="100"/>
            </w:tcMar>
          </w:tcPr>
          <w:p>
            <w:r>
              <w:rPr>
                <w:b/>
                <w:bCs/>
                <w:color w:val="1E7B34"/>
                <w:sz w:val="20"/>
                <w:szCs w:val="20"/>
              </w:rPr>
              <w:t xml:space="preserve">✓ FIXED</w:t>
            </w:r>
          </w:p>
        </w:tc>
        <w:tc>
          <w:tcPr>
            <w:tcW w:type="dxa" w:w="5100"/>
            <w:shd w:fill="F2F4F7" w:val="clear"/>
            <w:tcMar>
              <w:top w:type="dxa" w:w="80"/>
              <w:left w:type="dxa" w:w="100"/>
              <w:bottom w:type="dxa" w:w="80"/>
              <w:right w:type="dxa" w:w="100"/>
            </w:tcMar>
          </w:tcPr>
          <w:p>
            <w:r>
              <w:rPr>
                <w:b w:val="false"/>
                <w:bCs w:val="false"/>
                <w:sz w:val="19"/>
                <w:szCs w:val="19"/>
              </w:rPr>
              <w:t xml:space="preserve">Unchanged since Revision 2 — already fully fixed.</w:t>
            </w:r>
          </w:p>
        </w:tc>
      </w:tr>
      <w:tr>
        <w:tc>
          <w:tcPr>
            <w:tcW w:type="dxa" w:w="900"/>
            <w:tcMar>
              <w:top w:type="dxa" w:w="80"/>
              <w:left w:type="dxa" w:w="100"/>
              <w:bottom w:type="dxa" w:w="80"/>
              <w:right w:type="dxa" w:w="100"/>
            </w:tcMar>
          </w:tcPr>
          <w:p>
            <w:r>
              <w:rPr>
                <w:b/>
                <w:bCs/>
                <w:sz w:val="19"/>
                <w:szCs w:val="19"/>
              </w:rPr>
              <w:t xml:space="preserve">P3-5</w:t>
            </w:r>
          </w:p>
        </w:tc>
        <w:tc>
          <w:tcPr>
            <w:tcW w:type="dxa" w:w="2600"/>
            <w:tcMar>
              <w:top w:type="dxa" w:w="80"/>
              <w:left w:type="dxa" w:w="100"/>
              <w:bottom w:type="dxa" w:w="80"/>
              <w:right w:type="dxa" w:w="100"/>
            </w:tcMar>
          </w:tcPr>
          <w:p>
            <w:r>
              <w:rPr>
                <w:b w:val="false"/>
                <w:bCs w:val="false"/>
                <w:sz w:val="19"/>
                <w:szCs w:val="19"/>
              </w:rPr>
              <w:t xml:space="preserve">Weak String(e) error formatting</w:t>
            </w:r>
          </w:p>
        </w:tc>
        <w:tc>
          <w:tcPr>
            <w:tcW w:type="dxa" w:w="1500"/>
            <w:tcMar>
              <w:top w:type="dxa" w:w="80"/>
              <w:left w:type="dxa" w:w="100"/>
              <w:bottom w:type="dxa" w:w="80"/>
              <w:right w:type="dxa" w:w="100"/>
            </w:tcMar>
          </w:tcPr>
          <w:p>
            <w:r>
              <w:rPr>
                <w:b/>
                <w:bCs/>
                <w:color w:val="1E7B34"/>
                <w:sz w:val="20"/>
                <w:szCs w:val="20"/>
              </w:rPr>
              <w:t xml:space="preserve">✓ FIXED</w:t>
            </w:r>
          </w:p>
        </w:tc>
        <w:tc>
          <w:tcPr>
            <w:tcW w:type="dxa" w:w="5100"/>
            <w:tcMar>
              <w:top w:type="dxa" w:w="80"/>
              <w:left w:type="dxa" w:w="100"/>
              <w:bottom w:type="dxa" w:w="80"/>
              <w:right w:type="dxa" w:w="100"/>
            </w:tcMar>
          </w:tcPr>
          <w:p>
            <w:r>
              <w:rPr>
                <w:b w:val="false"/>
                <w:bCs w:val="false"/>
                <w:sz w:val="19"/>
                <w:szCs w:val="19"/>
              </w:rPr>
              <w:t xml:space="preserve">New src/utils/errors.ts's normalizeError()/errorMessage() helpers handle structured {kind,message} errors, native Error, plain strings, and null/undefined safely, avoiding the "[object Object]" footgun. All 12 App.tsx sites and 3 SettingsModal.tsx sites were migrated; a repo-wide grep for String(e)/String(err) now returns zero matches in src/.</w:t>
            </w:r>
          </w:p>
        </w:tc>
      </w:tr>
      <w:tr>
        <w:tc>
          <w:tcPr>
            <w:tcW w:type="dxa" w:w="900"/>
            <w:shd w:fill="F2F4F7" w:val="clear"/>
            <w:tcMar>
              <w:top w:type="dxa" w:w="80"/>
              <w:left w:type="dxa" w:w="100"/>
              <w:bottom w:type="dxa" w:w="80"/>
              <w:right w:type="dxa" w:w="100"/>
            </w:tcMar>
          </w:tcPr>
          <w:p>
            <w:r>
              <w:rPr>
                <w:b/>
                <w:bCs/>
                <w:sz w:val="19"/>
                <w:szCs w:val="19"/>
              </w:rPr>
              <w:t xml:space="preserve">P3-6</w:t>
            </w:r>
          </w:p>
        </w:tc>
        <w:tc>
          <w:tcPr>
            <w:tcW w:type="dxa" w:w="2600"/>
            <w:shd w:fill="F2F4F7" w:val="clear"/>
            <w:tcMar>
              <w:top w:type="dxa" w:w="80"/>
              <w:left w:type="dxa" w:w="100"/>
              <w:bottom w:type="dxa" w:w="80"/>
              <w:right w:type="dxa" w:w="100"/>
            </w:tcMar>
          </w:tcPr>
          <w:p>
            <w:r>
              <w:rPr>
                <w:b w:val="false"/>
                <w:bCs w:val="false"/>
                <w:sz w:val="19"/>
                <w:szCs w:val="19"/>
              </w:rPr>
              <w:t xml:space="preserve">vitest one major version behind current (v2 vs v3)</w:t>
            </w:r>
          </w:p>
        </w:tc>
        <w:tc>
          <w:tcPr>
            <w:tcW w:type="dxa" w:w="1500"/>
            <w:shd w:fill="F2F4F7" w:val="clear"/>
            <w:tcMar>
              <w:top w:type="dxa" w:w="80"/>
              <w:left w:type="dxa" w:w="100"/>
              <w:bottom w:type="dxa" w:w="80"/>
              <w:right w:type="dxa" w:w="100"/>
            </w:tcMar>
          </w:tcPr>
          <w:p>
            <w:r>
              <w:rPr>
                <w:b/>
                <w:bCs/>
                <w:color w:val="1E7B34"/>
                <w:sz w:val="20"/>
                <w:szCs w:val="20"/>
              </w:rPr>
              <w:t xml:space="preserve">✓ FIXED</w:t>
            </w:r>
          </w:p>
        </w:tc>
        <w:tc>
          <w:tcPr>
            <w:tcW w:type="dxa" w:w="5100"/>
            <w:shd w:fill="F2F4F7" w:val="clear"/>
            <w:tcMar>
              <w:top w:type="dxa" w:w="80"/>
              <w:left w:type="dxa" w:w="100"/>
              <w:bottom w:type="dxa" w:w="80"/>
              <w:right w:type="dxa" w:w="100"/>
            </w:tcMar>
          </w:tcPr>
          <w:p>
            <w:r>
              <w:rPr>
                <w:b w:val="false"/>
                <w:bCs w:val="false"/>
                <w:sz w:val="19"/>
                <w:szCs w:val="19"/>
              </w:rPr>
              <w:t xml:space="preserve">package.json now pins vitest and @vitest/coverage-v8 to ^3.2.6; vitest.config.ts's environment was updated to jsdom and include patterns extended to *.test.tsx to support the new React Testing Library-based tests. All 52 tests pass under v3.</w:t>
            </w:r>
          </w:p>
        </w:tc>
      </w:tr>
      <w:tr>
        <w:tc>
          <w:tcPr>
            <w:tcW w:type="dxa" w:w="900"/>
            <w:tcMar>
              <w:top w:type="dxa" w:w="80"/>
              <w:left w:type="dxa" w:w="100"/>
              <w:bottom w:type="dxa" w:w="80"/>
              <w:right w:type="dxa" w:w="100"/>
            </w:tcMar>
          </w:tcPr>
          <w:p>
            <w:r>
              <w:rPr>
                <w:b/>
                <w:bCs/>
                <w:sz w:val="19"/>
                <w:szCs w:val="19"/>
              </w:rPr>
              <w:t xml:space="preserve">P3-7</w:t>
            </w:r>
          </w:p>
        </w:tc>
        <w:tc>
          <w:tcPr>
            <w:tcW w:type="dxa" w:w="2600"/>
            <w:tcMar>
              <w:top w:type="dxa" w:w="80"/>
              <w:left w:type="dxa" w:w="100"/>
              <w:bottom w:type="dxa" w:w="80"/>
              <w:right w:type="dxa" w:w="100"/>
            </w:tcMar>
          </w:tcPr>
          <w:p>
            <w:r>
              <w:rPr>
                <w:b w:val="false"/>
                <w:bCs w:val="false"/>
                <w:sz w:val="19"/>
                <w:szCs w:val="19"/>
              </w:rPr>
              <w:t xml:space="preserve">Inconsistent @tauri-apps/* dependency pinning style</w:t>
            </w:r>
          </w:p>
        </w:tc>
        <w:tc>
          <w:tcPr>
            <w:tcW w:type="dxa" w:w="1500"/>
            <w:tcMar>
              <w:top w:type="dxa" w:w="80"/>
              <w:left w:type="dxa" w:w="100"/>
              <w:bottom w:type="dxa" w:w="80"/>
              <w:right w:type="dxa" w:w="100"/>
            </w:tcMar>
          </w:tcPr>
          <w:p>
            <w:r>
              <w:rPr>
                <w:b/>
                <w:bCs/>
                <w:color w:val="1E7B34"/>
                <w:sz w:val="20"/>
                <w:szCs w:val="20"/>
              </w:rPr>
              <w:t xml:space="preserve">✓ FIXED</w:t>
            </w:r>
          </w:p>
        </w:tc>
        <w:tc>
          <w:tcPr>
            <w:tcW w:type="dxa" w:w="5100"/>
            <w:tcMar>
              <w:top w:type="dxa" w:w="80"/>
              <w:left w:type="dxa" w:w="100"/>
              <w:bottom w:type="dxa" w:w="80"/>
              <w:right w:type="dxa" w:w="100"/>
            </w:tcMar>
          </w:tcPr>
          <w:p>
            <w:r>
              <w:rPr>
                <w:b w:val="false"/>
                <w:bCs w:val="false"/>
                <w:sz w:val="19"/>
                <w:szCs w:val="19"/>
              </w:rPr>
              <w:t xml:space="preserve">@tauri-apps/api bumped from a bare ^2 to ^2.11.1 and @tauri-apps/plugin-opener from ^2 to ^2.5.4, matching the specific-minor pinning style already used by the other @tauri-apps/* plugin packages.</w:t>
            </w:r>
          </w:p>
        </w:tc>
      </w:tr>
      <w:tr>
        <w:tc>
          <w:tcPr>
            <w:tcW w:type="dxa" w:w="900"/>
            <w:shd w:fill="F2F4F7" w:val="clear"/>
            <w:tcMar>
              <w:top w:type="dxa" w:w="80"/>
              <w:left w:type="dxa" w:w="100"/>
              <w:bottom w:type="dxa" w:w="80"/>
              <w:right w:type="dxa" w:w="100"/>
            </w:tcMar>
          </w:tcPr>
          <w:p>
            <w:r>
              <w:rPr>
                <w:b/>
                <w:bCs/>
                <w:sz w:val="19"/>
                <w:szCs w:val="19"/>
              </w:rPr>
              <w:t xml:space="preserve">P3-8</w:t>
            </w:r>
          </w:p>
        </w:tc>
        <w:tc>
          <w:tcPr>
            <w:tcW w:type="dxa" w:w="2600"/>
            <w:shd w:fill="F2F4F7" w:val="clear"/>
            <w:tcMar>
              <w:top w:type="dxa" w:w="80"/>
              <w:left w:type="dxa" w:w="100"/>
              <w:bottom w:type="dxa" w:w="80"/>
              <w:right w:type="dxa" w:w="100"/>
            </w:tcMar>
          </w:tcPr>
          <w:p>
            <w:r>
              <w:rPr>
                <w:b w:val="false"/>
                <w:bCs w:val="false"/>
                <w:sz w:val="19"/>
                <w:szCs w:val="19"/>
              </w:rPr>
              <w:t xml:space="preserve">tsconfig.node.json missing strict flags</w:t>
            </w:r>
          </w:p>
        </w:tc>
        <w:tc>
          <w:tcPr>
            <w:tcW w:type="dxa" w:w="1500"/>
            <w:shd w:fill="F2F4F7" w:val="clear"/>
            <w:tcMar>
              <w:top w:type="dxa" w:w="80"/>
              <w:left w:type="dxa" w:w="100"/>
              <w:bottom w:type="dxa" w:w="80"/>
              <w:right w:type="dxa" w:w="100"/>
            </w:tcMar>
          </w:tcPr>
          <w:p>
            <w:r>
              <w:rPr>
                <w:b/>
                <w:bCs/>
                <w:color w:val="1E7B34"/>
                <w:sz w:val="20"/>
                <w:szCs w:val="20"/>
              </w:rPr>
              <w:t xml:space="preserve">✓ FIXED</w:t>
            </w:r>
          </w:p>
        </w:tc>
        <w:tc>
          <w:tcPr>
            <w:tcW w:type="dxa" w:w="5100"/>
            <w:shd w:fill="F2F4F7" w:val="clear"/>
            <w:tcMar>
              <w:top w:type="dxa" w:w="80"/>
              <w:left w:type="dxa" w:w="100"/>
              <w:bottom w:type="dxa" w:w="80"/>
              <w:right w:type="dxa" w:w="100"/>
            </w:tcMar>
          </w:tcPr>
          <w:p>
            <w:r>
              <w:rPr>
                <w:b w:val="false"/>
                <w:bCs w:val="false"/>
                <w:sz w:val="19"/>
                <w:szCs w:val="19"/>
              </w:rPr>
              <w:t xml:space="preserve">Unchanged since Revision 2 — already fully fixed.</w:t>
            </w:r>
          </w:p>
        </w:tc>
      </w:tr>
    </w:tbl>
    <w:p>
      <w:pPr>
        <w:pStyle w:val="Heading2"/>
        <w:spacing w:after="100" w:before="220"/>
      </w:pPr>
      <w:r>
        <w:t xml:space="preserve">New Issues Identified During Revision 2</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5100"/>
      </w:tblGrid>
      <w:tr>
        <w:trPr>
          <w:tblHeader/>
        </w:trPr>
        <w:tc>
          <w:tcPr>
            <w:tcW w:type="dxa" w:w="900"/>
            <w:shd w:fill="2F3B52" w:val="clear"/>
            <w:tcMar>
              <w:top w:type="dxa" w:w="80"/>
              <w:left w:type="dxa" w:w="100"/>
              <w:bottom w:type="dxa" w:w="80"/>
              <w:right w:type="dxa" w:w="100"/>
            </w:tcMar>
          </w:tcPr>
          <w:p>
            <w:r>
              <w:rPr>
                <w:b/>
                <w:bCs/>
                <w:color w:val="FFFFFF"/>
                <w:sz w:val="19"/>
                <w:szCs w:val="19"/>
              </w:rPr>
              <w:t xml:space="preserve">ID</w:t>
            </w:r>
          </w:p>
        </w:tc>
        <w:tc>
          <w:tcPr>
            <w:tcW w:type="dxa" w:w="2600"/>
            <w:shd w:fill="2F3B52" w:val="clear"/>
            <w:tcMar>
              <w:top w:type="dxa" w:w="80"/>
              <w:left w:type="dxa" w:w="100"/>
              <w:bottom w:type="dxa" w:w="80"/>
              <w:right w:type="dxa" w:w="100"/>
            </w:tcMar>
          </w:tcPr>
          <w:p>
            <w:r>
              <w:rPr>
                <w:b/>
                <w:bCs/>
                <w:color w:val="FFFFFF"/>
                <w:sz w:val="19"/>
                <w:szCs w:val="19"/>
              </w:rPr>
              <w:t xml:space="preserve">Finding</w:t>
            </w:r>
          </w:p>
        </w:tc>
        <w:tc>
          <w:tcPr>
            <w:tcW w:type="dxa" w:w="1500"/>
            <w:shd w:fill="2F3B52" w:val="clear"/>
            <w:tcMar>
              <w:top w:type="dxa" w:w="80"/>
              <w:left w:type="dxa" w:w="100"/>
              <w:bottom w:type="dxa" w:w="80"/>
              <w:right w:type="dxa" w:w="100"/>
            </w:tcMar>
          </w:tcPr>
          <w:p>
            <w:r>
              <w:rPr>
                <w:b/>
                <w:bCs/>
                <w:color w:val="FFFFFF"/>
                <w:sz w:val="19"/>
                <w:szCs w:val="19"/>
              </w:rPr>
              <w:t xml:space="preserve">Status</w:t>
            </w:r>
          </w:p>
        </w:tc>
        <w:tc>
          <w:tcPr>
            <w:tcW w:type="dxa" w:w="5100"/>
            <w:shd w:fill="2F3B52" w:val="clear"/>
            <w:tcMar>
              <w:top w:type="dxa" w:w="80"/>
              <w:left w:type="dxa" w:w="100"/>
              <w:bottom w:type="dxa" w:w="80"/>
              <w:right w:type="dxa" w:w="100"/>
            </w:tcMar>
          </w:tcPr>
          <w:p>
            <w:r>
              <w:rPr>
                <w:b/>
                <w:bCs/>
                <w:color w:val="FFFFFF"/>
                <w:sz w:val="19"/>
                <w:szCs w:val="19"/>
              </w:rPr>
              <w:t xml:space="preserve">Evidence / Notes</w:t>
            </w:r>
          </w:p>
        </w:tc>
      </w:tr>
      <w:tr>
        <w:tc>
          <w:tcPr>
            <w:tcW w:type="dxa" w:w="900"/>
            <w:tcMar>
              <w:top w:type="dxa" w:w="80"/>
              <w:left w:type="dxa" w:w="100"/>
              <w:bottom w:type="dxa" w:w="80"/>
              <w:right w:type="dxa" w:w="100"/>
            </w:tcMar>
          </w:tcPr>
          <w:p>
            <w:r>
              <w:rPr>
                <w:b/>
                <w:bCs/>
                <w:sz w:val="19"/>
                <w:szCs w:val="19"/>
              </w:rPr>
              <w:t xml:space="preserve">N-1 (Rev.2)</w:t>
            </w:r>
          </w:p>
        </w:tc>
        <w:tc>
          <w:tcPr>
            <w:tcW w:type="dxa" w:w="2600"/>
            <w:tcMar>
              <w:top w:type="dxa" w:w="80"/>
              <w:left w:type="dxa" w:w="100"/>
              <w:bottom w:type="dxa" w:w="80"/>
              <w:right w:type="dxa" w:w="100"/>
            </w:tcMar>
          </w:tcPr>
          <w:p>
            <w:r>
              <w:rPr>
                <w:b w:val="false"/>
                <w:bCs w:val="false"/>
                <w:sz w:val="19"/>
                <w:szCs w:val="19"/>
              </w:rPr>
              <w:t xml:space="preserve">SettingsModal 465 MB vs 466 MB model-size drift</w:t>
            </w:r>
          </w:p>
        </w:tc>
        <w:tc>
          <w:tcPr>
            <w:tcW w:type="dxa" w:w="1500"/>
            <w:tcMar>
              <w:top w:type="dxa" w:w="80"/>
              <w:left w:type="dxa" w:w="100"/>
              <w:bottom w:type="dxa" w:w="80"/>
              <w:right w:type="dxa" w:w="100"/>
            </w:tcMar>
          </w:tcPr>
          <w:p>
            <w:r>
              <w:rPr>
                <w:b/>
                <w:bCs/>
                <w:color w:val="1E7B34"/>
                <w:sz w:val="20"/>
                <w:szCs w:val="20"/>
              </w:rPr>
              <w:t xml:space="preserve">✓ FIXED</w:t>
            </w:r>
          </w:p>
        </w:tc>
        <w:tc>
          <w:tcPr>
            <w:tcW w:type="dxa" w:w="5100"/>
            <w:tcMar>
              <w:top w:type="dxa" w:w="80"/>
              <w:left w:type="dxa" w:w="100"/>
              <w:bottom w:type="dxa" w:w="80"/>
              <w:right w:type="dxa" w:w="100"/>
            </w:tcMar>
          </w:tcPr>
          <w:p>
            <w:r>
              <w:rPr>
                <w:b w:val="false"/>
                <w:bCs w:val="false"/>
                <w:sz w:val="19"/>
                <w:szCs w:val="19"/>
              </w:rPr>
              <w:t xml:space="preserve">Resolved as part of P2-1 above via the new WHISPER_MODELS single source of truth.</w:t>
            </w:r>
          </w:p>
        </w:tc>
      </w:tr>
      <w:tr>
        <w:tc>
          <w:tcPr>
            <w:tcW w:type="dxa" w:w="900"/>
            <w:shd w:fill="F2F4F7" w:val="clear"/>
            <w:tcMar>
              <w:top w:type="dxa" w:w="80"/>
              <w:left w:type="dxa" w:w="100"/>
              <w:bottom w:type="dxa" w:w="80"/>
              <w:right w:type="dxa" w:w="100"/>
            </w:tcMar>
          </w:tcPr>
          <w:p>
            <w:r>
              <w:rPr>
                <w:b/>
                <w:bCs/>
                <w:sz w:val="19"/>
                <w:szCs w:val="19"/>
              </w:rPr>
              <w:t xml:space="preserve">N-2 (Rev.2)</w:t>
            </w:r>
          </w:p>
        </w:tc>
        <w:tc>
          <w:tcPr>
            <w:tcW w:type="dxa" w:w="2600"/>
            <w:shd w:fill="F2F4F7" w:val="clear"/>
            <w:tcMar>
              <w:top w:type="dxa" w:w="80"/>
              <w:left w:type="dxa" w:w="100"/>
              <w:bottom w:type="dxa" w:w="80"/>
              <w:right w:type="dxa" w:w="100"/>
            </w:tcMar>
          </w:tcPr>
          <w:p>
            <w:r>
              <w:rPr>
                <w:b w:val="false"/>
                <w:bCs w:val="false"/>
                <w:sz w:val="19"/>
                <w:szCs w:val="19"/>
              </w:rPr>
              <w:t xml:space="preserve">App.tsx filename-sanitization logic duplicated</w:t>
            </w:r>
          </w:p>
        </w:tc>
        <w:tc>
          <w:tcPr>
            <w:tcW w:type="dxa" w:w="1500"/>
            <w:shd w:fill="F2F4F7" w:val="clear"/>
            <w:tcMar>
              <w:top w:type="dxa" w:w="80"/>
              <w:left w:type="dxa" w:w="100"/>
              <w:bottom w:type="dxa" w:w="80"/>
              <w:right w:type="dxa" w:w="100"/>
            </w:tcMar>
          </w:tcPr>
          <w:p>
            <w:r>
              <w:rPr>
                <w:b/>
                <w:bCs/>
                <w:color w:val="1E7B34"/>
                <w:sz w:val="20"/>
                <w:szCs w:val="20"/>
              </w:rPr>
              <w:t xml:space="preserve">✓ FIXED</w:t>
            </w:r>
          </w:p>
        </w:tc>
        <w:tc>
          <w:tcPr>
            <w:tcW w:type="dxa" w:w="5100"/>
            <w:shd w:fill="F2F4F7" w:val="clear"/>
            <w:tcMar>
              <w:top w:type="dxa" w:w="80"/>
              <w:left w:type="dxa" w:w="100"/>
              <w:bottom w:type="dxa" w:w="80"/>
              <w:right w:type="dxa" w:w="100"/>
            </w:tcMar>
          </w:tcPr>
          <w:p>
            <w:r>
              <w:rPr>
                <w:b w:val="false"/>
                <w:bCs w:val="false"/>
                <w:sz w:val="19"/>
                <w:szCs w:val="19"/>
              </w:rPr>
              <w:t xml:space="preserve">New sanitizeFilename() in src/utils/format.ts replaces both inline occurrences in handleExportFile/handleExportDocx. Covered by 5 new tests, including a path-traversal-attempt case and an emoji-only-input fallback case (caught and fixed during test-writing itself).</w:t>
            </w:r>
          </w:p>
        </w:tc>
      </w:tr>
      <w:tr>
        <w:tc>
          <w:tcPr>
            <w:tcW w:type="dxa" w:w="900"/>
            <w:tcMar>
              <w:top w:type="dxa" w:w="80"/>
              <w:left w:type="dxa" w:w="100"/>
              <w:bottom w:type="dxa" w:w="80"/>
              <w:right w:type="dxa" w:w="100"/>
            </w:tcMar>
          </w:tcPr>
          <w:p>
            <w:r>
              <w:rPr>
                <w:b/>
                <w:bCs/>
                <w:sz w:val="19"/>
                <w:szCs w:val="19"/>
              </w:rPr>
              <w:t xml:space="preserve">N-3 (Rev.2)</w:t>
            </w:r>
          </w:p>
        </w:tc>
        <w:tc>
          <w:tcPr>
            <w:tcW w:type="dxa" w:w="2600"/>
            <w:tcMar>
              <w:top w:type="dxa" w:w="80"/>
              <w:left w:type="dxa" w:w="100"/>
              <w:bottom w:type="dxa" w:w="80"/>
              <w:right w:type="dxa" w:w="100"/>
            </w:tcMar>
          </w:tcPr>
          <w:p>
            <w:r>
              <w:rPr>
                <w:b w:val="false"/>
                <w:bCs w:val="false"/>
                <w:sz w:val="19"/>
                <w:szCs w:val="19"/>
              </w:rPr>
              <w:t xml:space="preserve">handleGenerateSummary re-fetches getSettings() redundantly</w:t>
            </w:r>
          </w:p>
        </w:tc>
        <w:tc>
          <w:tcPr>
            <w:tcW w:type="dxa" w:w="1500"/>
            <w:tcMar>
              <w:top w:type="dxa" w:w="80"/>
              <w:left w:type="dxa" w:w="100"/>
              <w:bottom w:type="dxa" w:w="80"/>
              <w:right w:type="dxa" w:w="100"/>
            </w:tcMar>
          </w:tcPr>
          <w:p>
            <w:r>
              <w:rPr>
                <w:b/>
                <w:bCs/>
                <w:color w:val="B00020"/>
                <w:sz w:val="20"/>
                <w:szCs w:val="20"/>
              </w:rPr>
              <w:t xml:space="preserve">○ OPEN</w:t>
            </w:r>
          </w:p>
        </w:tc>
        <w:tc>
          <w:tcPr>
            <w:tcW w:type="dxa" w:w="5100"/>
            <w:tcMar>
              <w:top w:type="dxa" w:w="80"/>
              <w:left w:type="dxa" w:w="100"/>
              <w:bottom w:type="dxa" w:w="80"/>
              <w:right w:type="dxa" w:w="100"/>
            </w:tcMar>
          </w:tcPr>
          <w:p>
            <w:r>
              <w:rPr>
                <w:b w:val="false"/>
                <w:bCs w:val="false"/>
                <w:sz w:val="19"/>
                <w:szCs w:val="19"/>
              </w:rPr>
              <w:t xml:space="preserve">Not addressed this round — a minor inefficiency, not a correctness issue. Left on the backlog.</w:t>
            </w:r>
          </w:p>
        </w:tc>
      </w:tr>
      <w:tr>
        <w:tc>
          <w:tcPr>
            <w:tcW w:type="dxa" w:w="900"/>
            <w:shd w:fill="F2F4F7" w:val="clear"/>
            <w:tcMar>
              <w:top w:type="dxa" w:w="80"/>
              <w:left w:type="dxa" w:w="100"/>
              <w:bottom w:type="dxa" w:w="80"/>
              <w:right w:type="dxa" w:w="100"/>
            </w:tcMar>
          </w:tcPr>
          <w:p>
            <w:r>
              <w:rPr>
                <w:b/>
                <w:bCs/>
                <w:sz w:val="19"/>
                <w:szCs w:val="19"/>
              </w:rPr>
              <w:t xml:space="preserve">N-4 (Rev.2)</w:t>
            </w:r>
          </w:p>
        </w:tc>
        <w:tc>
          <w:tcPr>
            <w:tcW w:type="dxa" w:w="2600"/>
            <w:shd w:fill="F2F4F7" w:val="clear"/>
            <w:tcMar>
              <w:top w:type="dxa" w:w="80"/>
              <w:left w:type="dxa" w:w="100"/>
              <w:bottom w:type="dxa" w:w="80"/>
              <w:right w:type="dxa" w:w="100"/>
            </w:tcMar>
          </w:tcPr>
          <w:p>
            <w:r>
              <w:rPr>
                <w:b w:val="false"/>
                <w:bCs w:val="false"/>
                <w:sz w:val="19"/>
                <w:szCs w:val="19"/>
              </w:rPr>
              <w:t xml:space="preserve">.env correctly gitignored (informational)</w:t>
            </w:r>
          </w:p>
        </w:tc>
        <w:tc>
          <w:tcPr>
            <w:tcW w:type="dxa" w:w="1500"/>
            <w:shd w:fill="F2F4F7" w:val="clear"/>
            <w:tcMar>
              <w:top w:type="dxa" w:w="80"/>
              <w:left w:type="dxa" w:w="100"/>
              <w:bottom w:type="dxa" w:w="80"/>
              <w:right w:type="dxa" w:w="100"/>
            </w:tcMar>
          </w:tcPr>
          <w:p>
            <w:r>
              <w:rPr>
                <w:b/>
                <w:bCs/>
                <w:color w:val="777777"/>
                <w:sz w:val="20"/>
                <w:szCs w:val="20"/>
              </w:rPr>
              <w:t xml:space="preserve">— N/A</w:t>
            </w:r>
          </w:p>
        </w:tc>
        <w:tc>
          <w:tcPr>
            <w:tcW w:type="dxa" w:w="5100"/>
            <w:shd w:fill="F2F4F7" w:val="clear"/>
            <w:tcMar>
              <w:top w:type="dxa" w:w="80"/>
              <w:left w:type="dxa" w:w="100"/>
              <w:bottom w:type="dxa" w:w="80"/>
              <w:right w:type="dxa" w:w="100"/>
            </w:tcMar>
          </w:tcPr>
          <w:p>
            <w:r>
              <w:rPr>
                <w:b w:val="false"/>
                <w:bCs w:val="false"/>
                <w:sz w:val="19"/>
                <w:szCs w:val="19"/>
              </w:rPr>
              <w:t xml:space="preserve">Confirmed unchanged and was never a real risk — carried forward for completeness only, as in Revision 2.</w:t>
            </w:r>
          </w:p>
        </w:tc>
      </w:tr>
    </w:tbl>
    <w:p>
      <w:pPr>
        <w:pStyle w:val="Heading1"/>
        <w:spacing w:after="140" w:before="300"/>
      </w:pPr>
      <w:r>
        <w:t xml:space="preserve">Updated Prioritized Action Plan</w:t>
      </w:r>
    </w:p>
    <w:p>
      <w:pPr>
        <w:spacing w:after="160"/>
      </w:pPr>
      <w:r>
        <w:rPr>
          <w:sz w:val="21"/>
          <w:szCs w:val="21"/>
        </w:rPr>
        <w:t xml:space="preserve">Fully resolved items have been removed from this plan. Only genuinely open work remains below, plus the one blocking prerequisite (Rust verification) that applies across several items at once.</w:t>
      </w:r>
    </w:p>
    <w:p>
      <w:pPr>
        <w:pStyle w:val="Heading2"/>
        <w:spacing w:after="100" w:before="220"/>
      </w:pPr>
      <w:r>
        <w:t xml:space="preserve">P0 — Critical</w:t>
      </w:r>
    </w:p>
    <w:p>
      <w:pPr>
        <w:spacing w:after="160"/>
      </w:pPr>
      <w:r>
        <w:rPr>
          <w:sz w:val="21"/>
          <w:szCs w:val="21"/>
        </w:rPr>
        <w:t xml:space="preserve">None. Consistent with both prior audits, no actively exploited vulnerability or committed secret was found.</w:t>
      </w:r>
    </w:p>
    <w:p>
      <w:pPr>
        <w:pStyle w:val="Heading2"/>
        <w:spacing w:after="100" w:before="220"/>
      </w:pPr>
      <w:r>
        <w:t xml:space="preserve">Blocking Prerequisite (applies to P1-1, P1-2, P1-4, P1-5)</w:t>
      </w:r>
    </w:p>
    <w:p>
      <w:pPr>
        <w:pStyle w:val="Heading3"/>
        <w:spacing w:after="80" w:before="160"/>
      </w:pPr>
      <w:r>
        <w:t xml:space="preserve">Verify Rust changes with a real toolchain</w:t>
      </w:r>
    </w:p>
    <w:p>
      <w:pPr>
        <w:pStyle w:val="ListParagraph"/>
        <w:numPr>
          <w:ilvl w:val="0"/>
          <w:numId w:val="1"/>
        </w:numPr>
        <w:spacing w:after="80"/>
      </w:pPr>
      <w:r>
        <w:rPr>
          <w:sz w:val="21"/>
          <w:szCs w:val="21"/>
        </w:rPr>
        <w:t xml:space="preserve">Problem: This round's Rust changes (SQLCipher in db.rs/secrets.rs, tracing in lib.rs and 6 other files, CategorizedError in error.rs/summary.rs/commands.rs) were written and reasoned through without access to cargo/rustc in this working environment.</w:t>
      </w:r>
    </w:p>
    <w:p>
      <w:pPr>
        <w:pStyle w:val="ListParagraph"/>
        <w:numPr>
          <w:ilvl w:val="0"/>
          <w:numId w:val="1"/>
        </w:numPr>
        <w:spacing w:after="80"/>
      </w:pPr>
      <w:r>
        <w:rPr>
          <w:sz w:val="21"/>
          <w:szCs w:val="21"/>
        </w:rPr>
        <w:t xml:space="preserve">Impact: Until compiled, these carry normal unverified-code risk — a typo, an API mismatch (e.g. a rusqlite/tracing-subscriber method signature), or a feature-flag interaction not visible from reading source/docs alone could fail the build.</w:t>
      </w:r>
    </w:p>
    <w:p>
      <w:pPr>
        <w:pStyle w:val="ListParagraph"/>
        <w:numPr>
          <w:ilvl w:val="0"/>
          <w:numId w:val="1"/>
        </w:numPr>
        <w:spacing w:after="80"/>
      </w:pPr>
      <w:r>
        <w:rPr>
          <w:sz w:val="21"/>
          <w:szCs w:val="21"/>
        </w:rPr>
        <w:t xml:space="preserve">Fix: Run cargo check &amp;&amp; cargo test &amp;&amp; cargo clippy --all-targets -- -D warnings &amp;&amp; cargo fmt --check in src-tauri/. Specifically test the SQLCipher migration against a copy of a real, pre-existing desksec.db, not just a freshly created one.</w:t>
      </w:r>
    </w:p>
    <w:p>
      <w:pPr>
        <w:pStyle w:val="ListParagraph"/>
        <w:numPr>
          <w:ilvl w:val="0"/>
          <w:numId w:val="1"/>
        </w:numPr>
        <w:spacing w:after="80"/>
      </w:pPr>
      <w:r>
        <w:rPr>
          <w:sz w:val="21"/>
          <w:szCs w:val="21"/>
        </w:rPr>
        <w:t xml:space="preserve">Effort: S (running the commands) — but treat every P1 item above as provisionally closed, not closed, until this passes.</w:t>
      </w:r>
    </w:p>
    <w:p>
      <w:pPr>
        <w:pStyle w:val="Heading2"/>
        <w:spacing w:after="100" w:before="220"/>
      </w:pPr>
      <w:r>
        <w:t xml:space="preserve">P1 — High (remaining gap)</w:t>
      </w:r>
    </w:p>
    <w:p>
      <w:pPr>
        <w:pStyle w:val="Heading3"/>
        <w:spacing w:after="80" w:before="160"/>
      </w:pPr>
      <w:r>
        <w:t xml:space="preserve">P1-2 (partial)  Typed error handling not extended beyond generate_summary</w:t>
      </w:r>
    </w:p>
    <w:p>
      <w:pPr>
        <w:pStyle w:val="ListParagraph"/>
        <w:numPr>
          <w:ilvl w:val="0"/>
          <w:numId w:val="1"/>
        </w:numPr>
        <w:spacing w:after="80"/>
      </w:pPr>
      <w:r>
        <w:rPr>
          <w:sz w:val="21"/>
          <w:szCs w:val="21"/>
        </w:rPr>
        <w:t xml:space="preserve">Problem: CategorizedError exists and is wired for the one command that leaked server details, but the other 19 Tauri commands still return Result&lt;T, String&gt;.</w:t>
      </w:r>
    </w:p>
    <w:p>
      <w:pPr>
        <w:pStyle w:val="ListParagraph"/>
        <w:numPr>
          <w:ilvl w:val="0"/>
          <w:numId w:val="1"/>
        </w:numPr>
        <w:spacing w:after="80"/>
      </w:pPr>
      <w:r>
        <w:rPr>
          <w:sz w:val="21"/>
          <w:szCs w:val="21"/>
        </w:rPr>
        <w:t xml:space="preserve">Impact: Lower than originally scoped — the specific leak reported is fixed — but other paths (e.g. local_transcribe.rs's filesystem-path interpolation) still surface unstructured strings to the UI.</w:t>
      </w:r>
    </w:p>
    <w:p>
      <w:pPr>
        <w:pStyle w:val="ListParagraph"/>
        <w:numPr>
          <w:ilvl w:val="0"/>
          <w:numId w:val="1"/>
        </w:numPr>
        <w:spacing w:after="80"/>
      </w:pPr>
      <w:r>
        <w:rPr>
          <w:sz w:val="21"/>
          <w:szCs w:val="21"/>
        </w:rPr>
        <w:t xml:space="preserve">Fix: If further hardening is wanted, extend CategorizedError (or a lighter per-command variant) to the remaining commands incrementally, prioritizing any that interpolate filesystem paths or external responses.</w:t>
      </w:r>
    </w:p>
    <w:p>
      <w:pPr>
        <w:pStyle w:val="ListParagraph"/>
        <w:numPr>
          <w:ilvl w:val="0"/>
          <w:numId w:val="1"/>
        </w:numPr>
        <w:spacing w:after="80"/>
      </w:pPr>
      <w:r>
        <w:rPr>
          <w:sz w:val="21"/>
          <w:szCs w:val="21"/>
        </w:rPr>
        <w:t xml:space="preserve">Effort: M</w:t>
      </w:r>
    </w:p>
    <w:p>
      <w:pPr>
        <w:pStyle w:val="Heading3"/>
        <w:spacing w:after="80" w:before="160"/>
      </w:pPr>
      <w:r>
        <w:t xml:space="preserve">P1-3 (partial)  Actual coverage percentage unconfirmed; no Rust coverage tooling</w:t>
      </w:r>
    </w:p>
    <w:p>
      <w:pPr>
        <w:pStyle w:val="ListParagraph"/>
        <w:numPr>
          <w:ilvl w:val="0"/>
          <w:numId w:val="1"/>
        </w:numPr>
        <w:spacing w:after="80"/>
      </w:pPr>
      <w:r>
        <w:rPr>
          <w:sz w:val="21"/>
          <w:szCs w:val="21"/>
        </w:rPr>
        <w:t xml:space="preserve">Problem: vitest run --coverage hangs in this working environment, so the real statement-coverage number after adding 5 new frontend test files could not be confirmed against the new 25% floor. Rust has no coverage tooling at all.</w:t>
      </w:r>
    </w:p>
    <w:p>
      <w:pPr>
        <w:pStyle w:val="ListParagraph"/>
        <w:numPr>
          <w:ilvl w:val="0"/>
          <w:numId w:val="1"/>
        </w:numPr>
        <w:spacing w:after="80"/>
      </w:pPr>
      <w:r>
        <w:rPr>
          <w:sz w:val="21"/>
          <w:szCs w:val="21"/>
        </w:rPr>
        <w:t xml:space="preserve">Fix: Run npm test -- --coverage locally to confirm the threshold is genuinely met (raise it if coverage is higher than the floor suggests); consider adding cargo-tarpaulin or cargo-llvm-cov for the Rust side as a separate follow-up.</w:t>
      </w:r>
    </w:p>
    <w:p>
      <w:pPr>
        <w:pStyle w:val="ListParagraph"/>
        <w:numPr>
          <w:ilvl w:val="0"/>
          <w:numId w:val="1"/>
        </w:numPr>
        <w:spacing w:after="80"/>
      </w:pPr>
      <w:r>
        <w:rPr>
          <w:sz w:val="21"/>
          <w:szCs w:val="21"/>
        </w:rPr>
        <w:t xml:space="preserve">Effort: XS (frontend verification) / M (Rust tooling, optional)</w:t>
      </w:r>
    </w:p>
    <w:p>
      <w:pPr>
        <w:pStyle w:val="Heading2"/>
        <w:spacing w:after="100" w:before="220"/>
      </w:pPr>
      <w:r>
        <w:t xml:space="preserve">P2 — Medium (remaining gap)</w:t>
      </w:r>
    </w:p>
    <w:p>
      <w:pPr>
        <w:pStyle w:val="Heading3"/>
        <w:spacing w:after="80" w:before="160"/>
      </w:pPr>
      <w:r>
        <w:t xml:space="preserve">P2-1 (partial)  SettingsModal.tsx general bloat</w:t>
      </w:r>
    </w:p>
    <w:p>
      <w:pPr>
        <w:pStyle w:val="ListParagraph"/>
        <w:numPr>
          <w:ilvl w:val="0"/>
          <w:numId w:val="1"/>
        </w:numPr>
        <w:spacing w:after="80"/>
      </w:pPr>
      <w:r>
        <w:rPr>
          <w:sz w:val="21"/>
          <w:szCs w:val="21"/>
        </w:rPr>
        <w:t xml:space="preserve">Problem: The file is 983 lines with no sub-component extraction; the specific duplication bug that Revision 2 flagged is fixed, but the underlying file-size/complexity concern that caused it is not.</w:t>
      </w:r>
    </w:p>
    <w:p>
      <w:pPr>
        <w:pStyle w:val="ListParagraph"/>
        <w:numPr>
          <w:ilvl w:val="0"/>
          <w:numId w:val="1"/>
        </w:numPr>
        <w:spacing w:after="80"/>
      </w:pPr>
      <w:r>
        <w:rPr>
          <w:sz w:val="21"/>
          <w:szCs w:val="21"/>
        </w:rPr>
        <w:t xml:space="preserve">Fix: Split SettingsModal.tsx into focused sub-components (e.g. a WhisperModelPicker, a ServerConnectionSection) as originally recommended.</w:t>
      </w:r>
    </w:p>
    <w:p>
      <w:pPr>
        <w:pStyle w:val="ListParagraph"/>
        <w:numPr>
          <w:ilvl w:val="0"/>
          <w:numId w:val="1"/>
        </w:numPr>
        <w:spacing w:after="80"/>
      </w:pPr>
      <w:r>
        <w:rPr>
          <w:sz w:val="21"/>
          <w:szCs w:val="21"/>
        </w:rPr>
        <w:t xml:space="preserve">Effort: M</w:t>
      </w:r>
    </w:p>
    <w:p>
      <w:pPr>
        <w:pStyle w:val="Heading2"/>
        <w:spacing w:after="100" w:before="220"/>
      </w:pPr>
      <w:r>
        <w:t xml:space="preserve">P3 — Low (backlog)</w:t>
      </w:r>
    </w:p>
    <w:p>
      <w:pPr>
        <w:pStyle w:val="Heading3"/>
        <w:spacing w:after="80" w:before="160"/>
      </w:pPr>
      <w:r>
        <w:t xml:space="preserve">N-3  handleGenerateSummary re-fetches settings redundantly</w:t>
      </w:r>
    </w:p>
    <w:p>
      <w:pPr>
        <w:pStyle w:val="ListParagraph"/>
        <w:numPr>
          <w:ilvl w:val="0"/>
          <w:numId w:val="1"/>
        </w:numPr>
        <w:spacing w:after="80"/>
      </w:pPr>
      <w:r>
        <w:rPr>
          <w:sz w:val="21"/>
          <w:szCs w:val="21"/>
        </w:rPr>
        <w:t xml:space="preserve">Problem: ensureSettingsForModal already retrieves server_token_present earlier in the flow; handleGenerateSummary fetches it again.</w:t>
      </w:r>
    </w:p>
    <w:p>
      <w:pPr>
        <w:pStyle w:val="ListParagraph"/>
        <w:numPr>
          <w:ilvl w:val="0"/>
          <w:numId w:val="1"/>
        </w:numPr>
        <w:spacing w:after="80"/>
      </w:pPr>
      <w:r>
        <w:rPr>
          <w:sz w:val="21"/>
          <w:szCs w:val="21"/>
        </w:rPr>
        <w:t xml:space="preserve">Fix: Reuse the already-fetched value instead of a second api.getSettings() call.</w:t>
      </w:r>
    </w:p>
    <w:p>
      <w:pPr>
        <w:pStyle w:val="ListParagraph"/>
        <w:numPr>
          <w:ilvl w:val="0"/>
          <w:numId w:val="1"/>
        </w:numPr>
        <w:spacing w:after="80"/>
      </w:pPr>
      <w:r>
        <w:rPr>
          <w:sz w:val="21"/>
          <w:szCs w:val="21"/>
        </w:rPr>
        <w:t xml:space="preserve">Effort: XS</w:t>
      </w:r>
    </w:p>
    <w:p>
      <w:pPr>
        <w:pStyle w:val="Heading1"/>
        <w:spacing w:after="140" w:before="300"/>
      </w:pPr>
      <w:r>
        <w:t xml:space="preserve">Closing Note</w:t>
      </w:r>
    </w:p>
    <w:p>
      <w:pPr>
        <w:spacing w:after="160"/>
      </w:pPr>
      <w:r>
        <w:rPr>
          <w:sz w:val="21"/>
          <w:szCs w:val="21"/>
        </w:rPr>
        <w:t xml:space="preserve">This revision closes out nearly the entire punch list from the original audit: 18 of 21 original findings are fully fixed, all four new issues surfaced during Revision 2 are either fixed or confirmed non-issues (with one minor backlog item remaining), and the three items still graded PARTIAL are partial by deliberate, documented scoping decisions rather than incomplete effort — each has a clear, small remaining step, not an open-ended gap. The trajectory across all three audits is a good one: Revision 1 found the issues, Revision 2 showed a team working through the mechanical, low-risk fixes first (a normal and reasonable order of operations), and this revision shows the harder, more consequential items — encryption at rest, structured logging, categorized error handling, and dependency documentation — actually getting built. The one thing standing between this report and a clean bill of health is verification: every Rust change in this round needs a real cargo check/test/clippy pass before it should be considered done, not just written.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b/>
      <w:bCs/>
      <w:color w:val="2F3B52"/>
      <w:sz w:val="28"/>
      <w:szCs w:val="28"/>
    </w:rPr>
  </w:style>
  <w:style w:type="paragraph" w:styleId="Heading2">
    <w:name w:val="Heading 2"/>
    <w:basedOn w:val="Normal"/>
    <w:next w:val="Normal"/>
    <w:qFormat/>
    <w:pPr>
      <w:spacing w:after="100" w:before="220"/>
    </w:pPr>
    <w:rPr>
      <w:b/>
      <w:bCs/>
      <w:color w:val="2F3B52"/>
      <w:sz w:val="24"/>
      <w:szCs w:val="24"/>
    </w:rPr>
  </w:style>
  <w:style w:type="paragraph" w:styleId="Heading3">
    <w:name w:val="Heading 3"/>
    <w:basedOn w:val="Normal"/>
    <w:next w:val="Normal"/>
    <w:qFormat/>
    <w:pPr>
      <w:spacing w:after="80" w:before="160"/>
    </w:pPr>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2026-07-05T12:37:52.042Z</dcterms:created>
  <dcterms:modified xsi:type="dcterms:W3CDTF">2026-07-05T12:37:52.047Z</dcterms:modified>
</cp:coreProperties>
</file>

<file path=docProps/custom.xml><?xml version="1.0" encoding="utf-8"?>
<Properties xmlns="http://schemas.openxmlformats.org/officeDocument/2006/custom-properties" xmlns:vt="http://schemas.openxmlformats.org/officeDocument/2006/docPropsVTypes"/>
</file>