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 xml:space="preserve">This approach however does not prescribe </w:t>
      </w:r>
      <w:r w:rsidR="00ED1843">
        <w:rPr>
          <w:rFonts w:ascii="Gill Sans MT" w:hAnsi="Gill Sans MT"/>
          <w:sz w:val="24"/>
          <w:szCs w:val="24"/>
        </w:rPr>
        <w:lastRenderedPageBreak/>
        <w:t>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6024E58" w:rsidR="00215226" w:rsidRDefault="00215226" w:rsidP="00215226">
      <w:pPr>
        <w:jc w:val="both"/>
        <w:rPr>
          <w:rFonts w:ascii="Gill Sans MT" w:hAnsi="Gill Sans MT"/>
          <w:sz w:val="24"/>
          <w:szCs w:val="24"/>
        </w:rPr>
      </w:pPr>
      <w:r>
        <w:rPr>
          <w:rFonts w:ascii="Gill Sans MT" w:hAnsi="Gill Sans MT"/>
          <w:sz w:val="24"/>
          <w:szCs w:val="24"/>
        </w:rPr>
        <w:t>We depart from Kakimoto et al (2022) on the optimization framework in that instead of using individual comparison of the different categories, we instead us</w:t>
      </w:r>
      <w:r w:rsidR="00B96990">
        <w:rPr>
          <w:rFonts w:ascii="Gill Sans MT" w:hAnsi="Gill Sans MT"/>
          <w:sz w:val="24"/>
          <w:szCs w:val="24"/>
        </w:rPr>
        <w:t xml:space="preserve">e </w:t>
      </w:r>
      <w:r>
        <w:rPr>
          <w:rFonts w:ascii="Gill Sans MT" w:hAnsi="Gill Sans MT"/>
          <w:sz w:val="24"/>
          <w:szCs w:val="24"/>
        </w:rPr>
        <w:t xml:space="preserve">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16FCFC2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r w:rsidR="00FE2111">
        <w:rPr>
          <w:rFonts w:ascii="Gill Sans MT" w:eastAsiaTheme="minorEastAsia" w:hAnsi="Gill Sans MT"/>
          <w:sz w:val="24"/>
          <w:szCs w:val="24"/>
        </w:rPr>
        <w:t>1</w:t>
      </w:r>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B40FCA3"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7BA71FDE"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5490FBE2" w14:textId="77777777" w:rsidR="001B796A" w:rsidRDefault="00D369EB"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w:t>
      </w:r>
    </w:p>
    <w:p w14:paraId="349FAB93" w14:textId="327AA0EA" w:rsidR="00FB1921" w:rsidRPr="00675C49" w:rsidRDefault="00FB1921" w:rsidP="00FB1921">
      <w:pPr>
        <w:rPr>
          <w:rFonts w:ascii="Gill Sans MT" w:hAnsi="Gill Sans MT"/>
        </w:rPr>
      </w:pPr>
      <w:r w:rsidRPr="00675C49">
        <w:rPr>
          <w:rFonts w:ascii="Gill Sans MT" w:hAnsi="Gill Sans MT"/>
          <w:b/>
          <w:bCs/>
        </w:rPr>
        <w:t>Step 1</w:t>
      </w:r>
      <w:r w:rsidR="00462D1E">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p>
    <w:p w14:paraId="2B1FD23C" w14:textId="77777777"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p>
    <w:p w14:paraId="7ED10BAE" w14:textId="227B97D9" w:rsidR="000A27B7" w:rsidRPr="00972824" w:rsidRDefault="0027428E" w:rsidP="00972824">
      <w:pPr>
        <w:rPr>
          <w:rFonts w:ascii="Cambria Math" w:eastAsiaTheme="minorEastAsia" w:hAnsi="Cambria Math"/>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4BA01C8" w14:textId="227817D6"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p>
    <w:p w14:paraId="714D4683" w14:textId="5925AFA9" w:rsidR="00FB1921" w:rsidRPr="009175DF" w:rsidRDefault="00FB1921" w:rsidP="00AD4B40">
      <w:pPr>
        <w:rPr>
          <w:rFonts w:ascii="Gill Sans MT" w:eastAsiaTheme="minorEastAsia" w:hAnsi="Gill Sans MT"/>
          <w:b/>
          <w:bCs/>
          <w:sz w:val="24"/>
          <w:szCs w:val="24"/>
        </w:rPr>
      </w:pPr>
      <w:r w:rsidRPr="009175DF">
        <w:rPr>
          <w:rFonts w:ascii="Gill Sans MT" w:eastAsiaTheme="minorEastAsia" w:hAnsi="Gill Sans MT"/>
          <w:b/>
          <w:bCs/>
          <w:sz w:val="24"/>
          <w:szCs w:val="24"/>
        </w:rPr>
        <w:lastRenderedPageBreak/>
        <w:t>Step 3</w:t>
      </w:r>
      <w:r w:rsidR="009175DF">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xml:space="preserve">: Estimate </w:t>
      </w:r>
      <w:r w:rsidR="00462D1E" w:rsidRPr="009175DF">
        <w:rPr>
          <w:rFonts w:ascii="Gill Sans MT" w:eastAsiaTheme="minorEastAsia" w:hAnsi="Gill Sans MT"/>
          <w:b/>
          <w:bCs/>
          <w:sz w:val="24"/>
          <w:szCs w:val="24"/>
        </w:rPr>
        <w:t>doubly robust scores</w:t>
      </w:r>
      <w:r w:rsidR="009175DF">
        <w:rPr>
          <w:rFonts w:ascii="Gill Sans MT" w:eastAsiaTheme="minorEastAsia" w:hAnsi="Gill Sans MT"/>
          <w:b/>
          <w:bCs/>
          <w:sz w:val="24"/>
          <w:szCs w:val="24"/>
        </w:rPr>
        <w:t xml:space="preserve"> and policy </w:t>
      </w:r>
      <w:proofErr w:type="gramStart"/>
      <w:r w:rsidR="009175DF">
        <w:rPr>
          <w:rFonts w:ascii="Gill Sans MT" w:eastAsiaTheme="minorEastAsia" w:hAnsi="Gill Sans MT"/>
          <w:b/>
          <w:bCs/>
          <w:sz w:val="24"/>
          <w:szCs w:val="24"/>
        </w:rPr>
        <w:t>recommendations</w:t>
      </w:r>
      <w:proofErr w:type="gramEnd"/>
    </w:p>
    <w:p w14:paraId="30FF5EFF" w14:textId="02614BFE" w:rsidR="00AD4B40" w:rsidRPr="009175DF" w:rsidRDefault="001F63BA"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If our goal is </w:t>
      </w:r>
      <w:r w:rsidR="00473FC8">
        <w:rPr>
          <w:rFonts w:ascii="Gill Sans MT" w:eastAsiaTheme="minorEastAsia" w:hAnsi="Gill Sans MT"/>
          <w:sz w:val="24"/>
          <w:szCs w:val="24"/>
        </w:rPr>
        <w:t xml:space="preserve">to </w:t>
      </w:r>
      <w:r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7A3A6467" w14:textId="5E30484F" w:rsidR="00AD4B40" w:rsidRPr="00972824" w:rsidRDefault="00E619CE" w:rsidP="00972824">
      <w:pPr>
        <w:rPr>
          <w:rFonts w:ascii="Cambria Math" w:eastAsiaTheme="minorEastAsia" w:hAnsi="Cambria Math"/>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m:rPr>
              <m:sty m:val="p"/>
            </m:rPr>
            <w:rPr>
              <w:rFonts w:ascii="Cambria Math" w:eastAsiaTheme="minorEastAsia" w:hAnsi="Cambria Math"/>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5784C167" w14:textId="120A0FD9" w:rsidR="00D06EA5" w:rsidRPr="009175DF" w:rsidRDefault="00D06EA5" w:rsidP="001C7E68">
      <w:pPr>
        <w:rPr>
          <w:rFonts w:ascii="Gill Sans MT" w:eastAsiaTheme="minorEastAsia" w:hAnsi="Gill Sans MT"/>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440253E6" w14:textId="619974F5" w:rsidR="004F19B6"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BEC5038" w:rsidR="00083616" w:rsidRPr="009175DF" w:rsidRDefault="0027428E"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65C4665" w14:textId="6A945B24" w:rsidR="008157A1" w:rsidRPr="009175DF" w:rsidRDefault="0027428E"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7DA0860" w14:textId="199EF816" w:rsidR="000B3A36" w:rsidRPr="009175DF" w:rsidRDefault="0027428E" w:rsidP="00DE303B">
      <w:pPr>
        <w:rPr>
          <w:rFonts w:ascii="Gill Sans MT" w:eastAsiaTheme="minorEastAsia" w:hAnsi="Gill Sans MT"/>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9175DF">
        <w:rPr>
          <w:rFonts w:ascii="Gill Sans MT" w:eastAsiaTheme="minorEastAsia" w:hAnsi="Gill Sans MT"/>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541DD4B3" w14:textId="77777777" w:rsidR="00972824" w:rsidRDefault="00972824">
      <w:pPr>
        <w:rPr>
          <w:rFonts w:ascii="Gill Sans MT" w:hAnsi="Gill Sans MT"/>
          <w:sz w:val="24"/>
          <w:szCs w:val="24"/>
        </w:rPr>
      </w:pPr>
      <w:r>
        <w:rPr>
          <w:rFonts w:ascii="Gill Sans MT" w:hAnsi="Gill Sans MT"/>
          <w:sz w:val="24"/>
          <w:szCs w:val="24"/>
        </w:rPr>
        <w:br w:type="page"/>
      </w:r>
    </w:p>
    <w:p w14:paraId="3862C1C5" w14:textId="74A0B3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p>
    <w:p w14:paraId="4D9D0346" w14:textId="77777777" w:rsidR="00606F55" w:rsidRDefault="00606F55" w:rsidP="00606F55">
      <w:pPr>
        <w:jc w:val="both"/>
        <w:rPr>
          <w:rFonts w:ascii="Gill Sans MT" w:hAnsi="Gill Sans MT"/>
          <w:sz w:val="24"/>
          <w:szCs w:val="24"/>
        </w:rPr>
      </w:pPr>
    </w:p>
    <w:p w14:paraId="7A2A1078" w14:textId="5F2748FB" w:rsidR="00F850DE" w:rsidRDefault="004D7A53" w:rsidP="00FE0364">
      <w:pPr>
        <w:pStyle w:val="Heading2"/>
        <w:rPr>
          <w:rFonts w:ascii="Gill Sans MT" w:hAnsi="Gill Sans MT"/>
          <w:sz w:val="24"/>
          <w:szCs w:val="24"/>
        </w:rPr>
      </w:pPr>
      <w:commentRangeStart w:id="22"/>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2"/>
      <w:r w:rsidR="00A93FAA">
        <w:rPr>
          <w:rStyle w:val="CommentReference"/>
          <w:rFonts w:asciiTheme="minorHAnsi" w:eastAsiaTheme="minorHAnsi" w:hAnsiTheme="minorHAnsi" w:cstheme="minorBidi"/>
          <w:color w:val="auto"/>
        </w:rPr>
        <w:commentReference w:id="22"/>
      </w:r>
    </w:p>
    <w:p w14:paraId="7B094BC2" w14:textId="77777777" w:rsidR="00EB02F6" w:rsidRDefault="00EB02F6" w:rsidP="00EB02F6"/>
    <w:p w14:paraId="2195CB1A" w14:textId="6A515B0F" w:rsidR="00EB02F6" w:rsidRDefault="005E65B3" w:rsidP="00584AE2">
      <w:pPr>
        <w:pStyle w:val="Heading2"/>
      </w:pPr>
      <w:r>
        <w:t xml:space="preserve">3.3.2. </w:t>
      </w:r>
      <w:r w:rsidR="00EB02F6">
        <w:t xml:space="preserve">Simple </w:t>
      </w:r>
      <w:r>
        <w:t xml:space="preserve">maximum yield treatment choice approach and </w:t>
      </w:r>
      <w:r w:rsidR="00CB6BC3">
        <w:t>quantile-based characteristics</w:t>
      </w:r>
    </w:p>
    <w:p w14:paraId="7E4E32CA" w14:textId="77777777" w:rsidR="00971826" w:rsidRDefault="00971826" w:rsidP="00971826"/>
    <w:p w14:paraId="14E16845" w14:textId="75E530F5" w:rsidR="00971826" w:rsidRDefault="00AD39DA" w:rsidP="00971826">
      <w:r>
        <w:rPr>
          <w:noProof/>
        </w:rPr>
        <w:lastRenderedPageBreak/>
        <w:drawing>
          <wp:inline distT="0" distB="0" distL="0" distR="0" wp14:anchorId="602A69FF" wp14:editId="13CB9F7F">
            <wp:extent cx="5544000" cy="3068527"/>
            <wp:effectExtent l="0" t="0" r="0" b="0"/>
            <wp:docPr id="130524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p>
    <w:p w14:paraId="65A9A5DF" w14:textId="7ABA402C" w:rsidR="00971826" w:rsidRPr="00971826" w:rsidRDefault="00971826" w:rsidP="00971826">
      <w:r>
        <w:t>Figure</w:t>
      </w:r>
      <w:r w:rsidR="003674BB">
        <w:t xml:space="preserve"> 5</w:t>
      </w:r>
      <w:r>
        <w:t xml:space="preserve">: </w:t>
      </w:r>
      <w:r w:rsidR="003674BB">
        <w:t>Maximal average yield treatment choice for each individual farmer</w:t>
      </w:r>
      <w:r w:rsidR="004C1639">
        <w:t xml:space="preserve">. </w:t>
      </w:r>
    </w:p>
    <w:p w14:paraId="7C6E8525" w14:textId="77777777" w:rsidR="00936246" w:rsidRDefault="00936246" w:rsidP="00EB02F6"/>
    <w:p w14:paraId="749F3A79" w14:textId="5C29D965" w:rsidR="00936246" w:rsidRPr="00782A6E" w:rsidRDefault="00936246" w:rsidP="00936246">
      <w:pPr>
        <w:pStyle w:val="Heading2"/>
      </w:pPr>
      <w:r>
        <w:t>3.</w:t>
      </w:r>
      <w:r w:rsidR="00584AE2">
        <w:t>3.3</w:t>
      </w:r>
      <w:r>
        <w:t xml:space="preserve">. </w:t>
      </w:r>
      <w:r w:rsidR="00253B04">
        <w:t>Results from the p</w:t>
      </w:r>
      <w:r>
        <w:t>olicy tree approach</w:t>
      </w:r>
    </w:p>
    <w:p w14:paraId="7D4EF039" w14:textId="77777777" w:rsidR="006E53BC" w:rsidRDefault="00936246" w:rsidP="00936246">
      <w:pPr>
        <w:jc w:val="both"/>
        <w:rPr>
          <w:rFonts w:ascii="Gill Sans MT" w:hAnsi="Gill Sans MT"/>
          <w:sz w:val="24"/>
          <w:szCs w:val="24"/>
        </w:rPr>
      </w:pPr>
      <w:r w:rsidRPr="001D4C5A">
        <w:rPr>
          <w:rFonts w:ascii="Gill Sans MT" w:hAnsi="Gill Sans MT"/>
          <w:sz w:val="24"/>
          <w:szCs w:val="24"/>
        </w:rPr>
        <w:t xml:space="preserve">The density functions in </w:t>
      </w:r>
      <w:r>
        <w:rPr>
          <w:rFonts w:ascii="Gill Sans MT" w:hAnsi="Gill Sans MT"/>
          <w:sz w:val="24"/>
          <w:szCs w:val="24"/>
        </w:rPr>
        <w:t>figure 4</w:t>
      </w:r>
      <w:r w:rsidRPr="001D4C5A">
        <w:rPr>
          <w:rFonts w:ascii="Gill Sans MT" w:hAnsi="Gill Sans MT"/>
          <w:sz w:val="24"/>
          <w:szCs w:val="24"/>
        </w:rPr>
        <w:t xml:space="preserve"> are indicative of how many farmers would find it beneficial to use each of the agronomic practices</w:t>
      </w:r>
      <w:r w:rsidR="0050789E">
        <w:rPr>
          <w:rFonts w:ascii="Gill Sans MT" w:hAnsi="Gill Sans MT"/>
          <w:sz w:val="24"/>
          <w:szCs w:val="24"/>
        </w:rPr>
        <w:t xml:space="preserve">. </w:t>
      </w:r>
      <w:proofErr w:type="gramStart"/>
      <w:r w:rsidR="0050789E">
        <w:rPr>
          <w:rFonts w:ascii="Gill Sans MT" w:hAnsi="Gill Sans MT"/>
          <w:sz w:val="24"/>
          <w:szCs w:val="24"/>
        </w:rPr>
        <w:t>Indeed</w:t>
      </w:r>
      <w:proofErr w:type="gramEnd"/>
      <w:r w:rsidR="0050789E">
        <w:rPr>
          <w:rFonts w:ascii="Gill Sans MT" w:hAnsi="Gill Sans MT"/>
          <w:sz w:val="24"/>
          <w:szCs w:val="24"/>
        </w:rPr>
        <w:t xml:space="preserve"> this was demonstrated using the maximal </w:t>
      </w:r>
      <w:r w:rsidR="002D0A2F">
        <w:rPr>
          <w:rFonts w:ascii="Gill Sans MT" w:hAnsi="Gill Sans MT"/>
          <w:sz w:val="24"/>
          <w:szCs w:val="24"/>
        </w:rPr>
        <w:t>yield treatment choice in which treatment choices are clearly uniform across space</w:t>
      </w:r>
      <w:r w:rsidRPr="001D4C5A">
        <w:rPr>
          <w:rFonts w:ascii="Gill Sans MT" w:hAnsi="Gill Sans MT"/>
          <w:sz w:val="24"/>
          <w:szCs w:val="24"/>
        </w:rPr>
        <w:t xml:space="preserve">. </w:t>
      </w:r>
      <w:r w:rsidR="002D0A2F">
        <w:rPr>
          <w:rFonts w:ascii="Gill Sans MT" w:hAnsi="Gill Sans MT"/>
          <w:sz w:val="24"/>
          <w:szCs w:val="24"/>
        </w:rPr>
        <w:t xml:space="preserve">However, the social decision maker may be interested in an objective of maximizing the benefits across the </w:t>
      </w:r>
      <w:r w:rsidR="006E53BC">
        <w:rPr>
          <w:rFonts w:ascii="Gill Sans MT" w:hAnsi="Gill Sans MT"/>
          <w:sz w:val="24"/>
          <w:szCs w:val="24"/>
        </w:rPr>
        <w:t xml:space="preserve">eastern IGP and how to implement that strategy for new farmers. </w:t>
      </w:r>
    </w:p>
    <w:p w14:paraId="1B9335E3" w14:textId="09542CFF"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7D1056">
        <w:rPr>
          <w:rFonts w:ascii="Gill Sans MT" w:hAnsi="Gill Sans MT"/>
          <w:sz w:val="24"/>
          <w:szCs w:val="24"/>
        </w:rPr>
        <w:t>6</w:t>
      </w:r>
      <w:r>
        <w:rPr>
          <w:rFonts w:ascii="Gill Sans MT" w:hAnsi="Gill Sans MT"/>
          <w:sz w:val="24"/>
          <w:szCs w:val="24"/>
        </w:rPr>
        <w:t xml:space="preserve"> </w:t>
      </w:r>
      <w:r w:rsidRPr="001D4C5A">
        <w:rPr>
          <w:rFonts w:ascii="Gill Sans MT" w:hAnsi="Gill Sans MT"/>
          <w:sz w:val="24"/>
          <w:szCs w:val="24"/>
        </w:rPr>
        <w:t>shows the proportion of farmers who can be assigned to each of the interventions</w:t>
      </w:r>
      <w:r>
        <w:rPr>
          <w:rFonts w:ascii="Gill Sans MT" w:hAnsi="Gill Sans MT"/>
          <w:sz w:val="24"/>
          <w:szCs w:val="24"/>
        </w:rPr>
        <w:t xml:space="preserve"> using policy tree optimization. For weed management, figure </w:t>
      </w:r>
      <w:r w:rsidR="0050789E">
        <w:rPr>
          <w:rFonts w:ascii="Gill Sans MT" w:hAnsi="Gill Sans MT"/>
          <w:sz w:val="24"/>
          <w:szCs w:val="24"/>
        </w:rPr>
        <w:t>6</w:t>
      </w:r>
      <w:r>
        <w:rPr>
          <w:rFonts w:ascii="Gill Sans MT" w:hAnsi="Gill Sans MT"/>
          <w:sz w:val="24"/>
          <w:szCs w:val="24"/>
        </w:rPr>
        <w:t xml:space="preserve"> panel (a) shows that the optimal transitions for yield gains are to apply broad spectrum herbicides especially </w:t>
      </w:r>
      <w:proofErr w:type="spellStart"/>
      <w:r>
        <w:rPr>
          <w:rFonts w:ascii="Gill Sans MT" w:hAnsi="Gill Sans MT"/>
          <w:sz w:val="24"/>
          <w:szCs w:val="24"/>
        </w:rPr>
        <w:t>Sulfosulfuron+Metsulfuron</w:t>
      </w:r>
      <w:proofErr w:type="spellEnd"/>
      <w:r>
        <w:rPr>
          <w:rFonts w:ascii="Gill Sans MT" w:hAnsi="Gill Sans MT"/>
          <w:sz w:val="24"/>
          <w:szCs w:val="24"/>
        </w:rPr>
        <w:t xml:space="preserve"> (55%) followed by 24-D (32%) and combined manual and herbicides (13%). </w:t>
      </w:r>
    </w:p>
    <w:p w14:paraId="798705FA" w14:textId="77777777" w:rsidR="00936246" w:rsidRDefault="00936246" w:rsidP="00936246">
      <w:pPr>
        <w:jc w:val="both"/>
        <w:rPr>
          <w:rFonts w:ascii="Gill Sans MT" w:hAnsi="Gill Sans MT"/>
          <w:sz w:val="24"/>
          <w:szCs w:val="24"/>
        </w:rPr>
      </w:pPr>
      <w:r>
        <w:rPr>
          <w:rFonts w:ascii="Gill Sans MT" w:hAnsi="Gill Sans MT"/>
          <w:sz w:val="24"/>
          <w:szCs w:val="24"/>
        </w:rPr>
        <w:t>In the case of sowing dates, farmers are advised to sow early, i.e., between 1-10 Nov for 73% of the farmers and between 11-20</w:t>
      </w:r>
      <w:r w:rsidRPr="00B54FE0">
        <w:rPr>
          <w:rFonts w:ascii="Gill Sans MT" w:hAnsi="Gill Sans MT"/>
          <w:sz w:val="24"/>
          <w:szCs w:val="24"/>
          <w:vertAlign w:val="superscript"/>
        </w:rPr>
        <w:t>th</w:t>
      </w:r>
      <w:r>
        <w:rPr>
          <w:rFonts w:ascii="Gill Sans MT" w:hAnsi="Gill Sans MT"/>
          <w:sz w:val="24"/>
          <w:szCs w:val="24"/>
        </w:rPr>
        <w:t xml:space="preserve"> Nov for 27% of the farmers. </w:t>
      </w:r>
    </w:p>
    <w:p w14:paraId="4BFD30B8" w14:textId="77777777" w:rsidR="00936246" w:rsidRDefault="00936246" w:rsidP="00936246">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having to shift from about 3 or less irrigations to four irrigations (98%). </w:t>
      </w:r>
    </w:p>
    <w:p w14:paraId="4B42E812" w14:textId="77777777" w:rsidR="00936246" w:rsidRDefault="00936246" w:rsidP="00936246">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Pr>
          <w:rFonts w:ascii="Gill Sans MT" w:hAnsi="Gill Sans MT"/>
          <w:sz w:val="24"/>
          <w:szCs w:val="24"/>
        </w:rPr>
        <w:t>43</w:t>
      </w:r>
      <w:r w:rsidRPr="00326324">
        <w:rPr>
          <w:rFonts w:ascii="Gill Sans MT" w:hAnsi="Gill Sans MT"/>
          <w:sz w:val="24"/>
          <w:szCs w:val="24"/>
        </w:rPr>
        <w:t xml:space="preserve">%) AND </w:t>
      </w:r>
      <w:r>
        <w:rPr>
          <w:rFonts w:ascii="Gill Sans MT" w:hAnsi="Gill Sans MT"/>
          <w:sz w:val="24"/>
          <w:szCs w:val="24"/>
        </w:rPr>
        <w:t>HD 2733</w:t>
      </w:r>
      <w:r w:rsidRPr="00326324">
        <w:rPr>
          <w:rFonts w:ascii="Gill Sans MT" w:hAnsi="Gill Sans MT"/>
          <w:sz w:val="24"/>
          <w:szCs w:val="24"/>
        </w:rPr>
        <w:t xml:space="preserve"> (</w:t>
      </w:r>
      <w:r>
        <w:rPr>
          <w:rFonts w:ascii="Gill Sans MT" w:hAnsi="Gill Sans MT"/>
          <w:sz w:val="24"/>
          <w:szCs w:val="24"/>
        </w:rPr>
        <w:t>5</w:t>
      </w:r>
      <w:r w:rsidRPr="00326324">
        <w:rPr>
          <w:rFonts w:ascii="Gill Sans MT" w:hAnsi="Gill Sans MT"/>
          <w:sz w:val="24"/>
          <w:szCs w:val="24"/>
        </w:rPr>
        <w:t xml:space="preserve">%). </w:t>
      </w:r>
    </w:p>
    <w:p w14:paraId="1870E1D7" w14:textId="77777777" w:rsidR="00936246" w:rsidRDefault="00936246" w:rsidP="00936246">
      <w:pPr>
        <w:jc w:val="both"/>
        <w:rPr>
          <w:rFonts w:ascii="Gill Sans MT" w:hAnsi="Gill Sans MT"/>
          <w:sz w:val="24"/>
          <w:szCs w:val="24"/>
        </w:rPr>
      </w:pPr>
      <w:r>
        <w:rPr>
          <w:rFonts w:ascii="Gill Sans MT" w:hAnsi="Gill Sans MT"/>
          <w:noProof/>
          <w:sz w:val="24"/>
          <w:szCs w:val="24"/>
        </w:rPr>
        <w:lastRenderedPageBreak/>
        <w:drawing>
          <wp:inline distT="0" distB="0" distL="0" distR="0" wp14:anchorId="0EFC80CC" wp14:editId="07E5DCD1">
            <wp:extent cx="6012000" cy="3438074"/>
            <wp:effectExtent l="0" t="0" r="8255" b="0"/>
            <wp:docPr id="1517063162" name="Picture 15170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3D94C2A8" w14:textId="437B0404"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3674BB">
        <w:rPr>
          <w:rFonts w:ascii="Gill Sans MT" w:hAnsi="Gill Sans MT"/>
          <w:sz w:val="24"/>
          <w:szCs w:val="24"/>
        </w:rPr>
        <w:t>6</w:t>
      </w:r>
      <w:r>
        <w:rPr>
          <w:rFonts w:ascii="Gill Sans MT" w:hAnsi="Gill Sans MT"/>
          <w:sz w:val="24"/>
          <w:szCs w:val="24"/>
        </w:rPr>
        <w:t>: Optimal transition from status quo practices to optimal practices</w:t>
      </w:r>
    </w:p>
    <w:p w14:paraId="3130502A" w14:textId="77777777" w:rsidR="00936246" w:rsidRPr="00EB02F6" w:rsidRDefault="00936246" w:rsidP="00EB02F6"/>
    <w:p w14:paraId="72094ECF" w14:textId="4C0E5411"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sidR="003674BB">
        <w:rPr>
          <w:rFonts w:ascii="Gill Sans MT" w:hAnsi="Gill Sans MT"/>
          <w:sz w:val="24"/>
          <w:szCs w:val="24"/>
        </w:rPr>
        <w:t>7</w:t>
      </w:r>
      <w:r>
        <w:rPr>
          <w:rFonts w:ascii="Gill Sans MT" w:hAnsi="Gill Sans MT"/>
          <w:sz w:val="24"/>
          <w:szCs w:val="24"/>
        </w:rPr>
        <w:t xml:space="preserve">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2E66E023"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431D6F">
        <w:rPr>
          <w:rFonts w:ascii="Gill Sans MT" w:hAnsi="Gill Sans MT"/>
          <w:sz w:val="24"/>
          <w:szCs w:val="24"/>
        </w:rPr>
        <w:t>6</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3674BB">
        <w:rPr>
          <w:rFonts w:ascii="Gill Sans MT" w:hAnsi="Gill Sans MT"/>
          <w:sz w:val="24"/>
          <w:szCs w:val="24"/>
        </w:rPr>
        <w:t>7</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3BB17016"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431D6F">
        <w:rPr>
          <w:rFonts w:ascii="Gill Sans MT" w:hAnsi="Gill Sans MT"/>
          <w:sz w:val="24"/>
          <w:szCs w:val="24"/>
        </w:rPr>
        <w:t>7</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2125DFE0"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431D6F">
        <w:rPr>
          <w:rFonts w:ascii="Gill Sans MT" w:hAnsi="Gill Sans MT"/>
          <w:sz w:val="24"/>
          <w:szCs w:val="24"/>
        </w:rPr>
        <w:t>8</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0D36C811">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50A4CB9"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431D6F">
        <w:rPr>
          <w:rFonts w:ascii="Gill Sans MT" w:hAnsi="Gill Sans MT"/>
          <w:sz w:val="24"/>
          <w:szCs w:val="24"/>
        </w:rPr>
        <w:t>9</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2C52F19" w14:textId="77777777" w:rsidR="000C52E0" w:rsidRDefault="000C52E0"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6DEAADA3" w:rsidR="000C52E0" w:rsidRDefault="000C52E0" w:rsidP="000C52E0">
      <w:pPr>
        <w:jc w:val="both"/>
      </w:pPr>
      <w:r>
        <w:t>This</w:t>
      </w:r>
      <w:r w:rsidR="00A6238B">
        <w:t xml:space="preserve"> paper </w:t>
      </w:r>
      <w:r>
        <w:t>was prepared with support from the Bill and Melinda Gates Foundation through the Cereal Systems Initiative for South Asia (CSISA) and the Excellence in Agronomy Initiative</w:t>
      </w:r>
      <w:r w:rsidR="00D45B0E">
        <w:t xml:space="preserve"> (</w:t>
      </w:r>
      <w:proofErr w:type="spellStart"/>
      <w:proofErr w:type="gramStart"/>
      <w:r w:rsidR="00D45B0E">
        <w:t>EiA</w:t>
      </w:r>
      <w:proofErr w:type="spellEnd"/>
      <w:r w:rsidR="00D45B0E">
        <w:t>(</w:t>
      </w:r>
      <w:proofErr w:type="gramEnd"/>
      <w:r>
        <w:t xml:space="preserve">. We thank all the CSISA field teams who supported the collection of the Landscape Diagnostic Survey (LDS). We also 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lastRenderedPageBreak/>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1"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2"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3"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4"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5"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6"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7"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8"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9"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30"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lastRenderedPageBreak/>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1"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23"/>
      <w:r>
        <w:t>Table A1: Descriptive statistics</w:t>
      </w:r>
      <w:commentRangeEnd w:id="23"/>
      <w:r w:rsidR="00F278A9">
        <w:rPr>
          <w:rStyle w:val="CommentReference"/>
        </w:rPr>
        <w:commentReference w:id="23"/>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2"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23"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45B5E" w14:textId="77777777" w:rsidR="00130B0F" w:rsidRDefault="00130B0F" w:rsidP="003F0F23">
      <w:pPr>
        <w:spacing w:after="0" w:line="240" w:lineRule="auto"/>
      </w:pPr>
      <w:r>
        <w:separator/>
      </w:r>
    </w:p>
  </w:endnote>
  <w:endnote w:type="continuationSeparator" w:id="0">
    <w:p w14:paraId="3E34E9AC" w14:textId="77777777" w:rsidR="00130B0F" w:rsidRDefault="00130B0F"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5B6BF" w14:textId="77777777" w:rsidR="00130B0F" w:rsidRDefault="00130B0F" w:rsidP="003F0F23">
      <w:pPr>
        <w:spacing w:after="0" w:line="240" w:lineRule="auto"/>
      </w:pPr>
      <w:r>
        <w:separator/>
      </w:r>
    </w:p>
  </w:footnote>
  <w:footnote w:type="continuationSeparator" w:id="0">
    <w:p w14:paraId="1DB68D82" w14:textId="77777777" w:rsidR="00130B0F" w:rsidRDefault="00130B0F"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654"/>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27B7"/>
    <w:rsid w:val="000A47E8"/>
    <w:rsid w:val="000A6296"/>
    <w:rsid w:val="000B3A36"/>
    <w:rsid w:val="000C0DC7"/>
    <w:rsid w:val="000C1CDC"/>
    <w:rsid w:val="000C3604"/>
    <w:rsid w:val="000C44A3"/>
    <w:rsid w:val="000C52E0"/>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E37"/>
    <w:rsid w:val="00123F6A"/>
    <w:rsid w:val="00123F80"/>
    <w:rsid w:val="00124A0C"/>
    <w:rsid w:val="00126DA3"/>
    <w:rsid w:val="001276EA"/>
    <w:rsid w:val="00130B0F"/>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96A"/>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3B04"/>
    <w:rsid w:val="002564B2"/>
    <w:rsid w:val="00260473"/>
    <w:rsid w:val="00260764"/>
    <w:rsid w:val="002609EC"/>
    <w:rsid w:val="00260B7F"/>
    <w:rsid w:val="00261B25"/>
    <w:rsid w:val="0026210B"/>
    <w:rsid w:val="00265894"/>
    <w:rsid w:val="00265CE7"/>
    <w:rsid w:val="002660CC"/>
    <w:rsid w:val="00271439"/>
    <w:rsid w:val="00272417"/>
    <w:rsid w:val="00273218"/>
    <w:rsid w:val="00273581"/>
    <w:rsid w:val="0027428E"/>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0A2F"/>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674BB"/>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2E98"/>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1D6F"/>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2D1E"/>
    <w:rsid w:val="004636DF"/>
    <w:rsid w:val="00465186"/>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1639"/>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19B6"/>
    <w:rsid w:val="004F51C3"/>
    <w:rsid w:val="004F5A1C"/>
    <w:rsid w:val="004F6DA6"/>
    <w:rsid w:val="0050251E"/>
    <w:rsid w:val="0050653B"/>
    <w:rsid w:val="0050789E"/>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537B"/>
    <w:rsid w:val="00577312"/>
    <w:rsid w:val="00577628"/>
    <w:rsid w:val="005809CA"/>
    <w:rsid w:val="0058144B"/>
    <w:rsid w:val="0058477E"/>
    <w:rsid w:val="00584AE2"/>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5B3"/>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6A45"/>
    <w:rsid w:val="00647434"/>
    <w:rsid w:val="00647E38"/>
    <w:rsid w:val="006509BC"/>
    <w:rsid w:val="006519F6"/>
    <w:rsid w:val="006556C8"/>
    <w:rsid w:val="0066052A"/>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3BC"/>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1056"/>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53BB"/>
    <w:rsid w:val="009175DF"/>
    <w:rsid w:val="0092190A"/>
    <w:rsid w:val="0092388D"/>
    <w:rsid w:val="009271CA"/>
    <w:rsid w:val="00927627"/>
    <w:rsid w:val="009276AD"/>
    <w:rsid w:val="00931419"/>
    <w:rsid w:val="0093191E"/>
    <w:rsid w:val="009330F1"/>
    <w:rsid w:val="009345F9"/>
    <w:rsid w:val="00934C6A"/>
    <w:rsid w:val="00935D17"/>
    <w:rsid w:val="00936246"/>
    <w:rsid w:val="0094171D"/>
    <w:rsid w:val="00951F9C"/>
    <w:rsid w:val="00951FEB"/>
    <w:rsid w:val="00954784"/>
    <w:rsid w:val="00954F63"/>
    <w:rsid w:val="00956197"/>
    <w:rsid w:val="00962595"/>
    <w:rsid w:val="00964693"/>
    <w:rsid w:val="00966CB3"/>
    <w:rsid w:val="00971826"/>
    <w:rsid w:val="00972824"/>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238B"/>
    <w:rsid w:val="00A65C2D"/>
    <w:rsid w:val="00A660E2"/>
    <w:rsid w:val="00A66A1C"/>
    <w:rsid w:val="00A73B39"/>
    <w:rsid w:val="00A752C0"/>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39DA"/>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6990"/>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B6B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45B0E"/>
    <w:rsid w:val="00D50266"/>
    <w:rsid w:val="00D53017"/>
    <w:rsid w:val="00D5505C"/>
    <w:rsid w:val="00D6131B"/>
    <w:rsid w:val="00D643EB"/>
    <w:rsid w:val="00D6460D"/>
    <w:rsid w:val="00D73306"/>
    <w:rsid w:val="00D75505"/>
    <w:rsid w:val="00D77B70"/>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02F6"/>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1921"/>
    <w:rsid w:val="00FB43ED"/>
    <w:rsid w:val="00FB7E86"/>
    <w:rsid w:val="00FC05C8"/>
    <w:rsid w:val="00FC79FF"/>
    <w:rsid w:val="00FD02E4"/>
    <w:rsid w:val="00FD1166"/>
    <w:rsid w:val="00FD489C"/>
    <w:rsid w:val="00FD4D1A"/>
    <w:rsid w:val="00FD7EC5"/>
    <w:rsid w:val="00FE0364"/>
    <w:rsid w:val="00FE2111"/>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982/ECTA13288" TargetMode="External"/><Relationship Id="rId3" Type="http://schemas.openxmlformats.org/officeDocument/2006/relationships/styles" Target="styles.xml"/><Relationship Id="rId21" Type="http://schemas.openxmlformats.org/officeDocument/2006/relationships/hyperlink" Target="https://doi.org/10.1111/ajae.1225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ompag.2022.10716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3593-021-006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93/ije/dyad037"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11/agec.12336" TargetMode="External"/><Relationship Id="rId28" Type="http://schemas.openxmlformats.org/officeDocument/2006/relationships/hyperlink" Target="https://doi.org/10.3389/fpls.2014.00344"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287/opre.2022.227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016/j.agsy.2015.05.007" TargetMode="External"/><Relationship Id="rId30" Type="http://schemas.openxmlformats.org/officeDocument/2006/relationships/hyperlink" Target="https://doi.org/10.1080/01621459.2017.1319839"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5705</TotalTime>
  <Pages>17</Pages>
  <Words>4187</Words>
  <Characters>23870</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467</cp:revision>
  <dcterms:created xsi:type="dcterms:W3CDTF">2023-06-15T18:39:00Z</dcterms:created>
  <dcterms:modified xsi:type="dcterms:W3CDTF">2023-11-14T16:59:00Z</dcterms:modified>
</cp:coreProperties>
</file>