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7EEC" w14:textId="7A1205E0" w:rsidR="00B50375" w:rsidRPr="00B722A8" w:rsidRDefault="00B50375" w:rsidP="00B722A8">
      <w:pPr>
        <w:jc w:val="center"/>
        <w:rPr>
          <w:b/>
          <w:bCs/>
          <w:lang w:val="en-US"/>
        </w:rPr>
      </w:pPr>
      <w:r w:rsidRPr="00B7425A">
        <w:rPr>
          <w:b/>
          <w:bCs/>
          <w:lang w:val="en-US"/>
        </w:rPr>
        <w:t>Lecture notes:</w:t>
      </w:r>
      <w:r w:rsidR="00B722A8">
        <w:rPr>
          <w:b/>
          <w:bCs/>
          <w:lang w:val="en-US"/>
        </w:rPr>
        <w:t xml:space="preserve"> </w:t>
      </w:r>
      <w:r w:rsidRPr="00B7425A">
        <w:rPr>
          <w:b/>
          <w:bCs/>
        </w:rPr>
        <w:t>Causal Inference using Machine Learning</w:t>
      </w:r>
      <w:r w:rsidR="00DB76CC">
        <w:rPr>
          <w:b/>
          <w:bCs/>
        </w:rPr>
        <w:t xml:space="preserve"> for Agricultural Policy </w:t>
      </w:r>
      <w:r w:rsidR="002741A0">
        <w:rPr>
          <w:b/>
          <w:bCs/>
        </w:rPr>
        <w:t>Making</w:t>
      </w:r>
    </w:p>
    <w:p w14:paraId="6541F237" w14:textId="6944F602" w:rsidR="00B50375" w:rsidRDefault="00B50375" w:rsidP="00B7425A">
      <w:pPr>
        <w:jc w:val="center"/>
      </w:pPr>
      <w:r>
        <w:t xml:space="preserve">Maxwell </w:t>
      </w:r>
      <w:proofErr w:type="spellStart"/>
      <w:r>
        <w:t>Mkondiwa,</w:t>
      </w:r>
      <w:proofErr w:type="spellEnd"/>
      <w:r>
        <w:t xml:space="preserve"> PhD</w:t>
      </w:r>
    </w:p>
    <w:p w14:paraId="008F3AFA" w14:textId="4ED41B30" w:rsidR="00B50375" w:rsidRDefault="00B50375" w:rsidP="00B7425A">
      <w:pPr>
        <w:jc w:val="center"/>
      </w:pPr>
      <w:r>
        <w:t xml:space="preserve">International Maize and Wheat Improvement </w:t>
      </w:r>
      <w:proofErr w:type="spellStart"/>
      <w:r>
        <w:t>Center</w:t>
      </w:r>
      <w:proofErr w:type="spellEnd"/>
      <w:r>
        <w:t xml:space="preserve"> (CIMMYT)</w:t>
      </w:r>
      <w:r w:rsidR="00D160D7">
        <w:t>, New Delhi</w:t>
      </w:r>
    </w:p>
    <w:p w14:paraId="222D85AF" w14:textId="32922882" w:rsidR="00B50375" w:rsidRDefault="00B50375" w:rsidP="00B7425A">
      <w:pPr>
        <w:jc w:val="center"/>
      </w:pPr>
      <w:r>
        <w:t xml:space="preserve">Email: </w:t>
      </w:r>
      <w:hyperlink r:id="rId7" w:history="1">
        <w:r w:rsidRPr="009E087F">
          <w:rPr>
            <w:rStyle w:val="Hyperlink"/>
          </w:rPr>
          <w:t>m.mkondiwa@cgiar.org</w:t>
        </w:r>
      </w:hyperlink>
    </w:p>
    <w:p w14:paraId="0D12828A" w14:textId="57B382BA" w:rsidR="00B50375" w:rsidRDefault="00B7425A" w:rsidP="00B7425A">
      <w:pPr>
        <w:pStyle w:val="Heading1"/>
      </w:pPr>
      <w:r>
        <w:t>Summary</w:t>
      </w:r>
    </w:p>
    <w:p w14:paraId="671A7FDD" w14:textId="25C8FB54" w:rsidR="00B7425A" w:rsidRDefault="000918A9" w:rsidP="00F22E30">
      <w:pPr>
        <w:jc w:val="both"/>
      </w:pPr>
      <w:r>
        <w:t xml:space="preserve">This course module provides a primer to causal inference using machine learning for </w:t>
      </w:r>
      <w:r w:rsidR="00623B8F">
        <w:t xml:space="preserve">targeted or personalized </w:t>
      </w:r>
      <w:r>
        <w:t>agricultural policy making. The causal machine learning (Causal ML) toolkit allows targeting of agricultural interventions to</w:t>
      </w:r>
      <w:r w:rsidR="00FC4143">
        <w:t xml:space="preserve"> </w:t>
      </w:r>
      <w:r w:rsidR="00B82B01">
        <w:t>locations</w:t>
      </w:r>
      <w:r w:rsidR="00FC4143">
        <w:t xml:space="preserve"> and farmers. </w:t>
      </w:r>
      <w:r w:rsidR="00287361">
        <w:t xml:space="preserve">This </w:t>
      </w:r>
      <w:r w:rsidR="00A9203B">
        <w:t>is accomplished through</w:t>
      </w:r>
      <w:r w:rsidR="00287361">
        <w:t xml:space="preserve"> </w:t>
      </w:r>
      <w:r w:rsidR="00B82B01">
        <w:t xml:space="preserve">heterogeneous effects analysis and </w:t>
      </w:r>
      <w:r w:rsidR="00FE48CF">
        <w:t>“</w:t>
      </w:r>
      <w:r w:rsidR="00B82B01">
        <w:t>personalized</w:t>
      </w:r>
      <w:r w:rsidR="00FE48CF">
        <w:t>”</w:t>
      </w:r>
      <w:r w:rsidR="00B82B01">
        <w:t xml:space="preserve"> </w:t>
      </w:r>
      <w:r w:rsidR="00287361">
        <w:t xml:space="preserve">policy </w:t>
      </w:r>
      <w:r w:rsidR="003A029F">
        <w:t>learning</w:t>
      </w:r>
      <w:r w:rsidR="00287361">
        <w:t>.</w:t>
      </w:r>
      <w:r w:rsidR="00FE48CF">
        <w:t xml:space="preserve"> </w:t>
      </w:r>
      <w:r w:rsidR="003A029F">
        <w:t>We</w:t>
      </w:r>
      <w:r w:rsidR="00FE48CF">
        <w:t xml:space="preserve"> will focu</w:t>
      </w:r>
      <w:r w:rsidR="003A029F">
        <w:t>s</w:t>
      </w:r>
      <w:r w:rsidR="00FE48CF">
        <w:t xml:space="preserve"> on </w:t>
      </w:r>
      <w:r w:rsidR="00F22E30">
        <w:t>applications in the agricultural sector especially in developing countries</w:t>
      </w:r>
      <w:r w:rsidR="008F0358">
        <w:t xml:space="preserve"> though the methods have had successful applications in personalized medicine and personalized marketing</w:t>
      </w:r>
      <w:r w:rsidR="00F22E30">
        <w:t xml:space="preserve">. </w:t>
      </w:r>
    </w:p>
    <w:p w14:paraId="011D59B7" w14:textId="37933308" w:rsidR="00B7425A" w:rsidRDefault="007D501A" w:rsidP="007D501A">
      <w:pPr>
        <w:pStyle w:val="Heading1"/>
      </w:pPr>
      <w:r>
        <w:t xml:space="preserve">1. </w:t>
      </w:r>
      <w:r w:rsidR="00B7425A">
        <w:t xml:space="preserve">Introduction </w:t>
      </w:r>
    </w:p>
    <w:p w14:paraId="2184DE05" w14:textId="1184CE67" w:rsidR="004B5EA4" w:rsidRDefault="004B5EA4" w:rsidP="007A0ECE">
      <w:pPr>
        <w:jc w:val="both"/>
        <w:rPr>
          <w:lang w:val="en-US"/>
        </w:rPr>
      </w:pPr>
      <w:r>
        <w:rPr>
          <w:lang w:val="en-US"/>
        </w:rPr>
        <w:t xml:space="preserve">The tradition of agricultural statistics and the design of experiments which was started by R.A. Fisher has helped in the development of better agricultural production practices. These were aimed at establishing the cause and effect of a specific agricultural practice. In recent years, due to the increased availability of data and the efficiency of computers, machine learning approaches have </w:t>
      </w:r>
      <w:r w:rsidR="001954A2">
        <w:rPr>
          <w:lang w:val="en-US"/>
        </w:rPr>
        <w:t>advanced</w:t>
      </w:r>
      <w:r>
        <w:rPr>
          <w:lang w:val="en-US"/>
        </w:rPr>
        <w:t xml:space="preserve"> </w:t>
      </w:r>
      <w:r w:rsidR="001D7E66">
        <w:rPr>
          <w:lang w:val="en-US"/>
        </w:rPr>
        <w:t xml:space="preserve">in terms of </w:t>
      </w:r>
      <w:r>
        <w:rPr>
          <w:lang w:val="en-US"/>
        </w:rPr>
        <w:t xml:space="preserve">better prediction. </w:t>
      </w:r>
      <w:proofErr w:type="spellStart"/>
      <w:r w:rsidRPr="00C912DF">
        <w:rPr>
          <w:lang w:val="en-US"/>
        </w:rPr>
        <w:t>Breiman</w:t>
      </w:r>
      <w:proofErr w:type="spellEnd"/>
      <w:r w:rsidRPr="00C912DF">
        <w:rPr>
          <w:lang w:val="en-US"/>
        </w:rPr>
        <w:t xml:space="preserve"> (2001) called</w:t>
      </w:r>
      <w:r>
        <w:rPr>
          <w:lang w:val="en-US"/>
        </w:rPr>
        <w:t xml:space="preserve"> the causal inference tradition of R.A. Fisher and prediction approaches the “Two cultures” of statistical modeling. In recent years, a growing literature has proposed a third culture called causal machine learning which integrates the best of </w:t>
      </w:r>
      <w:proofErr w:type="spellStart"/>
      <w:r>
        <w:rPr>
          <w:lang w:val="en-US"/>
        </w:rPr>
        <w:t>Breiman’s</w:t>
      </w:r>
      <w:proofErr w:type="spellEnd"/>
      <w:r>
        <w:rPr>
          <w:lang w:val="en-US"/>
        </w:rPr>
        <w:t xml:space="preserve"> two cultures. Parallel to the causal machine learning paradigm is the knowledge guided machine learning (KGML) (e.g., Liu et al 2022) which integrates mechanistic models and machine learning models. </w:t>
      </w:r>
      <w:r w:rsidR="004376E0">
        <w:rPr>
          <w:lang w:val="en-US"/>
        </w:rPr>
        <w:t>For economists, you may consider the “knowledge”</w:t>
      </w:r>
      <w:r w:rsidR="00F9207C">
        <w:rPr>
          <w:lang w:val="en-US"/>
        </w:rPr>
        <w:t xml:space="preserve"> or “causal” part as derived from economic theory (e.g., demand and supply)</w:t>
      </w:r>
      <w:r w:rsidR="009F741E">
        <w:rPr>
          <w:lang w:val="en-US"/>
        </w:rPr>
        <w:t>, behavior and real-world mechanisms.</w:t>
      </w:r>
      <w:r w:rsidR="00FA2047">
        <w:rPr>
          <w:lang w:val="en-US"/>
        </w:rPr>
        <w:t xml:space="preserve"> It is what Bruce Gardner </w:t>
      </w:r>
      <w:r w:rsidR="00776749">
        <w:rPr>
          <w:lang w:val="en-US"/>
        </w:rPr>
        <w:t>(</w:t>
      </w:r>
      <w:r w:rsidR="00BD4900">
        <w:rPr>
          <w:lang w:val="en-US"/>
        </w:rPr>
        <w:t xml:space="preserve">Gardner </w:t>
      </w:r>
      <w:r w:rsidR="00776749">
        <w:rPr>
          <w:lang w:val="en-US"/>
        </w:rPr>
        <w:t xml:space="preserve">1992, AAEA </w:t>
      </w:r>
      <w:r w:rsidR="008A6B46">
        <w:rPr>
          <w:lang w:val="en-US"/>
        </w:rPr>
        <w:t>f</w:t>
      </w:r>
      <w:r w:rsidR="00D276ED">
        <w:rPr>
          <w:lang w:val="en-US"/>
        </w:rPr>
        <w:t xml:space="preserve">ellow’s </w:t>
      </w:r>
      <w:r w:rsidR="008A6B46">
        <w:rPr>
          <w:lang w:val="en-US"/>
        </w:rPr>
        <w:t>l</w:t>
      </w:r>
      <w:r w:rsidR="00776749">
        <w:rPr>
          <w:lang w:val="en-US"/>
        </w:rPr>
        <w:t>ecture) called “</w:t>
      </w:r>
      <w:proofErr w:type="spellStart"/>
      <w:r w:rsidR="00776749">
        <w:rPr>
          <w:lang w:val="en-US"/>
        </w:rPr>
        <w:t>Facto</w:t>
      </w:r>
      <w:r w:rsidR="00F150D5">
        <w:rPr>
          <w:lang w:val="en-US"/>
        </w:rPr>
        <w:t>logy</w:t>
      </w:r>
      <w:proofErr w:type="spellEnd"/>
      <w:r w:rsidR="00776749">
        <w:rPr>
          <w:lang w:val="en-US"/>
        </w:rPr>
        <w:t>”</w:t>
      </w:r>
      <w:r w:rsidR="00096334">
        <w:rPr>
          <w:lang w:val="en-US"/>
        </w:rPr>
        <w:t xml:space="preserve"> to warn that </w:t>
      </w:r>
      <w:r w:rsidR="007A0ECE">
        <w:rPr>
          <w:lang w:val="en-US"/>
        </w:rPr>
        <w:t>data are not facts</w:t>
      </w:r>
      <w:r w:rsidR="00F150D5">
        <w:rPr>
          <w:lang w:val="en-US"/>
        </w:rPr>
        <w:t xml:space="preserve">. </w:t>
      </w:r>
      <w:r w:rsidR="00FA2047">
        <w:rPr>
          <w:lang w:val="en-US"/>
        </w:rPr>
        <w:t>This is the basic</w:t>
      </w:r>
      <w:r w:rsidR="00F150D5">
        <w:rPr>
          <w:lang w:val="en-US"/>
        </w:rPr>
        <w:t xml:space="preserve"> ingredient</w:t>
      </w:r>
      <w:r w:rsidR="00FA2047">
        <w:rPr>
          <w:lang w:val="en-US"/>
        </w:rPr>
        <w:t xml:space="preserve"> for applying machine learning</w:t>
      </w:r>
      <w:r w:rsidR="00F150D5">
        <w:rPr>
          <w:lang w:val="en-US"/>
        </w:rPr>
        <w:t xml:space="preserve"> algorithms</w:t>
      </w:r>
      <w:r w:rsidR="00FA2047">
        <w:rPr>
          <w:lang w:val="en-US"/>
        </w:rPr>
        <w:t xml:space="preserve">. </w:t>
      </w:r>
    </w:p>
    <w:p w14:paraId="014636AB" w14:textId="77777777" w:rsidR="004B5EA4" w:rsidRDefault="004B5EA4" w:rsidP="007A0ECE">
      <w:pPr>
        <w:jc w:val="both"/>
        <w:rPr>
          <w:lang w:val="en-US"/>
        </w:rPr>
      </w:pPr>
      <w:r>
        <w:rPr>
          <w:lang w:val="en-US"/>
        </w:rPr>
        <w:t xml:space="preserve">These three cultures, however, just provide an assessment of the technological gains but do not provide decisions on what is best for that farmer or for society. Decision support tools and recommender systems are usually then used to guide farmers in taking the best choices. These can be simple like yield maximization, profit maximization, and risk minimization. Finally, there are tools that consider the complexity of the systems and the interrelatedness of farmer decisions, their environment, and trade mostly studied using system optimization models.  We argue that this framework (figure 2) can be </w:t>
      </w:r>
      <w:r>
        <w:rPr>
          <w:lang w:val="en-US"/>
        </w:rPr>
        <w:lastRenderedPageBreak/>
        <w:t xml:space="preserve">implemented in one integrated workflow of causal AI or knowledge guided machine learning (KGML) thereby propagating model uncertainty from causal inference, predictive, decision support and system optimization models. </w:t>
      </w:r>
    </w:p>
    <w:p w14:paraId="322E701E" w14:textId="77777777" w:rsidR="00C86A8F" w:rsidRDefault="00C86A8F" w:rsidP="00C86A8F">
      <w:pPr>
        <w:jc w:val="center"/>
        <w:rPr>
          <w:lang w:val="en-US"/>
        </w:rPr>
      </w:pPr>
      <w:r>
        <w:rPr>
          <w:noProof/>
          <w:lang w:val="en-US"/>
        </w:rPr>
        <w:drawing>
          <wp:inline distT="0" distB="0" distL="0" distR="0" wp14:anchorId="42C02B6D" wp14:editId="36454455">
            <wp:extent cx="5409282" cy="4049092"/>
            <wp:effectExtent l="0" t="0" r="1270" b="0"/>
            <wp:docPr id="452267138" name="Picture 3" descr="The image illustrates a conceptual framework for understanding complex systems, emphasizing causal inference, prediction models, decision support, and guided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67138" name="Picture 3" descr="The image illustrates a conceptual framework for understanding complex systems, emphasizing causal inference, prediction models, decision support, and guided machine learning.&#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1210" cy="4087962"/>
                    </a:xfrm>
                    <a:prstGeom prst="rect">
                      <a:avLst/>
                    </a:prstGeom>
                    <a:noFill/>
                  </pic:spPr>
                </pic:pic>
              </a:graphicData>
            </a:graphic>
          </wp:inline>
        </w:drawing>
      </w:r>
    </w:p>
    <w:p w14:paraId="3E6F9617" w14:textId="0868DED2" w:rsidR="00B7425A" w:rsidRPr="007A0ECE" w:rsidRDefault="00C86A8F">
      <w:pPr>
        <w:rPr>
          <w:lang w:val="en-US"/>
        </w:rPr>
      </w:pPr>
      <w:r>
        <w:rPr>
          <w:lang w:val="en-US"/>
        </w:rPr>
        <w:t>Figure 1: The five cultures in agricultural big data analytics</w:t>
      </w:r>
      <w:r w:rsidR="007A0ECE">
        <w:rPr>
          <w:lang w:val="en-US"/>
        </w:rPr>
        <w:t xml:space="preserve"> for policy making</w:t>
      </w:r>
      <w:r>
        <w:rPr>
          <w:lang w:val="en-US"/>
        </w:rPr>
        <w:t xml:space="preserve">. Source: </w:t>
      </w:r>
      <w:proofErr w:type="spellStart"/>
      <w:r w:rsidR="007A0ECE">
        <w:rPr>
          <w:lang w:val="en-US"/>
        </w:rPr>
        <w:t>Mkondiwa</w:t>
      </w:r>
      <w:proofErr w:type="spellEnd"/>
      <w:r w:rsidR="007A0ECE">
        <w:rPr>
          <w:lang w:val="en-US"/>
        </w:rPr>
        <w:t xml:space="preserve"> et al (2023)</w:t>
      </w:r>
      <w:r>
        <w:rPr>
          <w:lang w:val="en-US"/>
        </w:rPr>
        <w:t xml:space="preserve">. </w:t>
      </w:r>
    </w:p>
    <w:p w14:paraId="56EFF88C" w14:textId="080BA0E8" w:rsidR="00B50375" w:rsidRDefault="009810A6" w:rsidP="005D379D">
      <w:pPr>
        <w:pStyle w:val="Heading2"/>
      </w:pPr>
      <w:r>
        <w:t xml:space="preserve">1.1. </w:t>
      </w:r>
      <w:r w:rsidR="00B7425A">
        <w:t>Learning objectives</w:t>
      </w:r>
    </w:p>
    <w:p w14:paraId="6164367D" w14:textId="42968B14" w:rsidR="00F22E30" w:rsidRPr="00F22E30" w:rsidRDefault="00F22E30" w:rsidP="009810A6">
      <w:pPr>
        <w:jc w:val="both"/>
      </w:pPr>
      <w:r>
        <w:t xml:space="preserve">By the end of the lecture, </w:t>
      </w:r>
      <w:r w:rsidR="00E631AC">
        <w:t xml:space="preserve">participants should be able: </w:t>
      </w:r>
    </w:p>
    <w:p w14:paraId="2E6464DA" w14:textId="157DE817" w:rsidR="00B7425A" w:rsidRDefault="00B7425A" w:rsidP="009810A6">
      <w:pPr>
        <w:pStyle w:val="ListParagraph"/>
        <w:numPr>
          <w:ilvl w:val="0"/>
          <w:numId w:val="1"/>
        </w:numPr>
        <w:jc w:val="both"/>
      </w:pPr>
      <w:r>
        <w:t>To understand the advantages and disadvantages of using causal machine learning</w:t>
      </w:r>
      <w:r w:rsidR="00B83483">
        <w:t xml:space="preserve"> in policy impact assessments</w:t>
      </w:r>
      <w:r w:rsidR="009810A6">
        <w:t>.</w:t>
      </w:r>
    </w:p>
    <w:p w14:paraId="24BEBF7D" w14:textId="630B609A" w:rsidR="00774ED8" w:rsidRDefault="00774ED8" w:rsidP="009810A6">
      <w:pPr>
        <w:pStyle w:val="ListParagraph"/>
        <w:numPr>
          <w:ilvl w:val="0"/>
          <w:numId w:val="1"/>
        </w:numPr>
        <w:jc w:val="both"/>
      </w:pPr>
      <w:r>
        <w:t>To learn how to design a policy study and code the building blocks of a causal machine learning application using readily available data.</w:t>
      </w:r>
    </w:p>
    <w:p w14:paraId="6F0D2F5F" w14:textId="01AA78B0" w:rsidR="00B7425A" w:rsidRDefault="00B7425A" w:rsidP="009810A6">
      <w:pPr>
        <w:pStyle w:val="ListParagraph"/>
        <w:numPr>
          <w:ilvl w:val="0"/>
          <w:numId w:val="1"/>
        </w:numPr>
        <w:jc w:val="both"/>
      </w:pPr>
      <w:r>
        <w:t>To explore potential applications that learners can implement using various causal machine learning methods.</w:t>
      </w:r>
    </w:p>
    <w:p w14:paraId="39631845" w14:textId="4FDB72F0" w:rsidR="006C36C6" w:rsidRDefault="009810A6" w:rsidP="005D379D">
      <w:pPr>
        <w:pStyle w:val="Heading2"/>
      </w:pPr>
      <w:r>
        <w:t xml:space="preserve">1.2. </w:t>
      </w:r>
      <w:r w:rsidR="006C36C6">
        <w:t>Course contents</w:t>
      </w:r>
    </w:p>
    <w:p w14:paraId="7F99AF02" w14:textId="7841EAC4" w:rsidR="006C36C6" w:rsidRDefault="006C36C6" w:rsidP="009810A6">
      <w:pPr>
        <w:pStyle w:val="ListParagraph"/>
        <w:numPr>
          <w:ilvl w:val="0"/>
          <w:numId w:val="2"/>
        </w:numPr>
        <w:jc w:val="both"/>
      </w:pPr>
      <w:r>
        <w:t>Why machine learning and causal inference</w:t>
      </w:r>
      <w:r w:rsidR="00C47AAC">
        <w:t xml:space="preserve"> in agricultural policy making</w:t>
      </w:r>
      <w:r>
        <w:t>? Merits and demerits</w:t>
      </w:r>
      <w:r w:rsidR="009810A6">
        <w:t>.</w:t>
      </w:r>
    </w:p>
    <w:p w14:paraId="6157FF35" w14:textId="0C899F18" w:rsidR="006C36C6" w:rsidRDefault="006C36C6" w:rsidP="009810A6">
      <w:pPr>
        <w:pStyle w:val="ListParagraph"/>
        <w:numPr>
          <w:ilvl w:val="0"/>
          <w:numId w:val="2"/>
        </w:numPr>
        <w:jc w:val="both"/>
      </w:pPr>
      <w:r>
        <w:t xml:space="preserve">Theoretical rules of thumbs for </w:t>
      </w:r>
      <w:r w:rsidR="000B60FD">
        <w:t xml:space="preserve">applying </w:t>
      </w:r>
      <w:r>
        <w:t>causal machine learning</w:t>
      </w:r>
      <w:r w:rsidR="009810A6">
        <w:t>.</w:t>
      </w:r>
    </w:p>
    <w:p w14:paraId="2E21D3B1" w14:textId="705F960A" w:rsidR="006C36C6" w:rsidRDefault="006C36C6" w:rsidP="009810A6">
      <w:pPr>
        <w:pStyle w:val="ListParagraph"/>
        <w:numPr>
          <w:ilvl w:val="0"/>
          <w:numId w:val="2"/>
        </w:numPr>
        <w:jc w:val="both"/>
      </w:pPr>
      <w:r>
        <w:t>Applications of causal machine learning for agricultural policy analysis</w:t>
      </w:r>
      <w:r w:rsidR="009810A6">
        <w:t>.</w:t>
      </w:r>
    </w:p>
    <w:p w14:paraId="087DC9AA" w14:textId="2C05DDDA" w:rsidR="006C36C6" w:rsidRDefault="006C36C6" w:rsidP="009810A6">
      <w:pPr>
        <w:pStyle w:val="ListParagraph"/>
        <w:numPr>
          <w:ilvl w:val="0"/>
          <w:numId w:val="2"/>
        </w:numPr>
        <w:jc w:val="both"/>
      </w:pPr>
      <w:r>
        <w:lastRenderedPageBreak/>
        <w:t>Hands on training: Using causal machine learning in</w:t>
      </w:r>
      <w:r w:rsidR="000154DD">
        <w:t xml:space="preserve"> preferred software:</w:t>
      </w:r>
      <w:r>
        <w:t xml:space="preserve"> </w:t>
      </w:r>
      <w:r w:rsidR="000154DD">
        <w:t xml:space="preserve">R, python or </w:t>
      </w:r>
      <w:proofErr w:type="spellStart"/>
      <w:r w:rsidR="000154DD">
        <w:t>stata</w:t>
      </w:r>
      <w:proofErr w:type="spellEnd"/>
      <w:r w:rsidR="009810A6">
        <w:t>.</w:t>
      </w:r>
    </w:p>
    <w:p w14:paraId="325F4405" w14:textId="4DE1E362" w:rsidR="006C36C6" w:rsidRDefault="006C36C6" w:rsidP="009810A6">
      <w:pPr>
        <w:pStyle w:val="ListParagraph"/>
        <w:numPr>
          <w:ilvl w:val="0"/>
          <w:numId w:val="2"/>
        </w:numPr>
        <w:jc w:val="both"/>
      </w:pPr>
      <w:r>
        <w:t>Group discussion on potential topics and data: Follow up</w:t>
      </w:r>
      <w:r w:rsidR="00A7502B">
        <w:t xml:space="preserve"> plan</w:t>
      </w:r>
      <w:r>
        <w:t xml:space="preserve"> on working on those papers</w:t>
      </w:r>
      <w:r w:rsidR="009810A6">
        <w:t>.</w:t>
      </w:r>
    </w:p>
    <w:p w14:paraId="67D3D84D" w14:textId="760FB244" w:rsidR="006C36C6" w:rsidRDefault="007A36D0" w:rsidP="009810A6">
      <w:pPr>
        <w:pStyle w:val="ListParagraph"/>
        <w:numPr>
          <w:ilvl w:val="0"/>
          <w:numId w:val="2"/>
        </w:numPr>
        <w:jc w:val="both"/>
      </w:pPr>
      <w:r>
        <w:t xml:space="preserve">Hybrid applications of causal machine learning </w:t>
      </w:r>
      <w:r w:rsidR="006D651B">
        <w:t>with other agricultural policy analysis tools: Causal ML+ Economic Surplus Analysis, Causal ML+</w:t>
      </w:r>
      <w:r w:rsidR="004C45FC">
        <w:t xml:space="preserve"> Mathematical Programming Agricultural Sector Models. </w:t>
      </w:r>
    </w:p>
    <w:p w14:paraId="08925A25" w14:textId="7E7CC9CF" w:rsidR="00B50375" w:rsidRDefault="009810A6" w:rsidP="005D379D">
      <w:pPr>
        <w:pStyle w:val="Heading2"/>
      </w:pPr>
      <w:r>
        <w:t xml:space="preserve">1.3. </w:t>
      </w:r>
      <w:r w:rsidR="00B50375">
        <w:t>Course materials</w:t>
      </w:r>
    </w:p>
    <w:p w14:paraId="3D2FA194" w14:textId="768E55C0" w:rsidR="00A7502B" w:rsidRDefault="000E5579">
      <w:r>
        <w:t xml:space="preserve">All readings and code </w:t>
      </w:r>
      <w:r w:rsidR="00D149EA">
        <w:t xml:space="preserve">for this module are available on GitHub: </w:t>
      </w:r>
      <w:hyperlink r:id="rId9" w:history="1">
        <w:r w:rsidR="00D149EA" w:rsidRPr="009E087F">
          <w:rPr>
            <w:rStyle w:val="Hyperlink"/>
          </w:rPr>
          <w:t>https://github.com/MaxwellMkondiwa/Training_Materials/tree/main/2026/NIAP</w:t>
        </w:r>
      </w:hyperlink>
      <w:r w:rsidR="00D149EA">
        <w:t xml:space="preserve">. </w:t>
      </w:r>
    </w:p>
    <w:p w14:paraId="243E73FA" w14:textId="07ED70E7" w:rsidR="00702A8A" w:rsidRDefault="00B9191B" w:rsidP="00A7502B">
      <w:pPr>
        <w:pStyle w:val="Heading1"/>
      </w:pPr>
      <w:r>
        <w:t xml:space="preserve">2. </w:t>
      </w:r>
      <w:r w:rsidR="00702A8A">
        <w:t>Causal machine learning methods</w:t>
      </w:r>
    </w:p>
    <w:p w14:paraId="02A50547" w14:textId="3F27BAD0" w:rsidR="00D33404" w:rsidRDefault="00E536A9" w:rsidP="00ED2E8F">
      <w:pPr>
        <w:jc w:val="both"/>
      </w:pPr>
      <w:r>
        <w:t xml:space="preserve">There are many causal machine learning methods. For every machine learning algorithm, there </w:t>
      </w:r>
      <w:r w:rsidR="009B4178">
        <w:t xml:space="preserve">is a </w:t>
      </w:r>
      <w:r>
        <w:t>corresponding causal inference variation.</w:t>
      </w:r>
      <w:r w:rsidR="008F0358">
        <w:t xml:space="preserve"> </w:t>
      </w:r>
      <w:r>
        <w:t>For example, (causal) random forest, (double) LASSO,</w:t>
      </w:r>
      <w:r w:rsidR="008844CA">
        <w:t xml:space="preserve"> causal neural nets, and many more</w:t>
      </w:r>
      <w:r>
        <w:t xml:space="preserve">. </w:t>
      </w:r>
      <w:r w:rsidR="002D619E">
        <w:t xml:space="preserve">In the context of this course, we will focus on few </w:t>
      </w:r>
      <w:r w:rsidR="008F4093">
        <w:t>algorithms</w:t>
      </w:r>
      <w:r w:rsidR="002D619E">
        <w:t xml:space="preserve"> that have been deployed </w:t>
      </w:r>
      <w:r w:rsidR="008F4093">
        <w:t xml:space="preserve">for agricultural applications. </w:t>
      </w:r>
      <w:r w:rsidR="008B7791" w:rsidRPr="00774ED8">
        <w:t>The main p</w:t>
      </w:r>
      <w:r w:rsidR="00DF27C0" w:rsidRPr="00774ED8">
        <w:t>urpose</w:t>
      </w:r>
      <w:r w:rsidR="008B7791" w:rsidRPr="00774ED8">
        <w:t xml:space="preserve"> of using causal machine learning methods</w:t>
      </w:r>
      <w:r w:rsidR="00ED2E8F">
        <w:t xml:space="preserve"> in the applications we will focus on</w:t>
      </w:r>
      <w:r w:rsidR="008B7791" w:rsidRPr="00774ED8">
        <w:t xml:space="preserve"> is t</w:t>
      </w:r>
      <w:r w:rsidR="00DF27C0" w:rsidRPr="00774ED8">
        <w:t>o make individualized or personalized recommendations</w:t>
      </w:r>
      <w:r w:rsidR="00DF27C0" w:rsidRPr="008B7791">
        <w:rPr>
          <w:b/>
          <w:bCs/>
        </w:rPr>
        <w:t xml:space="preserve"> </w:t>
      </w:r>
      <w:r w:rsidR="00DF27C0">
        <w:t>from observational data in a data-driven manner.</w:t>
      </w:r>
      <w:r w:rsidR="00D33404">
        <w:t xml:space="preserve"> </w:t>
      </w:r>
    </w:p>
    <w:p w14:paraId="388B169C" w14:textId="1DC3FBF1" w:rsidR="00DF27C0" w:rsidRDefault="002D6595" w:rsidP="00D33404">
      <w:pPr>
        <w:pStyle w:val="FirstParagraph"/>
        <w:jc w:val="both"/>
      </w:pPr>
      <w:r>
        <w:rPr>
          <w:b/>
          <w:bCs/>
          <w:i/>
          <w:iCs/>
        </w:rPr>
        <w:t>The a</w:t>
      </w:r>
      <w:r w:rsidR="00DF27C0">
        <w:rPr>
          <w:b/>
          <w:bCs/>
          <w:i/>
          <w:iCs/>
        </w:rPr>
        <w:t>dvantages</w:t>
      </w:r>
      <w:r>
        <w:rPr>
          <w:b/>
          <w:bCs/>
          <w:i/>
          <w:iCs/>
        </w:rPr>
        <w:t xml:space="preserve"> include:</w:t>
      </w:r>
    </w:p>
    <w:p w14:paraId="4AEF2D1F" w14:textId="77777777" w:rsidR="00DF27C0" w:rsidRDefault="00DF27C0" w:rsidP="00DF27C0">
      <w:pPr>
        <w:pStyle w:val="Compact"/>
        <w:numPr>
          <w:ilvl w:val="0"/>
          <w:numId w:val="5"/>
        </w:numPr>
        <w:jc w:val="both"/>
      </w:pPr>
      <w:r>
        <w:t>Data-driven approach of recommending alternatives without making functional form assumptions. This is especially useful for agricultural inputs for which we do not have a clear functional form e.g., irrigation, sowing dates.</w:t>
      </w:r>
    </w:p>
    <w:p w14:paraId="54A2DEEB" w14:textId="2B3FA1FA" w:rsidR="00DF27C0" w:rsidRDefault="00FC28E0" w:rsidP="00DF27C0">
      <w:pPr>
        <w:pStyle w:val="FirstParagraph"/>
        <w:jc w:val="both"/>
      </w:pPr>
      <w:r>
        <w:rPr>
          <w:b/>
          <w:bCs/>
          <w:i/>
          <w:iCs/>
        </w:rPr>
        <w:t>The d</w:t>
      </w:r>
      <w:r w:rsidR="00DF27C0">
        <w:rPr>
          <w:b/>
          <w:bCs/>
          <w:i/>
          <w:iCs/>
        </w:rPr>
        <w:t>isadvantages</w:t>
      </w:r>
      <w:r>
        <w:rPr>
          <w:b/>
          <w:bCs/>
          <w:i/>
          <w:iCs/>
        </w:rPr>
        <w:t xml:space="preserve"> include:</w:t>
      </w:r>
    </w:p>
    <w:p w14:paraId="2BE6678E" w14:textId="68438B77" w:rsidR="00DF27C0" w:rsidRDefault="00DF27C0" w:rsidP="0076449B">
      <w:pPr>
        <w:pStyle w:val="Compact"/>
        <w:numPr>
          <w:ilvl w:val="0"/>
          <w:numId w:val="5"/>
        </w:numPr>
        <w:jc w:val="both"/>
      </w:pPr>
      <w:r>
        <w:t>It requires enough sample sizes for each of the options being compared. This means that for new innovations which have not been extensively adopted, this approach would not be beneficial.</w:t>
      </w:r>
    </w:p>
    <w:p w14:paraId="77D280CA" w14:textId="71639E2C" w:rsidR="00FC28E0" w:rsidRDefault="00FC28E0" w:rsidP="0076449B">
      <w:pPr>
        <w:pStyle w:val="Compact"/>
        <w:numPr>
          <w:ilvl w:val="0"/>
          <w:numId w:val="5"/>
        </w:numPr>
        <w:jc w:val="both"/>
      </w:pPr>
      <w:r>
        <w:t>In some cases, it may still be difficult to provide a theoretical explanation of the heterogeneous effects</w:t>
      </w:r>
      <w:r w:rsidR="00D33404">
        <w:t xml:space="preserve"> as such while not as black box as traditional machine learning algorithms, it is still a “black box”.</w:t>
      </w:r>
    </w:p>
    <w:p w14:paraId="16837076" w14:textId="038532B0" w:rsidR="00B9191B" w:rsidRPr="00FA3627" w:rsidRDefault="00E536A9" w:rsidP="0076449B">
      <w:pPr>
        <w:jc w:val="both"/>
      </w:pPr>
      <w:r>
        <w:t>We will focus on causal random forest</w:t>
      </w:r>
      <w:r w:rsidR="009B4178">
        <w:t xml:space="preserve"> (Athey et al 2019)</w:t>
      </w:r>
      <w:r w:rsidR="00E219A6">
        <w:t xml:space="preserve"> and policy learning (Athey </w:t>
      </w:r>
      <w:r w:rsidR="00D542B6">
        <w:t>and Wager</w:t>
      </w:r>
      <w:r w:rsidR="00E219A6">
        <w:t xml:space="preserve"> 2021)</w:t>
      </w:r>
      <w:r>
        <w:t xml:space="preserve">. </w:t>
      </w:r>
      <w:r w:rsidR="009B4178">
        <w:t xml:space="preserve">This </w:t>
      </w:r>
      <w:r w:rsidR="0076449B">
        <w:t>causal ML approach</w:t>
      </w:r>
      <w:r w:rsidR="00397F91">
        <w:t xml:space="preserve"> is simple and commonly used among agricultural economists.</w:t>
      </w:r>
      <w:r w:rsidR="00397F91" w:rsidRPr="00F337CF">
        <w:t xml:space="preserve"> </w:t>
      </w:r>
      <w:r w:rsidR="00D149EA" w:rsidRPr="00F337CF">
        <w:t xml:space="preserve">See slides for </w:t>
      </w:r>
      <w:r w:rsidR="007F128D" w:rsidRPr="00F337CF">
        <w:t>de</w:t>
      </w:r>
      <w:r w:rsidR="00FA3627" w:rsidRPr="00F337CF">
        <w:t>tails</w:t>
      </w:r>
      <w:r w:rsidR="0076449B" w:rsidRPr="00F337CF">
        <w:t xml:space="preserve"> on the other methods</w:t>
      </w:r>
      <w:r w:rsidR="00FA3627" w:rsidRPr="00F337CF">
        <w:t>.</w:t>
      </w:r>
      <w:r w:rsidR="0076449B" w:rsidRPr="00F337CF">
        <w:t xml:space="preserve"> Below </w:t>
      </w:r>
      <w:r w:rsidR="00F337CF" w:rsidRPr="00F337CF">
        <w:t>are</w:t>
      </w:r>
      <w:r w:rsidR="0076449B" w:rsidRPr="00F337CF">
        <w:t xml:space="preserve"> the detailed explanation</w:t>
      </w:r>
      <w:r w:rsidR="00F337CF">
        <w:t>s</w:t>
      </w:r>
      <w:r w:rsidR="0076449B" w:rsidRPr="00F337CF">
        <w:t xml:space="preserve"> of the causal random forest approach and the </w:t>
      </w:r>
      <w:r w:rsidR="00F337CF" w:rsidRPr="00F337CF">
        <w:t xml:space="preserve">associated applications in agricultural policy making. </w:t>
      </w:r>
    </w:p>
    <w:p w14:paraId="1D90A5BA" w14:textId="3508B9D0" w:rsidR="00D36D33" w:rsidRDefault="009E109D" w:rsidP="00D36D33">
      <w:pPr>
        <w:pStyle w:val="Heading1"/>
      </w:pPr>
      <w:r>
        <w:lastRenderedPageBreak/>
        <w:t>3</w:t>
      </w:r>
      <w:r w:rsidR="00D36D33">
        <w:t xml:space="preserve">. Causal </w:t>
      </w:r>
      <w:r w:rsidR="00165D47">
        <w:t>r</w:t>
      </w:r>
      <w:r w:rsidR="00D36D33">
        <w:t xml:space="preserve">andom </w:t>
      </w:r>
      <w:r w:rsidR="00165D47">
        <w:t>f</w:t>
      </w:r>
      <w:r w:rsidR="00D36D33">
        <w:t xml:space="preserve">orest </w:t>
      </w:r>
      <w:r w:rsidR="00165D47">
        <w:t>w</w:t>
      </w:r>
      <w:r w:rsidR="00D36D33">
        <w:t>orkflow</w:t>
      </w:r>
    </w:p>
    <w:p w14:paraId="31128E42" w14:textId="646BA932" w:rsidR="00F80195" w:rsidRPr="00352F5B" w:rsidRDefault="00F80195" w:rsidP="00D542B6">
      <w:pPr>
        <w:jc w:val="both"/>
        <w:rPr>
          <w:rFonts w:eastAsiaTheme="minorEastAsia"/>
        </w:rPr>
      </w:pPr>
      <w:r w:rsidRPr="00352F5B">
        <w:rPr>
          <w:rFonts w:eastAsiaTheme="minorEastAsia"/>
        </w:rPr>
        <w:t xml:space="preserve">We use a four step analytical process (figure </w:t>
      </w:r>
      <w:r w:rsidR="00202043">
        <w:rPr>
          <w:rFonts w:eastAsiaTheme="minorEastAsia"/>
        </w:rPr>
        <w:t>2</w:t>
      </w:r>
      <w:r w:rsidRPr="00352F5B">
        <w:rPr>
          <w:rFonts w:eastAsiaTheme="minorEastAsia"/>
        </w:rPr>
        <w:t>) beginning with, (1) estimating a probability random forest model followed by a causal random forest model that uses the predicted probabilities from the first random forest as weights, (2) predicting individualized treatment effects, (3) estimating doubly robust scores, and (4) applying policy tree algorithm that include agronomic variables (e.g., irrigation applied, soil quality) and socio-economic variables (e.g., education)  to optimally recommend a policy that can be targeted to each farmer. This procedure follows the policy tree algorithm</w:t>
      </w:r>
      <w:r w:rsidR="00201142">
        <w:rPr>
          <w:rFonts w:eastAsiaTheme="minorEastAsia"/>
        </w:rPr>
        <w:t xml:space="preserve"> by</w:t>
      </w:r>
      <w:r w:rsidRPr="00352F5B">
        <w:rPr>
          <w:rFonts w:eastAsiaTheme="minorEastAsia"/>
        </w:rPr>
        <w:t xml:space="preserve"> Athey and Wager (2021). Following Athey and Wager (2021), a policy (</w:t>
      </w:r>
      <m:oMath>
        <m:r>
          <w:rPr>
            <w:rFonts w:ascii="Cambria Math" w:eastAsiaTheme="minorEastAsia" w:hAnsi="Cambria Math"/>
          </w:rPr>
          <m:t>π</m:t>
        </m:r>
      </m:oMath>
      <w:r w:rsidRPr="00352F5B">
        <w:rPr>
          <w:rFonts w:eastAsiaTheme="minorEastAsia"/>
        </w:rPr>
        <w:t xml:space="preserve">) is a rule or method by which we decide, who, </w:t>
      </w:r>
      <w:proofErr w:type="gramStart"/>
      <w:r w:rsidRPr="00352F5B">
        <w:rPr>
          <w:rFonts w:eastAsiaTheme="minorEastAsia"/>
        </w:rPr>
        <w:t>on the basis of</w:t>
      </w:r>
      <w:proofErr w:type="gramEnd"/>
      <w:r w:rsidRPr="00352F5B">
        <w:rPr>
          <w:rFonts w:eastAsiaTheme="minorEastAsia"/>
        </w:rPr>
        <w:t xml:space="preserve"> their characteristics will be targeted to receive intervention: </w:t>
      </w:r>
    </w:p>
    <w:p w14:paraId="2FE83851" w14:textId="77777777" w:rsidR="00F80195" w:rsidRPr="00352F5B" w:rsidRDefault="00F80195" w:rsidP="00D542B6">
      <w:pPr>
        <w:jc w:val="both"/>
      </w:pPr>
      <m:oMathPara>
        <m:oMathParaPr>
          <m:jc m:val="center"/>
        </m:oMathParaPr>
        <m:oMath>
          <m:r>
            <w:rPr>
              <w:rFonts w:ascii="Cambria Math" w:eastAsiaTheme="minorEastAsia" w:hAnsi="Cambria Math"/>
            </w:rPr>
            <m:t>π:X→W                                                              (</m:t>
          </m:r>
          <m:r>
            <w:rPr>
              <w:rFonts w:ascii="Cambria Math" w:eastAsiaTheme="minorEastAsia" w:hAnsi="Cambria Math"/>
              <w:i/>
            </w:rPr>
            <w:fldChar w:fldCharType="begin"/>
          </m:r>
          <m:r>
            <m:rPr>
              <m:sty m:val="p"/>
            </m:rPr>
            <w:rPr>
              <w:rFonts w:ascii="Cambria Math" w:eastAsiaTheme="minorEastAsia" w:hAnsi="Cambria Math"/>
            </w:rPr>
            <m:t xml:space="preserve"> SEQ Equation \* ARABIC </m:t>
          </m:r>
          <m:r>
            <w:rPr>
              <w:rFonts w:ascii="Cambria Math" w:eastAsiaTheme="minorEastAsia" w:hAnsi="Cambria Math"/>
              <w:i/>
            </w:rPr>
            <w:fldChar w:fldCharType="separate"/>
          </m:r>
          <m:r>
            <m:rPr>
              <m:sty m:val="p"/>
            </m:rPr>
            <w:rPr>
              <w:rFonts w:ascii="Cambria Math" w:eastAsiaTheme="minorEastAsia" w:hAnsi="Cambria Math"/>
              <w:noProof/>
            </w:rPr>
            <m:t>1</m:t>
          </m:r>
          <m:r>
            <w:rPr>
              <w:rFonts w:ascii="Cambria Math" w:eastAsiaTheme="minorEastAsia" w:hAnsi="Cambria Math"/>
              <w:i/>
            </w:rPr>
            <w:fldChar w:fldCharType="end"/>
          </m:r>
          <m:r>
            <w:rPr>
              <w:rFonts w:ascii="Cambria Math" w:eastAsiaTheme="minorEastAsia" w:hAnsi="Cambria Math"/>
            </w:rPr>
            <m:t>)</m:t>
          </m:r>
        </m:oMath>
      </m:oMathPara>
    </w:p>
    <w:p w14:paraId="7AC55A0F" w14:textId="77777777" w:rsidR="00F80195" w:rsidRPr="00352F5B" w:rsidRDefault="00F80195" w:rsidP="00D542B6">
      <w:pPr>
        <w:jc w:val="both"/>
        <w:rPr>
          <w:rFonts w:eastAsiaTheme="minorEastAsia"/>
        </w:rPr>
      </w:pPr>
      <w:r w:rsidRPr="00352F5B">
        <w:t xml:space="preserve">Where </w:t>
      </w:r>
      <m:oMath>
        <m:r>
          <w:rPr>
            <w:rFonts w:ascii="Cambria Math" w:hAnsi="Cambria Math"/>
          </w:rPr>
          <m:t>X</m:t>
        </m:r>
      </m:oMath>
      <w:r w:rsidRPr="00352F5B">
        <w:rPr>
          <w:rFonts w:eastAsiaTheme="minorEastAsia"/>
        </w:rPr>
        <w:t xml:space="preserve"> are characteristics of the farmers including their demographics, farm characteristics and plot characteristics. </w:t>
      </w:r>
      <m:oMath>
        <m:r>
          <w:rPr>
            <w:rFonts w:ascii="Cambria Math" w:eastAsiaTheme="minorEastAsia" w:hAnsi="Cambria Math"/>
          </w:rPr>
          <m:t>W</m:t>
        </m:r>
      </m:oMath>
      <w:r w:rsidRPr="00352F5B">
        <w:rPr>
          <w:rFonts w:eastAsiaTheme="minorEastAsia"/>
        </w:rPr>
        <w:t xml:space="preserve"> indicates the interventions to be targeted. It can be a dichotomous decision (e.g., plant early or late) or a discrete decision (e.g., weekly planting schedules). In most agronomic evaluation, the value of the agronomic practice is represented in form of yield gains which can be defined as a conditional average treatment effect (CATE): </w:t>
      </w:r>
    </w:p>
    <w:p w14:paraId="001CDB1A" w14:textId="77777777" w:rsidR="00F80195" w:rsidRPr="00352F5B" w:rsidRDefault="00F80195" w:rsidP="00D542B6">
      <w:pPr>
        <w:jc w:val="both"/>
        <w:rPr>
          <w:rFonts w:eastAsiaTheme="minorEastAsia"/>
        </w:rPr>
      </w:pPr>
      <m:oMathPara>
        <m:oMath>
          <m:r>
            <w:rPr>
              <w:rFonts w:ascii="Cambria Math" w:eastAsiaTheme="minorEastAsia" w:hAnsi="Cambria Math"/>
            </w:rPr>
            <m:t>τ</m:t>
          </m:r>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m:t>
          </m:r>
          <m:r>
            <w:rPr>
              <w:rFonts w:ascii="Cambria Math" w:eastAsiaTheme="minorEastAsia" w:hAnsi="Cambria Math"/>
            </w:rPr>
            <m:t>E</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rPr>
                  </m:ctrlPr>
                </m:dPr>
                <m:e>
                  <m:r>
                    <m:rPr>
                      <m:sty m:val="p"/>
                    </m:rPr>
                    <w:rPr>
                      <w:rFonts w:ascii="Cambria Math" w:eastAsiaTheme="minorEastAsia" w:hAnsi="Cambria Math"/>
                    </w:rPr>
                    <m:t>1</m:t>
                  </m:r>
                </m:e>
              </m:d>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rPr>
                  </m:ctrlPr>
                </m:dPr>
                <m:e>
                  <m:r>
                    <m:rPr>
                      <m:sty m:val="p"/>
                    </m:rPr>
                    <w:rPr>
                      <w:rFonts w:ascii="Cambria Math" w:eastAsiaTheme="minorEastAsia" w:hAnsi="Cambria Math"/>
                    </w:rPr>
                    <m:t>0</m:t>
                  </m:r>
                </m:e>
              </m:d>
            </m:e>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x</m:t>
              </m:r>
            </m:e>
          </m:d>
          <m:r>
            <m:rPr>
              <m:sty m:val="p"/>
            </m:rP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SEQ Equation \* ARABIC </m:t>
          </m:r>
          <m:r>
            <m:rPr>
              <m:sty m:val="p"/>
            </m:rPr>
            <w:rPr>
              <w:rFonts w:ascii="Cambria Math" w:eastAsiaTheme="minorEastAsia" w:hAnsi="Cambria Math"/>
            </w:rPr>
            <w:fldChar w:fldCharType="separate"/>
          </m:r>
          <m:r>
            <m:rPr>
              <m:sty m:val="p"/>
            </m:rPr>
            <w:rPr>
              <w:rFonts w:ascii="Cambria Math" w:eastAsiaTheme="minorEastAsia" w:hAnsi="Cambria Math"/>
              <w:noProof/>
            </w:rPr>
            <m:t>2</m:t>
          </m:r>
          <m:r>
            <m:rPr>
              <m:sty m:val="p"/>
            </m:rPr>
            <w:rPr>
              <w:rFonts w:ascii="Cambria Math" w:eastAsiaTheme="minorEastAsia" w:hAnsi="Cambria Math"/>
            </w:rPr>
            <w:fldChar w:fldCharType="end"/>
          </m:r>
          <m:r>
            <m:rPr>
              <m:sty m:val="p"/>
            </m:rPr>
            <w:rPr>
              <w:rFonts w:ascii="Cambria Math" w:eastAsiaTheme="minorEastAsia" w:hAnsi="Cambria Math"/>
            </w:rPr>
            <m:t xml:space="preserve">)     </m:t>
          </m:r>
        </m:oMath>
      </m:oMathPara>
    </w:p>
    <w:p w14:paraId="6E0E2C6A" w14:textId="77777777" w:rsidR="00F80195" w:rsidRDefault="00F80195" w:rsidP="00D542B6">
      <w:pPr>
        <w:jc w:val="both"/>
        <w:rPr>
          <w:rFonts w:eastAsiaTheme="minorEastAsia"/>
        </w:rPr>
      </w:pPr>
      <w:r w:rsidRPr="00352F5B">
        <w:rPr>
          <w:rFonts w:eastAsiaTheme="minorEastAsia"/>
        </w:rPr>
        <w:t xml:space="preserve">Where </w:t>
      </w:r>
      <m:oMath>
        <m:r>
          <w:rPr>
            <w:rFonts w:ascii="Cambria Math" w:eastAsiaTheme="minorEastAsia" w:hAnsi="Cambria Math"/>
          </w:rPr>
          <m:t>E(.)</m:t>
        </m:r>
      </m:oMath>
      <w:r w:rsidRPr="00352F5B">
        <w:rPr>
          <w:rFonts w:eastAsiaTheme="minorEastAsia"/>
        </w:rPr>
        <w:t xml:space="preserve"> is expectation term. </w:t>
      </w:r>
      <m:oMath>
        <m:r>
          <w:rPr>
            <w:rFonts w:ascii="Cambria Math" w:eastAsiaTheme="minorEastAsia" w:hAnsi="Cambria Math"/>
          </w:rPr>
          <m:t>Y(.)</m:t>
        </m:r>
      </m:oMath>
      <w:r w:rsidRPr="00352F5B">
        <w:rPr>
          <w:rFonts w:eastAsiaTheme="minorEastAsia"/>
        </w:rPr>
        <w:t xml:space="preserve"> is the yield (it can also be revenue or profits) with </w:t>
      </w:r>
      <m:oMath>
        <m:r>
          <w:rPr>
            <w:rFonts w:ascii="Cambria Math" w:eastAsiaTheme="minorEastAsia" w:hAnsi="Cambria Math"/>
          </w:rPr>
          <m:t>Y(1)</m:t>
        </m:r>
      </m:oMath>
      <w:r w:rsidRPr="00352F5B">
        <w:rPr>
          <w:rFonts w:eastAsiaTheme="minorEastAsia"/>
        </w:rPr>
        <w:t xml:space="preserve"> being yield with agronomic practice while </w:t>
      </w:r>
      <m:oMath>
        <m:r>
          <w:rPr>
            <w:rFonts w:ascii="Cambria Math" w:eastAsiaTheme="minorEastAsia" w:hAnsi="Cambria Math"/>
          </w:rPr>
          <m:t>Y(0)</m:t>
        </m:r>
      </m:oMath>
      <w:r w:rsidRPr="00352F5B">
        <w:rPr>
          <w:rFonts w:eastAsiaTheme="minorEastAsia"/>
        </w:rPr>
        <w:t xml:space="preserve"> is the control.</w:t>
      </w:r>
    </w:p>
    <w:p w14:paraId="30CAD2A6" w14:textId="77777777" w:rsidR="00F80195" w:rsidRPr="00352F5B" w:rsidRDefault="00F80195" w:rsidP="00D542B6">
      <w:pPr>
        <w:jc w:val="both"/>
        <w:rPr>
          <w:rFonts w:eastAsiaTheme="minorEastAsia"/>
        </w:rPr>
      </w:pPr>
      <w:r>
        <w:rPr>
          <w:rFonts w:eastAsiaTheme="minorEastAsia"/>
        </w:rPr>
        <w:t xml:space="preserve">The credibility of the estimation of the yield gains in the potential </w:t>
      </w:r>
      <w:proofErr w:type="gramStart"/>
      <w:r>
        <w:rPr>
          <w:rFonts w:eastAsiaTheme="minorEastAsia"/>
        </w:rPr>
        <w:t>outcomes</w:t>
      </w:r>
      <w:proofErr w:type="gramEnd"/>
      <w:r>
        <w:rPr>
          <w:rFonts w:eastAsiaTheme="minorEastAsia"/>
        </w:rPr>
        <w:t xml:space="preserve"> framework depends on several assumptions including </w:t>
      </w:r>
      <w:proofErr w:type="spellStart"/>
      <w:r>
        <w:rPr>
          <w:rFonts w:eastAsiaTheme="minorEastAsia"/>
        </w:rPr>
        <w:t>unconfoundedness</w:t>
      </w:r>
      <w:proofErr w:type="spellEnd"/>
      <w:r>
        <w:rPr>
          <w:rFonts w:eastAsiaTheme="minorEastAsia"/>
        </w:rPr>
        <w:t xml:space="preserve"> and overlap. The </w:t>
      </w:r>
      <w:proofErr w:type="spellStart"/>
      <w:r>
        <w:rPr>
          <w:rFonts w:eastAsiaTheme="minorEastAsia"/>
        </w:rPr>
        <w:t>uncounfedness</w:t>
      </w:r>
      <w:proofErr w:type="spellEnd"/>
      <w:r>
        <w:rPr>
          <w:rFonts w:eastAsiaTheme="minorEastAsia"/>
        </w:rPr>
        <w:t xml:space="preserve"> simply implies that treatment assignment (farmers using </w:t>
      </w:r>
      <w:proofErr w:type="gramStart"/>
      <w:r>
        <w:rPr>
          <w:rFonts w:eastAsiaTheme="minorEastAsia"/>
        </w:rPr>
        <w:t>particular agronomic</w:t>
      </w:r>
      <w:proofErr w:type="gramEnd"/>
      <w:r>
        <w:rPr>
          <w:rFonts w:eastAsiaTheme="minorEastAsia"/>
        </w:rPr>
        <w:t xml:space="preserve"> practices) is as good as random. The overlap assumption posits that there is probability of farmers that are not in the extremes thereby assuring counterfactual comparisons. </w:t>
      </w:r>
    </w:p>
    <w:p w14:paraId="700000FE" w14:textId="5206A14A" w:rsidR="00F80195" w:rsidRPr="00352F5B" w:rsidRDefault="00CA7787" w:rsidP="00D542B6">
      <w:pPr>
        <w:pStyle w:val="Heading2"/>
        <w:jc w:val="both"/>
        <w:rPr>
          <w:rFonts w:eastAsiaTheme="minorEastAsia"/>
        </w:rPr>
      </w:pPr>
      <w:r>
        <w:rPr>
          <w:rFonts w:eastAsiaTheme="minorEastAsia"/>
        </w:rPr>
        <w:t>3</w:t>
      </w:r>
      <w:r w:rsidR="00F80195" w:rsidRPr="00352F5B">
        <w:rPr>
          <w:rFonts w:eastAsiaTheme="minorEastAsia"/>
        </w:rPr>
        <w:t>.1. Causal random forest conditional average treatment effects (CATE)</w:t>
      </w:r>
    </w:p>
    <w:p w14:paraId="4B33168B" w14:textId="3A41B1BF" w:rsidR="00F80195" w:rsidRPr="00352F5B" w:rsidRDefault="00F80195" w:rsidP="00D542B6">
      <w:pPr>
        <w:jc w:val="both"/>
      </w:pPr>
      <w:r w:rsidRPr="00352F5B">
        <w:t xml:space="preserve">We start from step 1 and 2 in the workflow (figure </w:t>
      </w:r>
      <w:r w:rsidR="00E033C7">
        <w:t>2</w:t>
      </w:r>
      <w:r w:rsidRPr="00352F5B">
        <w:t>) in which we estimate a yield crop response model using causal random forest model with augmented inverse weighted propensity score (AIWP).</w:t>
      </w:r>
    </w:p>
    <w:p w14:paraId="01F4BF85" w14:textId="77777777" w:rsidR="00F80195" w:rsidRPr="00352F5B" w:rsidRDefault="00F80195" w:rsidP="00D542B6">
      <w:pPr>
        <w:jc w:val="both"/>
        <w:rPr>
          <w:rFonts w:eastAsiaTheme="minorEastAsia"/>
        </w:rPr>
      </w:pPr>
      <w:r w:rsidRPr="00352F5B">
        <w:rPr>
          <w:rFonts w:eastAsiaTheme="minorEastAsia"/>
        </w:rPr>
        <w:t xml:space="preserve">Unlike random forest models, causal random forests use honest splitting in which splitting is done on training sample and uses independent sample to estimate leaf means.  Causal random forests also allow orthogonalization for observational (survey) data using Inverse-Probability Weights predicted from </w:t>
      </w:r>
      <w:r>
        <w:rPr>
          <w:rFonts w:eastAsiaTheme="minorEastAsia"/>
        </w:rPr>
        <w:t>a probabilistic random forest</w:t>
      </w:r>
      <w:r w:rsidRPr="00352F5B">
        <w:rPr>
          <w:rFonts w:eastAsiaTheme="minorEastAsia"/>
        </w:rPr>
        <w:t xml:space="preserve"> model. Augmented Inverse-Probability Weighted Conditional Average Treatment Effect (AIPW-CATE) is given by</w:t>
      </w:r>
    </w:p>
    <w:p w14:paraId="25640FCF" w14:textId="77777777" w:rsidR="00F80195" w:rsidRPr="00352F5B" w:rsidRDefault="00000000" w:rsidP="00D542B6">
      <w:pPr>
        <w:jc w:val="both"/>
        <w:rPr>
          <w:rFonts w:eastAsiaTheme="minorEastAsia"/>
        </w:rPr>
      </w:pPr>
      <m:oMathPara>
        <m:oMathParaPr>
          <m:jc m:val="centerGroup"/>
        </m:oMathParaP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Γ</m:t>
                  </m:r>
                </m:e>
              </m:acc>
            </m:e>
            <m:sub>
              <m:r>
                <w:rPr>
                  <w:rFonts w:ascii="Cambria Math" w:eastAsiaTheme="minorEastAsia" w:hAnsi="Cambria Math"/>
                </w:rPr>
                <m:t>i</m:t>
              </m:r>
            </m:sub>
          </m:sSub>
          <m:r>
            <m:rPr>
              <m:sty m:val="p"/>
            </m:rP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τ</m:t>
              </m:r>
            </m:e>
          </m:acc>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m:t>
                  </m:r>
                </m:sub>
              </m:sSub>
            </m:num>
            <m:den>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den>
          </m:f>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m:rPr>
                  <m:sty m:val="p"/>
                </m:rP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μ</m:t>
                  </m:r>
                </m:e>
              </m:acc>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,1</m:t>
                  </m:r>
                </m:e>
              </m:d>
            </m:e>
          </m:d>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m:t>
                  </m:r>
                </m:sub>
              </m:sSub>
            </m:num>
            <m:den>
              <m:r>
                <m:rPr>
                  <m:sty m:val="p"/>
                </m:rPr>
                <w:rPr>
                  <w:rFonts w:ascii="Cambria Math" w:eastAsiaTheme="minorEastAsia" w:hAnsi="Cambria Math"/>
                </w:rPr>
                <m:t>1-</m:t>
              </m:r>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den>
          </m:f>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m:rPr>
                  <m:sty m:val="p"/>
                </m:rP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μ</m:t>
                  </m:r>
                </m:e>
              </m:acc>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,0</m:t>
                  </m:r>
                </m:e>
              </m:d>
            </m:e>
          </m:d>
          <m:r>
            <m:rPr>
              <m:sty m:val="p"/>
            </m:rP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SEQ Equation \* ARABIC </m:t>
          </m:r>
          <m:r>
            <m:rPr>
              <m:sty m:val="p"/>
            </m:rPr>
            <w:rPr>
              <w:rFonts w:ascii="Cambria Math" w:eastAsiaTheme="minorEastAsia" w:hAnsi="Cambria Math"/>
            </w:rPr>
            <w:fldChar w:fldCharType="separate"/>
          </m:r>
          <m:r>
            <m:rPr>
              <m:sty m:val="p"/>
            </m:rPr>
            <w:rPr>
              <w:rFonts w:ascii="Cambria Math" w:eastAsiaTheme="minorEastAsia" w:hAnsi="Cambria Math"/>
              <w:noProof/>
            </w:rPr>
            <m:t>3</m:t>
          </m:r>
          <m:r>
            <m:rPr>
              <m:sty m:val="p"/>
            </m:rPr>
            <w:rPr>
              <w:rFonts w:ascii="Cambria Math" w:eastAsiaTheme="minorEastAsia" w:hAnsi="Cambria Math"/>
            </w:rPr>
            <w:fldChar w:fldCharType="end"/>
          </m:r>
          <m:r>
            <m:rPr>
              <m:sty m:val="p"/>
            </m:rPr>
            <w:rPr>
              <w:rFonts w:ascii="Cambria Math" w:eastAsiaTheme="minorEastAsia" w:hAnsi="Cambria Math"/>
            </w:rPr>
            <m:t>)</m:t>
          </m:r>
        </m:oMath>
      </m:oMathPara>
    </w:p>
    <w:p w14:paraId="0ABF3E6A" w14:textId="1925F9EA" w:rsidR="00F80195" w:rsidRPr="00352F5B" w:rsidRDefault="00F80195" w:rsidP="00D542B6">
      <w:pPr>
        <w:jc w:val="both"/>
        <w:rPr>
          <w:rFonts w:eastAsiaTheme="minorEastAsia"/>
        </w:rPr>
      </w:pPr>
      <w:r w:rsidRPr="00352F5B">
        <w:rPr>
          <w:rFonts w:eastAsiaTheme="minorEastAsia"/>
        </w:rPr>
        <w:t xml:space="preserve">Where </w:t>
      </w:r>
      <m:oMath>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oMath>
      <w:r w:rsidRPr="00352F5B">
        <w:rPr>
          <w:rFonts w:eastAsiaTheme="minorEastAsia"/>
        </w:rPr>
        <w:t xml:space="preserve"> are treatment assignment probabilities. In all the specifications, we control for all confounders including variety type, date of sowing, fertilizer applied, soil quality variables (including soil nitrogen and pH), precipitation, temperature, farm size, latitude and longitude. We include latitude and longitude in</w:t>
      </w:r>
      <w:r>
        <w:rPr>
          <w:rFonts w:eastAsiaTheme="minorEastAsia"/>
        </w:rPr>
        <w:t xml:space="preserve"> some of</w:t>
      </w:r>
      <w:r w:rsidRPr="00352F5B">
        <w:rPr>
          <w:rFonts w:eastAsiaTheme="minorEastAsia"/>
        </w:rPr>
        <w:t xml:space="preserve"> the specifications following prior studies that suggested that this </w:t>
      </w:r>
      <w:proofErr w:type="gramStart"/>
      <w:r w:rsidRPr="00352F5B">
        <w:rPr>
          <w:rFonts w:eastAsiaTheme="minorEastAsia"/>
        </w:rPr>
        <w:t>takes into account</w:t>
      </w:r>
      <w:proofErr w:type="gramEnd"/>
      <w:r w:rsidRPr="00352F5B">
        <w:rPr>
          <w:rFonts w:eastAsiaTheme="minorEastAsia"/>
        </w:rPr>
        <w:t xml:space="preserve"> uncontrolled spatial factors (Dienes et al 2022). The estimation is implemented using the </w:t>
      </w:r>
      <w:proofErr w:type="spellStart"/>
      <w:r w:rsidRPr="00352F5B">
        <w:rPr>
          <w:rFonts w:eastAsiaTheme="minorEastAsia"/>
          <w:i/>
          <w:iCs/>
        </w:rPr>
        <w:t>grf</w:t>
      </w:r>
      <w:proofErr w:type="spellEnd"/>
      <w:r w:rsidRPr="00352F5B">
        <w:rPr>
          <w:rFonts w:eastAsiaTheme="minorEastAsia"/>
        </w:rPr>
        <w:t xml:space="preserve"> package (Athey et al 2019).</w:t>
      </w:r>
    </w:p>
    <w:p w14:paraId="65CA1430" w14:textId="1FBA1911" w:rsidR="00F80195" w:rsidRPr="00352F5B" w:rsidRDefault="00F80195" w:rsidP="00D542B6">
      <w:pPr>
        <w:jc w:val="both"/>
        <w:rPr>
          <w:rFonts w:eastAsiaTheme="minorEastAsia"/>
        </w:rPr>
      </w:pPr>
      <w:r w:rsidRPr="00352F5B">
        <w:rPr>
          <w:rFonts w:eastAsiaTheme="minorEastAsia"/>
        </w:rPr>
        <w:t>To evaluate if the specification of the causal random forest is correct for mean and heterogeneous predictions, we compute the calibration test</w:t>
      </w:r>
      <w:r w:rsidR="007025F3">
        <w:rPr>
          <w:rFonts w:eastAsiaTheme="minorEastAsia"/>
        </w:rPr>
        <w:t xml:space="preserve">. </w:t>
      </w:r>
      <w:r w:rsidR="005C4A69">
        <w:rPr>
          <w:rFonts w:eastAsiaTheme="minorEastAsia"/>
        </w:rPr>
        <w:t>If for b</w:t>
      </w:r>
      <w:r w:rsidRPr="00352F5B">
        <w:rPr>
          <w:rFonts w:eastAsiaTheme="minorEastAsia"/>
        </w:rPr>
        <w:t>oth for mean and heterogeneous treatment, the calibration estimates are close to 1 and significant</w:t>
      </w:r>
      <w:r w:rsidR="00C73C0E">
        <w:rPr>
          <w:rFonts w:eastAsiaTheme="minorEastAsia"/>
        </w:rPr>
        <w:t>, it</w:t>
      </w:r>
      <w:r w:rsidRPr="00352F5B">
        <w:rPr>
          <w:rFonts w:eastAsiaTheme="minorEastAsia"/>
        </w:rPr>
        <w:t xml:space="preserve"> gives us confidence in the causal random forest results. </w:t>
      </w:r>
    </w:p>
    <w:p w14:paraId="147571AC" w14:textId="2DFAF414" w:rsidR="00F80195" w:rsidRPr="00352F5B" w:rsidRDefault="00CA7787" w:rsidP="00D542B6">
      <w:pPr>
        <w:pStyle w:val="Heading2"/>
        <w:jc w:val="both"/>
        <w:rPr>
          <w:rFonts w:eastAsiaTheme="minorEastAsia"/>
        </w:rPr>
      </w:pPr>
      <w:r>
        <w:rPr>
          <w:rFonts w:eastAsiaTheme="minorEastAsia"/>
        </w:rPr>
        <w:t>3</w:t>
      </w:r>
      <w:r w:rsidR="00F80195" w:rsidRPr="00352F5B">
        <w:rPr>
          <w:rFonts w:eastAsiaTheme="minorEastAsia"/>
        </w:rPr>
        <w:t xml:space="preserve">.2. Policy estimation and evaluation </w:t>
      </w:r>
    </w:p>
    <w:p w14:paraId="78968D1A" w14:textId="2C9E62A9" w:rsidR="00F80195" w:rsidRPr="00352F5B" w:rsidRDefault="00F80195" w:rsidP="00D542B6">
      <w:pPr>
        <w:jc w:val="both"/>
        <w:rPr>
          <w:rFonts w:eastAsiaTheme="minorEastAsia"/>
        </w:rPr>
      </w:pPr>
      <w:r w:rsidRPr="00352F5B">
        <w:rPr>
          <w:rFonts w:eastAsiaTheme="minorEastAsia"/>
        </w:rPr>
        <w:t xml:space="preserve">After getting the CATEs, we focus on who should be assigned to which treatment. We conduct policy estimation and evaluation by using doubly robust scores in steps 3 and 4 in the workflow (figure </w:t>
      </w:r>
      <w:r w:rsidR="00C73C0E">
        <w:rPr>
          <w:rFonts w:eastAsiaTheme="minorEastAsia"/>
        </w:rPr>
        <w:t>2</w:t>
      </w:r>
      <w:r w:rsidRPr="00352F5B">
        <w:rPr>
          <w:rFonts w:eastAsiaTheme="minorEastAsia"/>
        </w:rPr>
        <w:t xml:space="preserve">). If our goal is to get the highest yields or profits for the individual farmer, then we can define a utilitarian value of the policy </w:t>
      </w:r>
      <m:oMath>
        <m:r>
          <w:rPr>
            <w:rFonts w:ascii="Cambria Math" w:eastAsiaTheme="minorEastAsia" w:hAnsi="Cambria Math"/>
          </w:rPr>
          <m:t>π</m:t>
        </m:r>
        <m:r>
          <m:rPr>
            <m:sty m:val="p"/>
          </m:rPr>
          <w:rPr>
            <w:rFonts w:ascii="Cambria Math" w:eastAsiaTheme="minorEastAsia" w:hAnsi="Cambria Math"/>
          </w:rPr>
          <m:t>:</m:t>
        </m:r>
        <m:r>
          <w:rPr>
            <w:rFonts w:ascii="Cambria Math" w:eastAsiaTheme="minorEastAsia" w:hAnsi="Cambria Math"/>
          </w:rPr>
          <m:t>X</m:t>
        </m:r>
        <m:r>
          <m:rPr>
            <m:sty m:val="p"/>
          </m:rPr>
          <w:rPr>
            <w:rFonts w:ascii="Cambria Math" w:eastAsiaTheme="minorEastAsia" w:hAnsi="Cambria Math"/>
          </w:rPr>
          <m:t>→</m:t>
        </m:r>
        <m:r>
          <w:rPr>
            <w:rFonts w:ascii="Cambria Math" w:eastAsiaTheme="minorEastAsia" w:hAnsi="Cambria Math"/>
          </w:rPr>
          <m:t>W</m:t>
        </m:r>
      </m:oMath>
      <w:r>
        <w:rPr>
          <w:rFonts w:eastAsiaTheme="minorEastAsia"/>
        </w:rPr>
        <w:t xml:space="preserve"> as follows: </w:t>
      </w:r>
    </w:p>
    <w:p w14:paraId="42B0126F" w14:textId="77777777" w:rsidR="00F80195" w:rsidRPr="00352F5B" w:rsidRDefault="00F80195" w:rsidP="00D542B6">
      <w:pPr>
        <w:jc w:val="both"/>
        <w:rPr>
          <w:rFonts w:eastAsiaTheme="minorEastAsia"/>
          <w:i/>
          <w:iCs/>
        </w:rPr>
      </w:pPr>
      <m:oMathPara>
        <m:oMath>
          <m:r>
            <w:rPr>
              <w:rFonts w:ascii="Cambria Math" w:eastAsiaTheme="minorEastAsia" w:hAnsi="Cambria Math"/>
            </w:rPr>
            <m:t>V</m:t>
          </m:r>
          <m:d>
            <m:dPr>
              <m:ctrlPr>
                <w:rPr>
                  <w:rFonts w:ascii="Cambria Math" w:eastAsiaTheme="minorEastAsia" w:hAnsi="Cambria Math"/>
                  <w:i/>
                  <w:iCs/>
                </w:rPr>
              </m:ctrlPr>
            </m:dPr>
            <m:e>
              <m:r>
                <w:rPr>
                  <w:rFonts w:ascii="Cambria Math" w:eastAsiaTheme="minorEastAsia" w:hAnsi="Cambria Math"/>
                </w:rPr>
                <m:t>π</m:t>
              </m:r>
            </m:e>
          </m:d>
          <m:r>
            <w:rPr>
              <w:rFonts w:ascii="Cambria Math" w:eastAsiaTheme="minorEastAsia" w:hAnsi="Cambria Math"/>
            </w:rPr>
            <m:t>=E</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π</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e>
                  </m:d>
                </m:e>
              </m:d>
            </m:e>
          </m:d>
          <m:r>
            <w:rPr>
              <w:rFonts w:ascii="Cambria Math" w:eastAsiaTheme="minorEastAsia" w:hAnsi="Cambria Math"/>
            </w:rPr>
            <m:t xml:space="preserve">                                (</m:t>
          </m:r>
          <m:r>
            <w:rPr>
              <w:rFonts w:ascii="Cambria Math" w:eastAsiaTheme="minorEastAsia" w:hAnsi="Cambria Math"/>
              <w:i/>
              <w:iCs/>
            </w:rPr>
            <w:fldChar w:fldCharType="begin"/>
          </m:r>
          <m:r>
            <m:rPr>
              <m:sty m:val="p"/>
            </m:rPr>
            <w:rPr>
              <w:rFonts w:ascii="Cambria Math" w:eastAsiaTheme="minorEastAsia" w:hAnsi="Cambria Math"/>
            </w:rPr>
            <m:t xml:space="preserve"> SEQ Equation \* ARABIC </m:t>
          </m:r>
          <m:r>
            <w:rPr>
              <w:rFonts w:ascii="Cambria Math" w:eastAsiaTheme="minorEastAsia" w:hAnsi="Cambria Math"/>
              <w:i/>
              <w:iCs/>
            </w:rPr>
            <w:fldChar w:fldCharType="separate"/>
          </m:r>
          <m:r>
            <m:rPr>
              <m:sty m:val="p"/>
            </m:rPr>
            <w:rPr>
              <w:rFonts w:ascii="Cambria Math" w:eastAsiaTheme="minorEastAsia" w:hAnsi="Cambria Math"/>
              <w:noProof/>
            </w:rPr>
            <m:t>4</m:t>
          </m:r>
          <m:r>
            <w:rPr>
              <w:rFonts w:ascii="Cambria Math" w:eastAsiaTheme="minorEastAsia" w:hAnsi="Cambria Math"/>
              <w:i/>
              <w:iCs/>
            </w:rPr>
            <w:fldChar w:fldCharType="end"/>
          </m:r>
          <m:r>
            <w:rPr>
              <w:rFonts w:ascii="Cambria Math" w:eastAsiaTheme="minorEastAsia" w:hAnsi="Cambria Math"/>
            </w:rPr>
            <m:t>)</m:t>
          </m:r>
        </m:oMath>
      </m:oMathPara>
    </w:p>
    <w:p w14:paraId="77C00D0E" w14:textId="77777777" w:rsidR="00F80195" w:rsidRPr="00352F5B" w:rsidRDefault="00F80195" w:rsidP="00D542B6">
      <w:pPr>
        <w:jc w:val="both"/>
        <w:rPr>
          <w:rFonts w:eastAsiaTheme="minorEastAsia"/>
        </w:rPr>
      </w:pPr>
      <m:oMathPara>
        <m:oMath>
          <m:r>
            <w:rPr>
              <w:rFonts w:ascii="Cambria Math" w:eastAsiaTheme="minorEastAsia" w:hAnsi="Cambria Math"/>
            </w:rPr>
            <m:t>V</m:t>
          </m:r>
          <m:d>
            <m:dPr>
              <m:ctrlPr>
                <w:rPr>
                  <w:rFonts w:ascii="Cambria Math" w:eastAsiaTheme="minorEastAsia" w:hAnsi="Cambria Math"/>
                </w:rPr>
              </m:ctrlPr>
            </m:dPr>
            <m:e>
              <m:r>
                <w:rPr>
                  <w:rFonts w:ascii="Cambria Math" w:eastAsiaTheme="minorEastAsia" w:hAnsi="Cambria Math"/>
                </w:rPr>
                <m:t>π</m:t>
              </m:r>
            </m:e>
          </m:d>
          <m:r>
            <m:rPr>
              <m:sty m:val="p"/>
            </m:rPr>
            <w:rPr>
              <w:rFonts w:ascii="Cambria Math" w:eastAsiaTheme="minorEastAsia" w:hAnsi="Cambria Math"/>
            </w:rPr>
            <m:t>=</m:t>
          </m:r>
          <m:r>
            <w:rPr>
              <w:rFonts w:ascii="Cambria Math" w:eastAsiaTheme="minorEastAsia" w:hAnsi="Cambria Math"/>
            </w:rPr>
            <m:t>E</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rPr>
              </m:ctrlPr>
            </m:dPr>
            <m:e>
              <m:r>
                <m:rPr>
                  <m:sty m:val="p"/>
                </m:rPr>
                <w:rPr>
                  <w:rFonts w:ascii="Cambria Math" w:eastAsiaTheme="minorEastAsia" w:hAnsi="Cambria Math"/>
                </w:rPr>
                <m:t>0</m:t>
              </m:r>
            </m:e>
          </m:d>
          <m:r>
            <m:rPr>
              <m:sty m:val="p"/>
            </m:rPr>
            <w:rPr>
              <w:rFonts w:ascii="Cambria Math" w:eastAsiaTheme="minorEastAsia" w:hAnsi="Cambria Math"/>
            </w:rPr>
            <m:t>+</m:t>
          </m:r>
          <m: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τ</m:t>
              </m:r>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π</m:t>
              </m:r>
              <m:d>
                <m:dPr>
                  <m:ctrlPr>
                    <w:rPr>
                      <w:rFonts w:ascii="Cambria Math" w:eastAsiaTheme="minorEastAsia" w:hAnsi="Cambria Math"/>
                    </w:rPr>
                  </m:ctrlPr>
                </m:dPr>
                <m:e>
                  <m:r>
                    <w:rPr>
                      <w:rFonts w:ascii="Cambria Math" w:eastAsiaTheme="minorEastAsia" w:hAnsi="Cambria Math"/>
                    </w:rPr>
                    <m:t>X</m:t>
                  </m:r>
                </m:e>
              </m:d>
            </m:e>
          </m:d>
          <m:r>
            <m:rPr>
              <m:sty m:val="p"/>
            </m:rP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SEQ Equation \* ARABIC </m:t>
          </m:r>
          <m:r>
            <m:rPr>
              <m:sty m:val="p"/>
            </m:rPr>
            <w:rPr>
              <w:rFonts w:ascii="Cambria Math" w:eastAsiaTheme="minorEastAsia" w:hAnsi="Cambria Math"/>
            </w:rPr>
            <w:fldChar w:fldCharType="separate"/>
          </m:r>
          <m:r>
            <m:rPr>
              <m:sty m:val="p"/>
            </m:rPr>
            <w:rPr>
              <w:rFonts w:ascii="Cambria Math" w:eastAsiaTheme="minorEastAsia" w:hAnsi="Cambria Math"/>
              <w:noProof/>
            </w:rPr>
            <m:t>5</m:t>
          </m:r>
          <m:r>
            <m:rPr>
              <m:sty m:val="p"/>
            </m:rPr>
            <w:rPr>
              <w:rFonts w:ascii="Cambria Math" w:eastAsiaTheme="minorEastAsia" w:hAnsi="Cambria Math"/>
            </w:rPr>
            <w:fldChar w:fldCharType="end"/>
          </m:r>
          <m:r>
            <m:rPr>
              <m:sty m:val="p"/>
            </m:rPr>
            <w:rPr>
              <w:rFonts w:ascii="Cambria Math" w:eastAsiaTheme="minorEastAsia" w:hAnsi="Cambria Math"/>
            </w:rPr>
            <m:t>)</m:t>
          </m:r>
        </m:oMath>
      </m:oMathPara>
    </w:p>
    <w:p w14:paraId="1DC1BF09" w14:textId="77777777" w:rsidR="00F80195" w:rsidRPr="00352F5B" w:rsidRDefault="00F80195" w:rsidP="00D542B6">
      <w:pPr>
        <w:jc w:val="both"/>
        <w:rPr>
          <w:rFonts w:eastAsiaTheme="minorEastAsia"/>
        </w:rPr>
      </w:pPr>
      <w:r>
        <w:rPr>
          <w:rFonts w:eastAsiaTheme="minorEastAsia"/>
        </w:rPr>
        <w:t xml:space="preserve">The equation 5 demonstrates that the value is the sum of yield at control (baseline) and the yield gains (i.e., treatment effects) after following the policy. </w:t>
      </w:r>
      <w:r w:rsidRPr="00352F5B">
        <w:rPr>
          <w:rFonts w:eastAsiaTheme="minorEastAsia"/>
        </w:rPr>
        <w:t xml:space="preserve">The type of loss function to use when deciding who should get the treatment on the basis of this value can be through threshold target (e.g., if </w:t>
      </w:r>
      <m:oMath>
        <m:r>
          <w:rPr>
            <w:rFonts w:ascii="Cambria Math" w:eastAsiaTheme="minorEastAsia" w:hAnsi="Cambria Math"/>
          </w:rPr>
          <m:t>τ</m:t>
        </m:r>
        <m:r>
          <m:rPr>
            <m:sty m:val="p"/>
          </m:rPr>
          <w:rPr>
            <w:rFonts w:ascii="Cambria Math" w:eastAsiaTheme="minorEastAsia" w:hAnsi="Cambria Math"/>
          </w:rPr>
          <m:t>&gt;</m:t>
        </m:r>
        <m:r>
          <w:rPr>
            <w:rFonts w:ascii="Cambria Math" w:eastAsiaTheme="minorEastAsia" w:hAnsi="Cambria Math"/>
          </w:rPr>
          <m:t>c</m:t>
        </m:r>
      </m:oMath>
      <w:r w:rsidRPr="00352F5B">
        <w:rPr>
          <w:rFonts w:eastAsiaTheme="minorEastAsia"/>
        </w:rPr>
        <w:t xml:space="preserve">, where </w:t>
      </w:r>
      <m:oMath>
        <m:r>
          <m:rPr>
            <m:sty m:val="p"/>
          </m:rPr>
          <w:rPr>
            <w:rFonts w:ascii="Cambria Math" w:eastAsiaTheme="minorEastAsia" w:hAnsi="Cambria Math"/>
          </w:rPr>
          <m:t xml:space="preserve"> </m:t>
        </m:r>
        <m:r>
          <w:rPr>
            <w:rFonts w:ascii="Cambria Math" w:eastAsiaTheme="minorEastAsia" w:hAnsi="Cambria Math"/>
          </w:rPr>
          <m:t>c</m:t>
        </m:r>
      </m:oMath>
      <w:r w:rsidRPr="00352F5B">
        <w:rPr>
          <w:rFonts w:eastAsiaTheme="minorEastAsia"/>
        </w:rPr>
        <w:t xml:space="preserve"> is some threshold which can represent cost of delivery), inverse propensity score weighting loss function (Kitagawa and Tetenov 2018) or a doubly robust value estimator (Athey and Wager 2021). </w:t>
      </w:r>
    </w:p>
    <w:p w14:paraId="2CCA73F1" w14:textId="77777777" w:rsidR="00F80195" w:rsidRPr="00352F5B" w:rsidRDefault="00F80195" w:rsidP="00D542B6">
      <w:pPr>
        <w:jc w:val="both"/>
        <w:rPr>
          <w:rFonts w:eastAsiaTheme="minorEastAsia"/>
        </w:rPr>
      </w:pPr>
      <w:r w:rsidRPr="00352F5B">
        <w:rPr>
          <w:rFonts w:eastAsiaTheme="minorEastAsia"/>
        </w:rPr>
        <w:t>In observational data settings, doubly robust value estimator (Athey and Wager (2021) has been documented to be effective for generating personalized recommendations. We present next the derivation of policy function based on this method. The goal is to choose a policy that maximizes the value function</w:t>
      </w:r>
      <w:r>
        <w:rPr>
          <w:rFonts w:eastAsiaTheme="minorEastAsia"/>
        </w:rPr>
        <w:t xml:space="preserve"> defined as: </w:t>
      </w:r>
    </w:p>
    <w:p w14:paraId="6DCEBCD0" w14:textId="77777777" w:rsidR="00F80195" w:rsidRPr="00037ADE" w:rsidRDefault="00000000" w:rsidP="00D542B6">
      <w:pPr>
        <w:jc w:val="both"/>
        <w:rPr>
          <w:rFonts w:eastAsiaTheme="minorEastAsia"/>
        </w:rPr>
      </w:pPr>
      <m:oMathPara>
        <m:oMath>
          <m:acc>
            <m:accPr>
              <m:ctrlPr>
                <w:rPr>
                  <w:rFonts w:ascii="Cambria Math" w:eastAsiaTheme="minorEastAsia" w:hAnsi="Cambria Math"/>
                </w:rPr>
              </m:ctrlPr>
            </m:accPr>
            <m:e>
              <m:r>
                <w:rPr>
                  <w:rFonts w:ascii="Cambria Math" w:eastAsiaTheme="minorEastAsia" w:hAnsi="Cambria Math"/>
                </w:rPr>
                <m:t>π</m:t>
              </m:r>
            </m:e>
          </m:acc>
          <m:r>
            <m:rPr>
              <m:sty m:val="p"/>
            </m:rPr>
            <w:rPr>
              <w:rFonts w:ascii="Cambria Math" w:eastAsiaTheme="minorEastAsia" w:hAnsi="Cambria Math"/>
            </w:rPr>
            <m:t>=</m:t>
          </m:r>
          <m:r>
            <w:rPr>
              <w:rFonts w:ascii="Cambria Math" w:eastAsiaTheme="minorEastAsia" w:hAnsi="Cambria Math"/>
            </w:rPr>
            <m:t>argmax</m:t>
          </m:r>
          <m:r>
            <m:rPr>
              <m:sty m:val="p"/>
            </m:rPr>
            <w:rPr>
              <w:rFonts w:ascii="Cambria Math" w:eastAsiaTheme="minorEastAsia" w:hAnsi="Cambria Math"/>
            </w:rPr>
            <m:t xml:space="preserve"> </m:t>
          </m:r>
          <m:d>
            <m:dPr>
              <m:begChr m:val="{"/>
              <m:endChr m:val="}"/>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V</m:t>
                  </m:r>
                </m:e>
              </m:acc>
              <m:d>
                <m:dPr>
                  <m:ctrlPr>
                    <w:rPr>
                      <w:rFonts w:ascii="Cambria Math" w:eastAsiaTheme="minorEastAsia" w:hAnsi="Cambria Math"/>
                    </w:rPr>
                  </m:ctrlPr>
                </m:dPr>
                <m:e>
                  <m:r>
                    <w:rPr>
                      <w:rFonts w:ascii="Cambria Math" w:eastAsiaTheme="minorEastAsia" w:hAnsi="Cambria Math"/>
                    </w:rPr>
                    <m:t>π</m:t>
                  </m:r>
                </m:e>
              </m:d>
              <m:r>
                <m:rPr>
                  <m:sty m:val="p"/>
                </m:rPr>
                <w:rPr>
                  <w:rFonts w:ascii="Cambria Math" w:eastAsiaTheme="minorEastAsia" w:hAnsi="Cambria Math"/>
                </w:rPr>
                <m:t>:</m:t>
              </m:r>
              <m:r>
                <w:rPr>
                  <w:rFonts w:ascii="Cambria Math" w:eastAsiaTheme="minorEastAsia" w:hAnsi="Cambria Math"/>
                </w:rPr>
                <m:t>π</m:t>
              </m:r>
              <m:r>
                <m:rPr>
                  <m:sty m:val="p"/>
                </m:rPr>
                <w:rPr>
                  <w:rFonts w:ascii="Cambria Math" w:eastAsiaTheme="minorEastAsia" w:hAnsi="Cambria Math"/>
                </w:rPr>
                <m:t>∈</m:t>
              </m:r>
              <m:r>
                <w:rPr>
                  <w:rFonts w:ascii="Cambria Math" w:eastAsiaTheme="minorEastAsia" w:hAnsi="Cambria Math"/>
                </w:rPr>
                <m:t>Π</m:t>
              </m:r>
            </m:e>
          </m:d>
          <m:r>
            <m:rPr>
              <m:sty m:val="p"/>
            </m:rP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SEQ Equation \* ARABIC </m:t>
          </m:r>
          <m:r>
            <m:rPr>
              <m:sty m:val="p"/>
            </m:rPr>
            <w:rPr>
              <w:rFonts w:ascii="Cambria Math" w:eastAsiaTheme="minorEastAsia" w:hAnsi="Cambria Math"/>
            </w:rPr>
            <w:fldChar w:fldCharType="separate"/>
          </m:r>
          <m:r>
            <m:rPr>
              <m:sty m:val="p"/>
            </m:rPr>
            <w:rPr>
              <w:rFonts w:ascii="Cambria Math" w:eastAsiaTheme="minorEastAsia" w:hAnsi="Cambria Math"/>
              <w:noProof/>
            </w:rPr>
            <m:t>6</m:t>
          </m:r>
          <m:r>
            <m:rPr>
              <m:sty m:val="p"/>
            </m:rPr>
            <w:rPr>
              <w:rFonts w:ascii="Cambria Math" w:eastAsiaTheme="minorEastAsia" w:hAnsi="Cambria Math"/>
            </w:rPr>
            <w:fldChar w:fldCharType="end"/>
          </m:r>
          <m:r>
            <m:rPr>
              <m:sty m:val="p"/>
            </m:rPr>
            <w:rPr>
              <w:rFonts w:ascii="Cambria Math" w:eastAsiaTheme="minorEastAsia" w:hAnsi="Cambria Math"/>
            </w:rPr>
            <m:t>)</m:t>
          </m:r>
        </m:oMath>
      </m:oMathPara>
    </w:p>
    <w:p w14:paraId="2F2E76B8" w14:textId="77777777" w:rsidR="00F80195" w:rsidRPr="00352F5B" w:rsidRDefault="00F80195" w:rsidP="00D542B6">
      <w:pPr>
        <w:jc w:val="both"/>
        <w:rPr>
          <w:rFonts w:eastAsiaTheme="minorEastAsia"/>
        </w:rPr>
      </w:pPr>
      <w:r>
        <w:rPr>
          <w:rFonts w:eastAsiaTheme="minorEastAsia"/>
        </w:rPr>
        <w:t>where the utilitarian value is defined as:</w:t>
      </w:r>
    </w:p>
    <w:p w14:paraId="248D2DC3" w14:textId="77777777" w:rsidR="00F80195" w:rsidRPr="0034222F" w:rsidRDefault="00000000" w:rsidP="00D542B6">
      <w:pPr>
        <w:jc w:val="both"/>
        <w:rPr>
          <w:rFonts w:eastAsiaTheme="minorEastAsia"/>
        </w:rPr>
      </w:pPr>
      <m:oMathPara>
        <m:oMath>
          <m:acc>
            <m:accPr>
              <m:ctrlPr>
                <w:rPr>
                  <w:rFonts w:ascii="Cambria Math" w:eastAsiaTheme="minorEastAsia" w:hAnsi="Cambria Math"/>
                </w:rPr>
              </m:ctrlPr>
            </m:accPr>
            <m:e>
              <m:r>
                <w:rPr>
                  <w:rFonts w:ascii="Cambria Math" w:eastAsiaTheme="minorEastAsia" w:hAnsi="Cambria Math"/>
                </w:rPr>
                <m:t>V</m:t>
              </m:r>
            </m:e>
          </m:acc>
          <m:d>
            <m:dPr>
              <m:ctrlPr>
                <w:rPr>
                  <w:rFonts w:ascii="Cambria Math" w:eastAsiaTheme="minorEastAsia" w:hAnsi="Cambria Math"/>
                </w:rPr>
              </m:ctrlPr>
            </m:dPr>
            <m:e>
              <m:r>
                <w:rPr>
                  <w:rFonts w:ascii="Cambria Math" w:eastAsiaTheme="minorEastAsia" w:hAnsi="Cambria Math"/>
                </w:rPr>
                <m:t>π</m:t>
              </m:r>
            </m:e>
          </m:d>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n</m:t>
              </m:r>
            </m:den>
          </m:f>
          <m:nary>
            <m:naryPr>
              <m:chr m:val="∑"/>
              <m:ctrlPr>
                <w:rPr>
                  <w:rFonts w:ascii="Cambria Math" w:eastAsiaTheme="minorEastAsia" w:hAnsi="Cambria Math"/>
                </w:rPr>
              </m:ctrlPr>
            </m:naryPr>
            <m:sub>
              <m:r>
                <w:rPr>
                  <w:rFonts w:ascii="Cambria Math" w:eastAsiaTheme="minorEastAsia" w:hAnsi="Cambria Math"/>
                </w:rPr>
                <m:t>i</m:t>
              </m:r>
              <m:r>
                <m:rPr>
                  <m:sty m:val="p"/>
                </m:rPr>
                <w:rPr>
                  <w:rFonts w:ascii="Cambria Math" w:eastAsiaTheme="minorEastAsia" w:hAnsi="Cambria Math"/>
                </w:rPr>
                <m:t>=1</m:t>
              </m:r>
            </m:sub>
            <m:sup>
              <m:r>
                <w:rPr>
                  <w:rFonts w:ascii="Cambria Math" w:eastAsiaTheme="minorEastAsia" w:hAnsi="Cambria Math"/>
                </w:rPr>
                <m:t>n</m:t>
              </m:r>
            </m:sup>
            <m:e>
              <m:d>
                <m:dPr>
                  <m:ctrlPr>
                    <w:rPr>
                      <w:rFonts w:ascii="Cambria Math" w:eastAsiaTheme="minorEastAsia" w:hAnsi="Cambria Math"/>
                    </w:rPr>
                  </m:ctrlPr>
                </m:dPr>
                <m:e>
                  <m:r>
                    <m:rPr>
                      <m:sty m:val="p"/>
                    </m:rPr>
                    <w:rPr>
                      <w:rFonts w:ascii="Cambria Math" w:eastAsiaTheme="minorEastAsia" w:hAnsi="Cambria Math"/>
                    </w:rPr>
                    <m:t>2</m:t>
                  </m:r>
                  <m:r>
                    <w:rPr>
                      <w:rFonts w:ascii="Cambria Math" w:eastAsiaTheme="minorEastAsia" w:hAnsi="Cambria Math"/>
                    </w:rPr>
                    <m:t>π</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r>
                    <m:rPr>
                      <m:sty m:val="p"/>
                    </m:rPr>
                    <w:rPr>
                      <w:rFonts w:ascii="Cambria Math" w:eastAsiaTheme="minorEastAsia" w:hAnsi="Cambria Math"/>
                    </w:rPr>
                    <m:t>-1</m:t>
                  </m:r>
                </m:e>
              </m:d>
            </m:e>
          </m:nary>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Γ</m:t>
                  </m:r>
                </m:e>
              </m:acc>
            </m:e>
            <m:sub>
              <m:r>
                <w:rPr>
                  <w:rFonts w:ascii="Cambria Math" w:eastAsiaTheme="minorEastAsia" w:hAnsi="Cambria Math"/>
                </w:rPr>
                <m:t>i</m:t>
              </m:r>
            </m:sub>
          </m:sSub>
          <m:r>
            <m:rPr>
              <m:sty m:val="p"/>
            </m:rP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SEQ Equation \* ARABIC </m:t>
          </m:r>
          <m:r>
            <m:rPr>
              <m:sty m:val="p"/>
            </m:rPr>
            <w:rPr>
              <w:rFonts w:ascii="Cambria Math" w:eastAsiaTheme="minorEastAsia" w:hAnsi="Cambria Math"/>
            </w:rPr>
            <w:fldChar w:fldCharType="separate"/>
          </m:r>
          <m:r>
            <m:rPr>
              <m:sty m:val="p"/>
            </m:rPr>
            <w:rPr>
              <w:rFonts w:ascii="Cambria Math" w:eastAsiaTheme="minorEastAsia" w:hAnsi="Cambria Math"/>
              <w:noProof/>
            </w:rPr>
            <m:t>7</m:t>
          </m:r>
          <m:r>
            <m:rPr>
              <m:sty m:val="p"/>
            </m:rPr>
            <w:rPr>
              <w:rFonts w:ascii="Cambria Math" w:eastAsiaTheme="minorEastAsia" w:hAnsi="Cambria Math"/>
            </w:rPr>
            <w:fldChar w:fldCharType="end"/>
          </m:r>
          <m:r>
            <m:rPr>
              <m:sty m:val="p"/>
            </m:rPr>
            <w:rPr>
              <w:rFonts w:ascii="Cambria Math" w:eastAsiaTheme="minorEastAsia" w:hAnsi="Cambria Math"/>
            </w:rPr>
            <m:t>)</m:t>
          </m:r>
        </m:oMath>
      </m:oMathPara>
    </w:p>
    <w:p w14:paraId="57215F2A" w14:textId="77777777" w:rsidR="00F80195" w:rsidRPr="00352F5B" w:rsidRDefault="00F80195" w:rsidP="00D542B6">
      <w:pPr>
        <w:jc w:val="both"/>
        <w:rPr>
          <w:rFonts w:eastAsiaTheme="minorEastAsia"/>
        </w:rPr>
      </w:pPr>
      <w:r>
        <w:rPr>
          <w:rFonts w:eastAsiaTheme="minorEastAsia"/>
        </w:rPr>
        <w:t>And the treatment effects are evaluated using a doubly robust estimator as follows:</w:t>
      </w:r>
    </w:p>
    <w:p w14:paraId="364CB97B" w14:textId="77777777" w:rsidR="00F80195" w:rsidRPr="00352F5B" w:rsidRDefault="00000000" w:rsidP="00D542B6">
      <w:pPr>
        <w:jc w:val="both"/>
        <w:rPr>
          <w:rFonts w:eastAsiaTheme="minorEastAsia"/>
        </w:rPr>
      </w:pPr>
      <m:oMathPara>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Γ</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μ</m:t>
                  </m:r>
                </m:e>
              </m:acc>
            </m:e>
            <m:sub>
              <m:r>
                <m:rPr>
                  <m:sty m:val="p"/>
                </m:rPr>
                <w:rPr>
                  <w:rFonts w:ascii="Cambria Math" w:eastAsiaTheme="minorEastAsia" w:hAnsi="Cambria Math"/>
                </w:rPr>
                <m:t>1</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r>
            <m:rPr>
              <m:sty m:val="p"/>
            </m:rPr>
            <w:rPr>
              <w:rFonts w:ascii="Cambria Math" w:eastAsiaTheme="minorEastAsia" w:hAnsi="Cambria Math"/>
            </w:rPr>
            <m:t>-</m:t>
          </m:r>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μ</m:t>
                  </m:r>
                </m:e>
              </m:acc>
            </m:e>
            <m:sub>
              <m:r>
                <m:rPr>
                  <m:sty m:val="p"/>
                </m:rPr>
                <w:rPr>
                  <w:rFonts w:ascii="Cambria Math" w:eastAsiaTheme="minorEastAsia" w:hAnsi="Cambria Math"/>
                </w:rPr>
                <m:t>0</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m:t>
                  </m:r>
                </m:sub>
              </m:sSub>
            </m:num>
            <m:den>
              <m:acc>
                <m:accPr>
                  <m:ctrlPr>
                    <w:rPr>
                      <w:rFonts w:ascii="Cambria Math" w:eastAsiaTheme="minorEastAsia" w:hAnsi="Cambria Math"/>
                    </w:rPr>
                  </m:ctrlPr>
                </m:accPr>
                <m:e>
                  <m:r>
                    <w:rPr>
                      <w:rFonts w:ascii="Cambria Math" w:eastAsiaTheme="minorEastAsia" w:hAnsi="Cambria Math"/>
                    </w:rPr>
                    <m:t>e</m:t>
                  </m:r>
                </m:e>
              </m:acc>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den>
          </m:f>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1</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e>
          </m:d>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m:t>
                  </m:r>
                </m:sub>
              </m:sSub>
            </m:num>
            <m:den>
              <m:r>
                <m:rPr>
                  <m:sty m:val="p"/>
                </m:rPr>
                <w:rPr>
                  <w:rFonts w:ascii="Cambria Math" w:eastAsiaTheme="minorEastAsia" w:hAnsi="Cambria Math"/>
                </w:rPr>
                <m:t>1-</m:t>
              </m:r>
              <m:acc>
                <m:accPr>
                  <m:ctrlPr>
                    <w:rPr>
                      <w:rFonts w:ascii="Cambria Math" w:eastAsiaTheme="minorEastAsia" w:hAnsi="Cambria Math"/>
                    </w:rPr>
                  </m:ctrlPr>
                </m:accPr>
                <m:e>
                  <m:r>
                    <w:rPr>
                      <w:rFonts w:ascii="Cambria Math" w:eastAsiaTheme="minorEastAsia" w:hAnsi="Cambria Math"/>
                    </w:rPr>
                    <m:t>e</m:t>
                  </m:r>
                </m:e>
              </m:acc>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den>
          </m:f>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μ</m:t>
                      </m:r>
                    </m:e>
                  </m:acc>
                </m:e>
                <m:sub>
                  <m:r>
                    <w:rPr>
                      <w:rFonts w:ascii="Cambria Math" w:eastAsiaTheme="minorEastAsia" w:hAnsi="Cambria Math"/>
                    </w:rPr>
                    <m:t>o</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d>
            </m:e>
          </m:d>
          <m:r>
            <m:rPr>
              <m:sty m:val="p"/>
            </m:rP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SEQ Equation \* ARABIC </m:t>
          </m:r>
          <m:r>
            <m:rPr>
              <m:sty m:val="p"/>
            </m:rPr>
            <w:rPr>
              <w:rFonts w:ascii="Cambria Math" w:eastAsiaTheme="minorEastAsia" w:hAnsi="Cambria Math"/>
            </w:rPr>
            <w:fldChar w:fldCharType="separate"/>
          </m:r>
          <m:r>
            <m:rPr>
              <m:sty m:val="p"/>
            </m:rPr>
            <w:rPr>
              <w:rFonts w:ascii="Cambria Math" w:eastAsiaTheme="minorEastAsia" w:hAnsi="Cambria Math"/>
              <w:noProof/>
            </w:rPr>
            <m:t>8</m:t>
          </m:r>
          <m:r>
            <m:rPr>
              <m:sty m:val="p"/>
            </m:rPr>
            <w:rPr>
              <w:rFonts w:ascii="Cambria Math" w:eastAsiaTheme="minorEastAsia" w:hAnsi="Cambria Math"/>
            </w:rPr>
            <w:fldChar w:fldCharType="end"/>
          </m:r>
          <m:r>
            <m:rPr>
              <m:sty m:val="p"/>
            </m:rPr>
            <w:rPr>
              <w:rFonts w:ascii="Cambria Math" w:eastAsiaTheme="minorEastAsia" w:hAnsi="Cambria Math"/>
            </w:rPr>
            <m:t>)</m:t>
          </m:r>
        </m:oMath>
      </m:oMathPara>
    </w:p>
    <w:p w14:paraId="38747AC0" w14:textId="27FDC8AF" w:rsidR="00F80195" w:rsidRPr="00352F5B" w:rsidRDefault="00F80195" w:rsidP="00D542B6">
      <w:pPr>
        <w:jc w:val="both"/>
        <w:rPr>
          <w:rFonts w:eastAsiaTheme="minorEastAsia"/>
        </w:rPr>
      </w:pPr>
      <w:r w:rsidRPr="00352F5B">
        <w:rPr>
          <w:rFonts w:eastAsiaTheme="minorEastAsia"/>
        </w:rPr>
        <w:t>To evaluate the effectiveness of the targeting policy,</w:t>
      </w:r>
      <w:r w:rsidR="00794C7C">
        <w:rPr>
          <w:rFonts w:eastAsiaTheme="minorEastAsia"/>
        </w:rPr>
        <w:t xml:space="preserve"> one can </w:t>
      </w:r>
      <w:r w:rsidRPr="00352F5B">
        <w:rPr>
          <w:rFonts w:eastAsiaTheme="minorEastAsia"/>
        </w:rPr>
        <w:t xml:space="preserve">follow the </w:t>
      </w:r>
      <w:proofErr w:type="gramStart"/>
      <w:r w:rsidRPr="00352F5B">
        <w:rPr>
          <w:rFonts w:eastAsiaTheme="minorEastAsia"/>
        </w:rPr>
        <w:t>cross fitting</w:t>
      </w:r>
      <w:proofErr w:type="gramEnd"/>
      <w:r w:rsidRPr="00352F5B">
        <w:rPr>
          <w:rFonts w:eastAsiaTheme="minorEastAsia"/>
        </w:rPr>
        <w:t xml:space="preserve"> </w:t>
      </w:r>
      <w:r w:rsidR="00420340">
        <w:rPr>
          <w:rFonts w:eastAsiaTheme="minorEastAsia"/>
        </w:rPr>
        <w:t xml:space="preserve">procedure </w:t>
      </w:r>
      <w:r w:rsidRPr="00352F5B">
        <w:rPr>
          <w:rFonts w:eastAsiaTheme="minorEastAsia"/>
        </w:rPr>
        <w:t xml:space="preserve">for policy estimation and evaluation. This allows us to test the value of targeting out of sample against a uniform policy in which all farmers are assigned to the highest yielding treatment. </w:t>
      </w:r>
    </w:p>
    <w:p w14:paraId="6795F422" w14:textId="77777777" w:rsidR="00F80195" w:rsidRPr="00352F5B" w:rsidRDefault="00F80195" w:rsidP="00D542B6">
      <w:pPr>
        <w:jc w:val="both"/>
        <w:rPr>
          <w:rFonts w:eastAsiaTheme="minorEastAsia"/>
        </w:rPr>
      </w:pPr>
      <w:r w:rsidRPr="00352F5B">
        <w:rPr>
          <w:rFonts w:eastAsiaTheme="minorEastAsia"/>
        </w:rPr>
        <w:t>The procedure involves two steps: (1) policy estimation, and (2) policy evaluation. We use separate datasets for policy estimation (50%) and evaluation (50%). Using the estimation sample, we optimally assign farmers to the treatment arms. We then use the model to predict the value of targeting or uniform policies on an evaluation sample. We then check the value of the targeting policy by comparing it to the uniform policy of assigning everyone to the best treatment.</w:t>
      </w:r>
      <w:r>
        <w:rPr>
          <w:rFonts w:eastAsiaTheme="minorEastAsia"/>
        </w:rPr>
        <w:t xml:space="preserve"> We also use </w:t>
      </w:r>
      <w:proofErr w:type="spellStart"/>
      <w:r>
        <w:rPr>
          <w:rFonts w:eastAsiaTheme="minorEastAsia"/>
        </w:rPr>
        <w:t>qini</w:t>
      </w:r>
      <w:proofErr w:type="spellEnd"/>
      <w:r>
        <w:rPr>
          <w:rFonts w:eastAsiaTheme="minorEastAsia"/>
        </w:rPr>
        <w:t xml:space="preserve"> curves estimated using </w:t>
      </w:r>
      <w:proofErr w:type="spellStart"/>
      <w:r w:rsidRPr="00441F12">
        <w:rPr>
          <w:rFonts w:eastAsiaTheme="minorEastAsia"/>
          <w:i/>
          <w:iCs/>
        </w:rPr>
        <w:t>maq</w:t>
      </w:r>
      <w:proofErr w:type="spellEnd"/>
      <w:r>
        <w:rPr>
          <w:rFonts w:eastAsiaTheme="minorEastAsia"/>
        </w:rPr>
        <w:t xml:space="preserve"> R package (Sverdrup et al 2024) to compute the value of targeting for each of the practices and combinations of practices.</w:t>
      </w:r>
      <w:r w:rsidRPr="00352F5B">
        <w:rPr>
          <w:rFonts w:eastAsiaTheme="minorEastAsia"/>
        </w:rPr>
        <w:t xml:space="preserve"> Both policy estimation and evaluation are implemented using </w:t>
      </w:r>
      <w:proofErr w:type="spellStart"/>
      <w:r w:rsidRPr="00352F5B">
        <w:rPr>
          <w:rFonts w:eastAsiaTheme="minorEastAsia"/>
          <w:i/>
          <w:iCs/>
        </w:rPr>
        <w:t>policytree</w:t>
      </w:r>
      <w:proofErr w:type="spellEnd"/>
      <w:r w:rsidRPr="00352F5B">
        <w:rPr>
          <w:rFonts w:eastAsiaTheme="minorEastAsia"/>
        </w:rPr>
        <w:t xml:space="preserve"> R package (Sverdrup et al 2020) which is also integrated in the </w:t>
      </w:r>
      <w:proofErr w:type="spellStart"/>
      <w:r w:rsidRPr="00352F5B">
        <w:rPr>
          <w:rFonts w:eastAsiaTheme="minorEastAsia"/>
          <w:i/>
          <w:iCs/>
        </w:rPr>
        <w:t>grf</w:t>
      </w:r>
      <w:proofErr w:type="spellEnd"/>
      <w:r w:rsidRPr="00352F5B">
        <w:rPr>
          <w:rFonts w:eastAsiaTheme="minorEastAsia"/>
        </w:rPr>
        <w:t xml:space="preserve"> R package (Athey et al 2019).</w:t>
      </w:r>
    </w:p>
    <w:p w14:paraId="35EEC7B7" w14:textId="77777777" w:rsidR="00F80195" w:rsidRPr="00352F5B" w:rsidRDefault="00F80195" w:rsidP="00F80195">
      <w:pPr>
        <w:rPr>
          <w:rFonts w:eastAsiaTheme="minorEastAsia"/>
        </w:rPr>
      </w:pPr>
      <w:r w:rsidRPr="00352F5B">
        <w:rPr>
          <w:noProof/>
        </w:rPr>
        <w:drawing>
          <wp:inline distT="0" distB="0" distL="0" distR="0" wp14:anchorId="0DB1C665" wp14:editId="0BE7384E">
            <wp:extent cx="5364863" cy="3896139"/>
            <wp:effectExtent l="0" t="0" r="7620" b="9525"/>
            <wp:docPr id="125427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5051" cy="3932587"/>
                    </a:xfrm>
                    <a:prstGeom prst="rect">
                      <a:avLst/>
                    </a:prstGeom>
                    <a:noFill/>
                    <a:ln>
                      <a:noFill/>
                    </a:ln>
                  </pic:spPr>
                </pic:pic>
              </a:graphicData>
            </a:graphic>
          </wp:inline>
        </w:drawing>
      </w:r>
    </w:p>
    <w:p w14:paraId="0881E9F9" w14:textId="7A03940F" w:rsidR="00D36D33" w:rsidRDefault="00F80195" w:rsidP="00D36D33">
      <w:r w:rsidRPr="00352F5B">
        <w:rPr>
          <w:rFonts w:eastAsiaTheme="minorEastAsia"/>
        </w:rPr>
        <w:t xml:space="preserve">Figure </w:t>
      </w:r>
      <w:r w:rsidR="00933839">
        <w:rPr>
          <w:rFonts w:eastAsiaTheme="minorEastAsia"/>
        </w:rPr>
        <w:t>2</w:t>
      </w:r>
      <w:r w:rsidRPr="00352F5B">
        <w:rPr>
          <w:rFonts w:eastAsiaTheme="minorEastAsia"/>
        </w:rPr>
        <w:t>: Causal machine learning and policy learning workflow</w:t>
      </w:r>
    </w:p>
    <w:p w14:paraId="2CCF650C" w14:textId="407ADC8A" w:rsidR="00383C03" w:rsidRDefault="00383C03" w:rsidP="00383C03">
      <w:pPr>
        <w:pStyle w:val="BodyText"/>
      </w:pPr>
      <w:r w:rsidRPr="00ED55E5">
        <w:rPr>
          <w:b/>
          <w:bCs/>
        </w:rPr>
        <w:t>Replication materials</w:t>
      </w:r>
      <w:r w:rsidR="00ED55E5" w:rsidRPr="00ED55E5">
        <w:rPr>
          <w:b/>
          <w:bCs/>
        </w:rPr>
        <w:t xml:space="preserve">: </w:t>
      </w:r>
      <w:hyperlink r:id="rId11">
        <w:r>
          <w:rPr>
            <w:rStyle w:val="Hyperlink"/>
          </w:rPr>
          <w:t>https://eia2030-ex-ante.github.io/causal_RF_targeting/</w:t>
        </w:r>
      </w:hyperlink>
      <w:r>
        <w:t xml:space="preserve"> for an application in India and </w:t>
      </w:r>
      <w:hyperlink r:id="rId12">
        <w:r>
          <w:rPr>
            <w:rStyle w:val="Hyperlink"/>
          </w:rPr>
          <w:t>https://github.com/MaxwellMkondiwa/TZ_Spatial_NUE_Trends_Causal_AI</w:t>
        </w:r>
      </w:hyperlink>
      <w:r>
        <w:t xml:space="preserve"> for an application in Tanzania.</w:t>
      </w:r>
    </w:p>
    <w:p w14:paraId="02B2AA41" w14:textId="36EE3E34" w:rsidR="009E109D" w:rsidRDefault="00CA7787" w:rsidP="009E109D">
      <w:pPr>
        <w:pStyle w:val="Heading1"/>
      </w:pPr>
      <w:r>
        <w:lastRenderedPageBreak/>
        <w:t>4</w:t>
      </w:r>
      <w:r w:rsidR="009E109D">
        <w:t>. Case studies of causal machine learning as applied to agricultural policy questions</w:t>
      </w:r>
    </w:p>
    <w:p w14:paraId="1B3A351D" w14:textId="40457120" w:rsidR="009E109D" w:rsidRDefault="00CA7787" w:rsidP="009E109D">
      <w:pPr>
        <w:pStyle w:val="Heading2"/>
      </w:pPr>
      <w:r>
        <w:t>4</w:t>
      </w:r>
      <w:r w:rsidR="009E109D">
        <w:t xml:space="preserve">.1. Heterogenous impact of crop rotations on yields </w:t>
      </w:r>
      <w:r w:rsidR="00ED55E5">
        <w:t>and farm profits</w:t>
      </w:r>
    </w:p>
    <w:p w14:paraId="2314678A" w14:textId="58F8DCB7" w:rsidR="009E109D" w:rsidRDefault="009E109D" w:rsidP="00D542B6">
      <w:pPr>
        <w:jc w:val="both"/>
      </w:pPr>
      <w:r w:rsidRPr="005571B9">
        <w:rPr>
          <w:b/>
          <w:bCs/>
        </w:rPr>
        <w:t>Examples:</w:t>
      </w:r>
      <w:r>
        <w:t xml:space="preserve"> Kluger et al (2022, 2026) for USA, France, Canada and China. Takeshima and Kishore (2026) for India</w:t>
      </w:r>
      <w:r w:rsidR="00126D1A">
        <w:t>.</w:t>
      </w:r>
    </w:p>
    <w:p w14:paraId="60D4E6FB" w14:textId="77777777" w:rsidR="009E109D" w:rsidRDefault="009E109D" w:rsidP="00D542B6">
      <w:pPr>
        <w:jc w:val="both"/>
      </w:pPr>
      <w:r w:rsidRPr="005571B9">
        <w:rPr>
          <w:b/>
          <w:bCs/>
        </w:rPr>
        <w:t>Purpose:</w:t>
      </w:r>
      <w:r>
        <w:t xml:space="preserve"> Crop rotations are proposed as potential yield increasing and risk reduction technologies. Experimentally, agronomists randomize the rotations and across several years assess the impacts. In real world settings, it is difficult to assess because there are too many rotations (in some cases), each with many input use combinations and that farmers’ choices of what to do in each of the crops in the sequence is not random. The two case studies address these challenges. </w:t>
      </w:r>
    </w:p>
    <w:p w14:paraId="62AE20D2" w14:textId="77777777" w:rsidR="009E109D" w:rsidRPr="00DB0EAD" w:rsidRDefault="009E109D" w:rsidP="00D542B6">
      <w:pPr>
        <w:jc w:val="both"/>
        <w:rPr>
          <w:b/>
          <w:bCs/>
        </w:rPr>
      </w:pPr>
      <w:r w:rsidRPr="005571B9">
        <w:rPr>
          <w:b/>
          <w:bCs/>
        </w:rPr>
        <w:t>Data and variables:</w:t>
      </w:r>
      <w:r>
        <w:rPr>
          <w:b/>
          <w:bCs/>
        </w:rPr>
        <w:t xml:space="preserve"> </w:t>
      </w:r>
      <w:r w:rsidRPr="003624B5">
        <w:t>Kluger et al (</w:t>
      </w:r>
      <w:r>
        <w:t>2026</w:t>
      </w:r>
      <w:r w:rsidRPr="003624B5">
        <w:t>) uses earth observation data on crop type maps, monthly precipitation, monthly maximum temperature averages and monthly vapor pressure deficit.</w:t>
      </w:r>
      <w:r>
        <w:t xml:space="preserve"> Output proxied by green chlorophyll vegetation index (GCVI). </w:t>
      </w:r>
    </w:p>
    <w:p w14:paraId="4D2DF8DF" w14:textId="77777777" w:rsidR="009E109D" w:rsidRPr="00126D1A" w:rsidRDefault="009E109D" w:rsidP="00D542B6">
      <w:pPr>
        <w:jc w:val="both"/>
        <w:rPr>
          <w:i/>
          <w:iCs/>
        </w:rPr>
      </w:pPr>
      <w:r w:rsidRPr="005571B9">
        <w:rPr>
          <w:b/>
          <w:bCs/>
        </w:rPr>
        <w:t>Causal identification strategy:</w:t>
      </w:r>
      <w:r>
        <w:rPr>
          <w:b/>
          <w:bCs/>
        </w:rPr>
        <w:t xml:space="preserve"> </w:t>
      </w:r>
      <w:r w:rsidRPr="00126D1A">
        <w:rPr>
          <w:i/>
          <w:iCs/>
        </w:rPr>
        <w:t>Discuss and see slides.</w:t>
      </w:r>
    </w:p>
    <w:p w14:paraId="77B16205" w14:textId="5E384EB7" w:rsidR="009E109D" w:rsidRPr="00126D1A" w:rsidRDefault="009E109D" w:rsidP="00D542B6">
      <w:pPr>
        <w:jc w:val="both"/>
        <w:rPr>
          <w:i/>
          <w:iCs/>
        </w:rPr>
      </w:pPr>
      <w:r w:rsidRPr="005571B9">
        <w:rPr>
          <w:b/>
          <w:bCs/>
        </w:rPr>
        <w:t>What causal ML contributed to the analysis:</w:t>
      </w:r>
      <w:r>
        <w:rPr>
          <w:b/>
          <w:bCs/>
        </w:rPr>
        <w:t xml:space="preserve"> </w:t>
      </w:r>
      <w:r w:rsidRPr="00126D1A">
        <w:rPr>
          <w:i/>
          <w:iCs/>
        </w:rPr>
        <w:t>Discuss and see slides for detailed results</w:t>
      </w:r>
      <w:r w:rsidR="00126D1A" w:rsidRPr="00126D1A">
        <w:rPr>
          <w:i/>
          <w:iCs/>
        </w:rPr>
        <w:t>.</w:t>
      </w:r>
    </w:p>
    <w:p w14:paraId="6B0A3FF1" w14:textId="2D59B4C6" w:rsidR="009E109D" w:rsidRDefault="009E109D" w:rsidP="00D542B6">
      <w:pPr>
        <w:jc w:val="both"/>
      </w:pPr>
      <w:r w:rsidRPr="00964A02">
        <w:rPr>
          <w:b/>
          <w:bCs/>
        </w:rPr>
        <w:t>Replication materials:</w:t>
      </w:r>
      <w:r>
        <w:t xml:space="preserve"> </w:t>
      </w:r>
      <w:r w:rsidRPr="00DB0EAD">
        <w:t>R code for rotation studies:</w:t>
      </w:r>
      <w:r>
        <w:t xml:space="preserve"> </w:t>
      </w:r>
      <w:r w:rsidRPr="00DB0EAD">
        <w:t>(</w:t>
      </w:r>
      <w:hyperlink r:id="rId13" w:history="1">
        <w:r w:rsidRPr="00DB0EAD">
          <w:rPr>
            <w:rStyle w:val="Hyperlink"/>
          </w:rPr>
          <w:t>https://zenodo.org/records/15579276</w:t>
        </w:r>
      </w:hyperlink>
      <w:r w:rsidRPr="00DB0EAD">
        <w:t>) and Zhou et al (2024) (</w:t>
      </w:r>
      <w:hyperlink r:id="rId14" w:history="1">
        <w:r w:rsidRPr="00250EDA">
          <w:rPr>
            <w:rStyle w:val="Hyperlink"/>
          </w:rPr>
          <w:t>https://doi.org/10.5281/zenodo.13901372</w:t>
        </w:r>
      </w:hyperlink>
      <w:r w:rsidRPr="00DB0EAD">
        <w:t xml:space="preserve">). Cover crops study (Deines et al 2022) code: </w:t>
      </w:r>
      <w:hyperlink r:id="rId15" w:history="1">
        <w:r w:rsidRPr="00DB0EAD">
          <w:rPr>
            <w:rStyle w:val="Hyperlink"/>
          </w:rPr>
          <w:t>https://doi.org/10.5281/zenodo.7199708</w:t>
        </w:r>
      </w:hyperlink>
      <w:r w:rsidR="00D542B6">
        <w:t xml:space="preserve">. </w:t>
      </w:r>
    </w:p>
    <w:p w14:paraId="580DDC77" w14:textId="175B00B4" w:rsidR="009E109D" w:rsidRDefault="00CA7787" w:rsidP="009E109D">
      <w:pPr>
        <w:pStyle w:val="Heading2"/>
      </w:pPr>
      <w:r>
        <w:t>4</w:t>
      </w:r>
      <w:r w:rsidR="009E109D">
        <w:t>.3. Climate change impact and adaptation options prioritization</w:t>
      </w:r>
    </w:p>
    <w:p w14:paraId="26CFA410" w14:textId="76DD52AE" w:rsidR="009E109D" w:rsidRDefault="009E109D" w:rsidP="009E109D">
      <w:r w:rsidRPr="008428B2">
        <w:rPr>
          <w:b/>
          <w:bCs/>
        </w:rPr>
        <w:t>Examples:</w:t>
      </w:r>
      <w:r>
        <w:t xml:space="preserve"> </w:t>
      </w:r>
      <w:proofErr w:type="spellStart"/>
      <w:r>
        <w:t>Mkondiwa</w:t>
      </w:r>
      <w:proofErr w:type="spellEnd"/>
      <w:r>
        <w:t xml:space="preserve"> et al 2025 on heterogenous impacts of droughts on rice crop management and yields in Bihar</w:t>
      </w:r>
      <w:r w:rsidR="00DC2C13">
        <w:t>.</w:t>
      </w:r>
      <w:r>
        <w:t xml:space="preserve">  </w:t>
      </w:r>
      <w:r w:rsidR="00FC5051">
        <w:t>Deines et al (2019)</w:t>
      </w:r>
      <w:r>
        <w:t xml:space="preserve"> on tillage </w:t>
      </w:r>
      <w:r w:rsidR="00FC5051">
        <w:t xml:space="preserve">practices </w:t>
      </w:r>
      <w:r>
        <w:t>in USA and conservation practices in Europe (Stetter et al 202</w:t>
      </w:r>
      <w:r w:rsidR="00DC2C13">
        <w:t>2</w:t>
      </w:r>
      <w:r>
        <w:t>)</w:t>
      </w:r>
      <w:r w:rsidR="00DC2C13">
        <w:t xml:space="preserve">. </w:t>
      </w:r>
    </w:p>
    <w:p w14:paraId="06D5C3B2" w14:textId="4C33B36A" w:rsidR="009E109D" w:rsidRPr="00AC3B57" w:rsidRDefault="009E109D" w:rsidP="009E109D">
      <w:r w:rsidRPr="001451CD">
        <w:rPr>
          <w:b/>
          <w:bCs/>
        </w:rPr>
        <w:t xml:space="preserve">Replication materials: </w:t>
      </w:r>
      <w:hyperlink r:id="rId16" w:history="1">
        <w:r w:rsidR="00DC2C13" w:rsidRPr="009E087F">
          <w:rPr>
            <w:rStyle w:val="Hyperlink"/>
          </w:rPr>
          <w:t>https://zenodo.org/records/3525346</w:t>
        </w:r>
      </w:hyperlink>
      <w:r w:rsidR="00DC2C13">
        <w:t xml:space="preserve"> and </w:t>
      </w:r>
      <w:hyperlink r:id="rId17" w:history="1">
        <w:r w:rsidR="00DC2C13" w:rsidRPr="009E087F">
          <w:rPr>
            <w:rStyle w:val="Hyperlink"/>
          </w:rPr>
          <w:t>https://zenodo.org/records/3525359</w:t>
        </w:r>
      </w:hyperlink>
      <w:r w:rsidR="00AC3B57">
        <w:t xml:space="preserve"> </w:t>
      </w:r>
      <w:r w:rsidR="00AC3B57" w:rsidRPr="00AC3B57">
        <w:t>(Deines et al 2019).</w:t>
      </w:r>
    </w:p>
    <w:p w14:paraId="51C13AE3" w14:textId="61A99149" w:rsidR="009E109D" w:rsidRDefault="00CA7787" w:rsidP="009E109D">
      <w:pPr>
        <w:pStyle w:val="Heading2"/>
      </w:pPr>
      <w:r>
        <w:t>4</w:t>
      </w:r>
      <w:r w:rsidR="009E109D">
        <w:t>.4. Fertilizer targeting applications (mostly in Africa)</w:t>
      </w:r>
    </w:p>
    <w:p w14:paraId="7CFCEB48" w14:textId="01119754" w:rsidR="009E109D" w:rsidRPr="003C1A3F" w:rsidRDefault="009E109D" w:rsidP="00D542B6">
      <w:pPr>
        <w:jc w:val="both"/>
      </w:pPr>
      <w:r w:rsidRPr="00E84EC5">
        <w:rPr>
          <w:b/>
          <w:bCs/>
        </w:rPr>
        <w:t>Examples:</w:t>
      </w:r>
      <w:r>
        <w:t xml:space="preserve"> McCullough et al (2022) </w:t>
      </w:r>
      <w:r w:rsidR="00AC3B57">
        <w:t>and</w:t>
      </w:r>
      <w:r>
        <w:t xml:space="preserve"> </w:t>
      </w:r>
      <w:proofErr w:type="spellStart"/>
      <w:r>
        <w:t>Mkondiwa</w:t>
      </w:r>
      <w:proofErr w:type="spellEnd"/>
      <w:r>
        <w:t xml:space="preserve"> </w:t>
      </w:r>
      <w:r w:rsidR="009E70AA">
        <w:t xml:space="preserve">and Chamberlin </w:t>
      </w:r>
      <w:r>
        <w:t>(2024)</w:t>
      </w:r>
    </w:p>
    <w:p w14:paraId="0DDB1AAD" w14:textId="77777777" w:rsidR="009E109D" w:rsidRPr="005D5DDA" w:rsidRDefault="009E109D" w:rsidP="00D542B6">
      <w:pPr>
        <w:jc w:val="both"/>
        <w:rPr>
          <w:b/>
          <w:bCs/>
        </w:rPr>
      </w:pPr>
      <w:r w:rsidRPr="00DB0EAD">
        <w:rPr>
          <w:b/>
          <w:bCs/>
        </w:rPr>
        <w:t xml:space="preserve">Purpose: </w:t>
      </w:r>
      <w:r>
        <w:t xml:space="preserve">Spatially explicit economic surplus impacts of targeted fertilizer application in Africa using agronomic trial data and using observational data in Tanzania. </w:t>
      </w:r>
    </w:p>
    <w:p w14:paraId="299B1985" w14:textId="0637ACA0" w:rsidR="009E109D" w:rsidRPr="005D5DDA" w:rsidRDefault="009E109D" w:rsidP="009E109D">
      <w:pPr>
        <w:rPr>
          <w:b/>
          <w:bCs/>
        </w:rPr>
      </w:pPr>
      <w:r w:rsidRPr="00DB0EAD">
        <w:rPr>
          <w:b/>
          <w:bCs/>
        </w:rPr>
        <w:t xml:space="preserve">Replication materials: </w:t>
      </w:r>
      <w:hyperlink r:id="rId18" w:history="1">
        <w:r w:rsidR="00663579" w:rsidRPr="009E70AA">
          <w:rPr>
            <w:rStyle w:val="Hyperlink"/>
          </w:rPr>
          <w:t>https://github.com/julianneq/Africa_Fertilizer_Profitability</w:t>
        </w:r>
      </w:hyperlink>
      <w:r w:rsidR="00663579" w:rsidRPr="009E70AA">
        <w:t xml:space="preserve"> (McCullough et al 2022) and </w:t>
      </w:r>
      <w:hyperlink r:id="rId19" w:history="1">
        <w:r w:rsidR="00487DBB" w:rsidRPr="009E70AA">
          <w:rPr>
            <w:rStyle w:val="Hyperlink"/>
          </w:rPr>
          <w:t>https://github.com/MaxwellMkondiwa/TZ_Spatial_NUE_Trends_Causal_AI</w:t>
        </w:r>
      </w:hyperlink>
      <w:r w:rsidR="00487DBB" w:rsidRPr="009E70AA">
        <w:t xml:space="preserve"> (</w:t>
      </w:r>
      <w:proofErr w:type="spellStart"/>
      <w:r w:rsidR="00487DBB" w:rsidRPr="009E70AA">
        <w:t>Mkondiwa</w:t>
      </w:r>
      <w:proofErr w:type="spellEnd"/>
      <w:r w:rsidR="00487DBB" w:rsidRPr="009E70AA">
        <w:t xml:space="preserve"> </w:t>
      </w:r>
      <w:r w:rsidR="009E70AA" w:rsidRPr="009E70AA">
        <w:t>and Chamberlin 2024).</w:t>
      </w:r>
      <w:r w:rsidR="009E70AA">
        <w:t xml:space="preserve"> </w:t>
      </w:r>
    </w:p>
    <w:p w14:paraId="3E2EBF69" w14:textId="13EB2111" w:rsidR="009E109D" w:rsidRDefault="00CA7787" w:rsidP="009E109D">
      <w:pPr>
        <w:pStyle w:val="Heading2"/>
      </w:pPr>
      <w:r>
        <w:lastRenderedPageBreak/>
        <w:t>4</w:t>
      </w:r>
      <w:r w:rsidR="009E109D">
        <w:t>.</w:t>
      </w:r>
      <w:r>
        <w:t>5</w:t>
      </w:r>
      <w:r w:rsidR="009E109D">
        <w:t>. Impact assessment of government interventions and schemes</w:t>
      </w:r>
      <w:r w:rsidR="009D1078">
        <w:t>,</w:t>
      </w:r>
      <w:r w:rsidR="002C6953">
        <w:t xml:space="preserve"> </w:t>
      </w:r>
      <w:r w:rsidR="009D069A">
        <w:t>and other applications</w:t>
      </w:r>
    </w:p>
    <w:p w14:paraId="037BB74E" w14:textId="07961723" w:rsidR="00383C03" w:rsidRDefault="009D069A" w:rsidP="00D36D33">
      <w:r w:rsidRPr="009D069A">
        <w:rPr>
          <w:b/>
          <w:bCs/>
          <w:i/>
          <w:iCs/>
        </w:rPr>
        <w:t>Impact of environmental schemes in Europe:</w:t>
      </w:r>
      <w:r>
        <w:t xml:space="preserve"> </w:t>
      </w:r>
      <w:r w:rsidR="009E109D">
        <w:t>Stetter et al (2022), Esposti (2024)</w:t>
      </w:r>
    </w:p>
    <w:p w14:paraId="6335D1A0" w14:textId="5548B0B6" w:rsidR="009D069A" w:rsidRDefault="009D069A" w:rsidP="00D36D33">
      <w:r w:rsidRPr="009D069A">
        <w:rPr>
          <w:b/>
          <w:bCs/>
          <w:i/>
          <w:iCs/>
        </w:rPr>
        <w:t>Land price premium:</w:t>
      </w:r>
      <w:r>
        <w:t xml:space="preserve"> Schmidt et al (2024). Please, read this paper to learn how to write a causal ML paper. </w:t>
      </w:r>
    </w:p>
    <w:p w14:paraId="6EC2D468" w14:textId="54FFDEAD" w:rsidR="003D1B43" w:rsidRPr="004378D7" w:rsidRDefault="003D1B43" w:rsidP="00D36D33">
      <w:r w:rsidRPr="00546E59">
        <w:rPr>
          <w:b/>
          <w:bCs/>
        </w:rPr>
        <w:t>Impact</w:t>
      </w:r>
      <w:r w:rsidR="00546E59">
        <w:rPr>
          <w:b/>
          <w:bCs/>
        </w:rPr>
        <w:t>s of</w:t>
      </w:r>
      <w:r w:rsidRPr="00546E59">
        <w:rPr>
          <w:b/>
          <w:bCs/>
        </w:rPr>
        <w:t xml:space="preserve"> integrated pest management:</w:t>
      </w:r>
      <w:r>
        <w:t xml:space="preserve"> Mulungu</w:t>
      </w:r>
      <w:r w:rsidR="00496125">
        <w:t xml:space="preserve"> et al </w:t>
      </w:r>
      <w:r w:rsidR="00546E59">
        <w:t xml:space="preserve">(2023). </w:t>
      </w:r>
    </w:p>
    <w:p w14:paraId="6EC1E177" w14:textId="618317B2" w:rsidR="006C0699" w:rsidRDefault="006C0699" w:rsidP="006C36C6">
      <w:pPr>
        <w:pStyle w:val="Heading1"/>
      </w:pPr>
      <w:r>
        <w:t>5. Hybrid causal AI and other agricultural policy analysis tools</w:t>
      </w:r>
    </w:p>
    <w:p w14:paraId="639AB2B5" w14:textId="32ED9ADF" w:rsidR="007E3A9A" w:rsidRPr="007E3A9A" w:rsidRDefault="007E3A9A" w:rsidP="00041E94">
      <w:pPr>
        <w:jc w:val="both"/>
      </w:pPr>
      <w:r>
        <w:t xml:space="preserve">Beyond the applications stated above, you can use causal machine learning as a part of a broader economic policy analysis </w:t>
      </w:r>
      <w:r w:rsidR="00041E94">
        <w:t xml:space="preserve">framework. </w:t>
      </w:r>
    </w:p>
    <w:p w14:paraId="5986C9AB" w14:textId="56C109AC" w:rsidR="006C0699" w:rsidRDefault="00CA7787" w:rsidP="00041E94">
      <w:pPr>
        <w:pStyle w:val="Heading2"/>
        <w:jc w:val="both"/>
      </w:pPr>
      <w:r>
        <w:t xml:space="preserve">5.1. </w:t>
      </w:r>
      <w:r w:rsidR="00950D2C">
        <w:t xml:space="preserve">Causal </w:t>
      </w:r>
      <w:r w:rsidR="00E84B44">
        <w:t>ML</w:t>
      </w:r>
      <w:r w:rsidR="00950D2C">
        <w:t xml:space="preserve"> + economic surplus modelling</w:t>
      </w:r>
    </w:p>
    <w:p w14:paraId="3F324355" w14:textId="7AA7C0BD" w:rsidR="00950D2C" w:rsidRDefault="00DB618A" w:rsidP="00041E94">
      <w:pPr>
        <w:jc w:val="both"/>
      </w:pPr>
      <w:r>
        <w:t>Causal ML approaches can</w:t>
      </w:r>
      <w:r w:rsidR="00E84B44">
        <w:t xml:space="preserve"> be</w:t>
      </w:r>
      <w:r>
        <w:t xml:space="preserve"> combined with economic surplus methods to make </w:t>
      </w:r>
      <w:r w:rsidR="000D21E6">
        <w:t xml:space="preserve">spatially explicit returns on investment assessment of agricultural technologies. </w:t>
      </w:r>
      <w:r w:rsidR="00AD26B0">
        <w:t>See for</w:t>
      </w:r>
      <w:r w:rsidR="000D21E6">
        <w:t xml:space="preserve"> example, </w:t>
      </w:r>
      <w:proofErr w:type="spellStart"/>
      <w:r w:rsidR="000D21E6">
        <w:t>Mkondiwa</w:t>
      </w:r>
      <w:proofErr w:type="spellEnd"/>
      <w:r w:rsidR="000D21E6">
        <w:t xml:space="preserve"> and Chamberlin (2024).  </w:t>
      </w:r>
    </w:p>
    <w:p w14:paraId="0E2E5BDB" w14:textId="5150949D" w:rsidR="005C7D90" w:rsidRDefault="00CA7787" w:rsidP="00041E94">
      <w:pPr>
        <w:pStyle w:val="Heading2"/>
        <w:jc w:val="both"/>
      </w:pPr>
      <w:r>
        <w:t xml:space="preserve">5.2. </w:t>
      </w:r>
      <w:r w:rsidR="00950D2C">
        <w:t>Causal ML + mathematical programming</w:t>
      </w:r>
      <w:r w:rsidR="005C7D90">
        <w:t xml:space="preserve"> models</w:t>
      </w:r>
      <w:r w:rsidR="00950D2C">
        <w:t xml:space="preserve"> for agricultural sector </w:t>
      </w:r>
    </w:p>
    <w:p w14:paraId="0DF5CAB4" w14:textId="17EA2103" w:rsidR="006A0FB8" w:rsidRDefault="001775DB" w:rsidP="00041E94">
      <w:pPr>
        <w:jc w:val="both"/>
      </w:pPr>
      <w:r>
        <w:t xml:space="preserve">Causal ML approaches especially through surrogate modelling and reinforcement learning are </w:t>
      </w:r>
      <w:r w:rsidR="008C3182">
        <w:t xml:space="preserve">being used to match computationally expensive mathematical programming models. See </w:t>
      </w:r>
      <w:r w:rsidR="00AD26B0">
        <w:t xml:space="preserve">for example, </w:t>
      </w:r>
      <w:r w:rsidR="008C3182">
        <w:t>Stett</w:t>
      </w:r>
      <w:r w:rsidR="00F31979">
        <w:t xml:space="preserve">er et al </w:t>
      </w:r>
      <w:r w:rsidR="00AD26B0">
        <w:t xml:space="preserve">(2024). </w:t>
      </w:r>
    </w:p>
    <w:p w14:paraId="7EDE2513" w14:textId="74FB9232" w:rsidR="006A0FB8" w:rsidRDefault="00CA7787" w:rsidP="00041E94">
      <w:pPr>
        <w:pStyle w:val="Heading2"/>
        <w:jc w:val="both"/>
      </w:pPr>
      <w:r>
        <w:t xml:space="preserve">5.3. </w:t>
      </w:r>
      <w:r w:rsidR="006A0FB8">
        <w:t xml:space="preserve">Causal ML+ </w:t>
      </w:r>
      <w:r w:rsidR="00B37794">
        <w:t>multi-objective (including risk</w:t>
      </w:r>
      <w:r w:rsidR="00F56FB7">
        <w:t>) assessments</w:t>
      </w:r>
    </w:p>
    <w:p w14:paraId="646D74C1" w14:textId="3AFCF25E" w:rsidR="006A0FB8" w:rsidRPr="006A0FB8" w:rsidRDefault="00AD26B0" w:rsidP="00041E94">
      <w:pPr>
        <w:jc w:val="both"/>
      </w:pPr>
      <w:r>
        <w:t xml:space="preserve">Causal ML approaches </w:t>
      </w:r>
      <w:r w:rsidR="00F56FB7">
        <w:t xml:space="preserve">are being used to examine the trade-offs of </w:t>
      </w:r>
      <w:r w:rsidR="00C516B0">
        <w:t xml:space="preserve">technologies. See for example, Athey (2025). </w:t>
      </w:r>
    </w:p>
    <w:p w14:paraId="0D4F5C43" w14:textId="5EECF589" w:rsidR="00B50375" w:rsidRDefault="004709AC" w:rsidP="006C36C6">
      <w:pPr>
        <w:pStyle w:val="Heading1"/>
      </w:pPr>
      <w:r>
        <w:t xml:space="preserve">6. </w:t>
      </w:r>
      <w:r w:rsidR="00B50375">
        <w:t xml:space="preserve">Recommended reading materials </w:t>
      </w:r>
    </w:p>
    <w:p w14:paraId="57239DB0" w14:textId="2D79A6BA" w:rsidR="00B7425A" w:rsidRDefault="0086296B" w:rsidP="00D542B6">
      <w:pPr>
        <w:jc w:val="both"/>
      </w:pPr>
      <w:r>
        <w:t xml:space="preserve">For book length and detailed learning of the tools in this course, please read the following manuals: </w:t>
      </w:r>
      <w:proofErr w:type="spellStart"/>
      <w:r w:rsidR="006C36C6">
        <w:t>Mkondiwa</w:t>
      </w:r>
      <w:proofErr w:type="spellEnd"/>
      <w:r w:rsidR="00DB0EAD">
        <w:t xml:space="preserve"> et al (2024), </w:t>
      </w:r>
      <w:r w:rsidR="006C36C6">
        <w:t xml:space="preserve">Athey </w:t>
      </w:r>
      <w:r w:rsidR="00DB0EAD">
        <w:t xml:space="preserve">(2025), </w:t>
      </w:r>
      <w:r w:rsidR="006C36C6">
        <w:t xml:space="preserve">Wager </w:t>
      </w:r>
      <w:r w:rsidR="00DB0EAD">
        <w:t>(</w:t>
      </w:r>
      <w:r w:rsidR="006C36C6">
        <w:t>2025</w:t>
      </w:r>
      <w:r w:rsidR="00DB0EAD">
        <w:t>)</w:t>
      </w:r>
      <w:r w:rsidR="0059055C">
        <w:t>, Storm et al (</w:t>
      </w:r>
      <w:r w:rsidR="006062C3">
        <w:t>2019</w:t>
      </w:r>
      <w:r w:rsidR="0059055C">
        <w:t xml:space="preserve">), </w:t>
      </w:r>
      <w:r w:rsidR="00DB0EAD">
        <w:t xml:space="preserve">and </w:t>
      </w:r>
      <w:proofErr w:type="spellStart"/>
      <w:r w:rsidR="006C36C6">
        <w:t>Chern</w:t>
      </w:r>
      <w:r w:rsidR="00B8750A">
        <w:t>o</w:t>
      </w:r>
      <w:r w:rsidR="00141198">
        <w:t>zhukov</w:t>
      </w:r>
      <w:proofErr w:type="spellEnd"/>
      <w:r w:rsidR="00DB0EAD">
        <w:t xml:space="preserve"> (2025). </w:t>
      </w:r>
    </w:p>
    <w:p w14:paraId="2762F411" w14:textId="3D005178" w:rsidR="00B7425A" w:rsidRDefault="004709AC" w:rsidP="006C21F7">
      <w:pPr>
        <w:pStyle w:val="Heading1"/>
      </w:pPr>
      <w:r>
        <w:t xml:space="preserve">7. </w:t>
      </w:r>
      <w:r w:rsidR="006C21F7">
        <w:t>Software</w:t>
      </w:r>
    </w:p>
    <w:p w14:paraId="7B2ECE94" w14:textId="3B6558A7" w:rsidR="006C21F7" w:rsidRDefault="006C21F7" w:rsidP="006C21F7">
      <w:r w:rsidRPr="006C21F7">
        <w:rPr>
          <w:b/>
          <w:bCs/>
        </w:rPr>
        <w:t>R:</w:t>
      </w:r>
      <w:r>
        <w:t xml:space="preserve"> </w:t>
      </w:r>
      <w:proofErr w:type="spellStart"/>
      <w:r w:rsidRPr="00061BAF">
        <w:rPr>
          <w:i/>
          <w:iCs/>
        </w:rPr>
        <w:t>grf</w:t>
      </w:r>
      <w:proofErr w:type="spellEnd"/>
      <w:r w:rsidRPr="00061BAF">
        <w:t xml:space="preserve"> </w:t>
      </w:r>
      <w:r>
        <w:t>package</w:t>
      </w:r>
      <w:r w:rsidR="00C94414">
        <w:t xml:space="preserve"> (</w:t>
      </w:r>
      <w:hyperlink r:id="rId20" w:history="1">
        <w:r w:rsidR="00DA5565" w:rsidRPr="00525092">
          <w:rPr>
            <w:rStyle w:val="Hyperlink"/>
          </w:rPr>
          <w:t>https://grf-labs.github.io/grf/</w:t>
        </w:r>
      </w:hyperlink>
      <w:r w:rsidR="00C94414">
        <w:t>)</w:t>
      </w:r>
      <w:r w:rsidR="00DA5565">
        <w:t xml:space="preserve">. </w:t>
      </w:r>
    </w:p>
    <w:p w14:paraId="2230F408" w14:textId="72183FF3" w:rsidR="006C21F7" w:rsidRDefault="006C21F7" w:rsidP="006C21F7">
      <w:r w:rsidRPr="006C21F7">
        <w:rPr>
          <w:b/>
          <w:bCs/>
        </w:rPr>
        <w:t xml:space="preserve">Python: </w:t>
      </w:r>
      <w:proofErr w:type="spellStart"/>
      <w:r w:rsidR="00C348D2" w:rsidRPr="00C94414">
        <w:t>EconML</w:t>
      </w:r>
      <w:proofErr w:type="spellEnd"/>
      <w:r w:rsidR="00C348D2" w:rsidRPr="00C94414">
        <w:t xml:space="preserve"> </w:t>
      </w:r>
      <w:r w:rsidR="00A61919" w:rsidRPr="00C94414">
        <w:t>package (</w:t>
      </w:r>
      <w:hyperlink r:id="rId21" w:history="1">
        <w:r w:rsidR="00C94414" w:rsidRPr="00C94414">
          <w:rPr>
            <w:rStyle w:val="Hyperlink"/>
          </w:rPr>
          <w:t>https://www.pywhy.org/EconML/</w:t>
        </w:r>
      </w:hyperlink>
      <w:r w:rsidR="00A61919" w:rsidRPr="00C94414">
        <w:t>)</w:t>
      </w:r>
      <w:r w:rsidR="00C94414" w:rsidRPr="00C94414">
        <w:t xml:space="preserve">. </w:t>
      </w:r>
    </w:p>
    <w:p w14:paraId="0DF3632C" w14:textId="34687702" w:rsidR="008E7A21" w:rsidRPr="00C94414" w:rsidRDefault="008E7A21" w:rsidP="006C21F7">
      <w:r w:rsidRPr="00C97AFB">
        <w:rPr>
          <w:b/>
          <w:bCs/>
        </w:rPr>
        <w:t>Stata:</w:t>
      </w:r>
      <w:r>
        <w:t xml:space="preserve"> </w:t>
      </w:r>
      <w:r w:rsidR="00C97AFB">
        <w:t>cate (</w:t>
      </w:r>
      <w:hyperlink r:id="rId22" w:history="1">
        <w:r w:rsidR="00C97AFB" w:rsidRPr="00525092">
          <w:rPr>
            <w:rStyle w:val="Hyperlink"/>
          </w:rPr>
          <w:t>https://www.stata.com/manuals/causalcate.pdf</w:t>
        </w:r>
      </w:hyperlink>
      <w:r w:rsidR="00C97AFB">
        <w:t xml:space="preserve">). </w:t>
      </w:r>
    </w:p>
    <w:p w14:paraId="185B7064" w14:textId="33814D6A" w:rsidR="00BF3C4B" w:rsidRDefault="00ED7CFF" w:rsidP="00B7425A">
      <w:pPr>
        <w:pStyle w:val="Heading1"/>
      </w:pPr>
      <w:r>
        <w:t xml:space="preserve">Acknowledgements </w:t>
      </w:r>
    </w:p>
    <w:p w14:paraId="75CA8BB3" w14:textId="3BA04F3D" w:rsidR="00ED7CFF" w:rsidRPr="00ED7CFF" w:rsidRDefault="00ED7CFF" w:rsidP="00D542B6">
      <w:pPr>
        <w:jc w:val="both"/>
      </w:pPr>
      <w:r>
        <w:t xml:space="preserve">I acknowledge the funding support from </w:t>
      </w:r>
      <w:r w:rsidR="00F62521">
        <w:t>Agronomy for AI-enabled advisories</w:t>
      </w:r>
      <w:r>
        <w:t xml:space="preserve"> </w:t>
      </w:r>
      <w:r w:rsidR="00F62521">
        <w:t>s</w:t>
      </w:r>
      <w:r>
        <w:t xml:space="preserve">coping </w:t>
      </w:r>
      <w:r w:rsidR="00F62521">
        <w:t>g</w:t>
      </w:r>
      <w:r>
        <w:t xml:space="preserve">rant, </w:t>
      </w:r>
      <w:r w:rsidR="002B3A21">
        <w:t xml:space="preserve">and Sustainable Farming program of the CGIAR funded by Gates Foundation. All errors are mine. </w:t>
      </w:r>
    </w:p>
    <w:p w14:paraId="00BCD930" w14:textId="4B2CDA55" w:rsidR="002920E4" w:rsidRDefault="00B7425A" w:rsidP="005C7D90">
      <w:pPr>
        <w:pStyle w:val="Heading1"/>
      </w:pPr>
      <w:r>
        <w:lastRenderedPageBreak/>
        <w:t xml:space="preserve">References </w:t>
      </w:r>
    </w:p>
    <w:p w14:paraId="6996D45D" w14:textId="77777777" w:rsidR="00006D27" w:rsidRPr="00352F5B" w:rsidRDefault="00006D27" w:rsidP="00006D27">
      <w:pPr>
        <w:ind w:left="851" w:hanging="851"/>
      </w:pPr>
      <w:r>
        <w:t xml:space="preserve">Athey, S. 2025. “Presidential address: The Economist as Designer in the Innovation Process for Socially Impactful Digital Products”. </w:t>
      </w:r>
      <w:r w:rsidRPr="00441F12">
        <w:rPr>
          <w:i/>
          <w:iCs/>
        </w:rPr>
        <w:t xml:space="preserve">American Economic Review </w:t>
      </w:r>
      <w:r>
        <w:t xml:space="preserve">115 (4): 1059-1099. Doi: </w:t>
      </w:r>
      <w:r w:rsidRPr="002E7595">
        <w:t>10.1257/aer.115.4.1059</w:t>
      </w:r>
      <w:r>
        <w:t xml:space="preserve">. </w:t>
      </w:r>
    </w:p>
    <w:p w14:paraId="57D68F17" w14:textId="77777777" w:rsidR="00006D27" w:rsidRDefault="00006D27" w:rsidP="00006D27">
      <w:pPr>
        <w:ind w:left="851" w:hanging="851"/>
        <w:rPr>
          <w:rFonts w:cs="Open Sans"/>
          <w:color w:val="000000"/>
          <w:shd w:val="clear" w:color="auto" w:fill="FFFFFF"/>
        </w:rPr>
      </w:pPr>
      <w:r w:rsidRPr="00352F5B">
        <w:t xml:space="preserve">Athey, S., </w:t>
      </w:r>
      <w:proofErr w:type="spellStart"/>
      <w:r w:rsidRPr="00352F5B">
        <w:t>Tibshirani</w:t>
      </w:r>
      <w:proofErr w:type="spellEnd"/>
      <w:r w:rsidRPr="00352F5B">
        <w:t xml:space="preserve">, J., and Wager, S. 2019. “Generalized Random Forests”. </w:t>
      </w:r>
      <w:r w:rsidRPr="00352F5B">
        <w:rPr>
          <w:i/>
          <w:iCs/>
        </w:rPr>
        <w:t xml:space="preserve">Annals of Statistics </w:t>
      </w:r>
      <w:r w:rsidRPr="00352F5B">
        <w:t>47 (2): 1148-1178. Doi: 10.1214/18-AOS1709.</w:t>
      </w:r>
      <w:r w:rsidRPr="00352F5B">
        <w:rPr>
          <w:rFonts w:cs="Open Sans"/>
          <w:color w:val="000000"/>
          <w:shd w:val="clear" w:color="auto" w:fill="FFFFFF"/>
        </w:rPr>
        <w:t xml:space="preserve"> </w:t>
      </w:r>
    </w:p>
    <w:p w14:paraId="00A13268" w14:textId="77777777" w:rsidR="00006D27" w:rsidRDefault="00B475D3" w:rsidP="00006D27">
      <w:pPr>
        <w:ind w:left="851" w:hanging="851"/>
      </w:pPr>
      <w:r>
        <w:t xml:space="preserve">Athey, S., and Wager, S. 2021. “Policy learning with observational data”. </w:t>
      </w:r>
      <w:proofErr w:type="spellStart"/>
      <w:r w:rsidRPr="00491C79">
        <w:t>Econometrica</w:t>
      </w:r>
      <w:proofErr w:type="spellEnd"/>
      <w:r w:rsidRPr="00491C79">
        <w:t xml:space="preserve"> 89 (1): 133-161</w:t>
      </w:r>
      <w:r>
        <w:t xml:space="preserve">. Doi: </w:t>
      </w:r>
      <w:r w:rsidRPr="00491C79">
        <w:t> </w:t>
      </w:r>
      <w:hyperlink r:id="rId23" w:history="1">
        <w:r w:rsidRPr="00491C79">
          <w:t>https://doi.org/10.3982/ECTA15732</w:t>
        </w:r>
      </w:hyperlink>
      <w:r>
        <w:t xml:space="preserve">. </w:t>
      </w:r>
    </w:p>
    <w:p w14:paraId="7304D723" w14:textId="5672DB59" w:rsidR="00382407" w:rsidRDefault="00382407" w:rsidP="00006D27">
      <w:pPr>
        <w:ind w:left="851" w:hanging="851"/>
      </w:pPr>
      <w:r>
        <w:t>Chernozhukov</w:t>
      </w:r>
      <w:r w:rsidR="009B0422">
        <w:t xml:space="preserve">, V., Hansen, C., Kallus, N., Spindler, M., and </w:t>
      </w:r>
      <w:proofErr w:type="spellStart"/>
      <w:r w:rsidR="009B0422">
        <w:t>Syr</w:t>
      </w:r>
      <w:r w:rsidR="00376BF8">
        <w:t>gkanis</w:t>
      </w:r>
      <w:proofErr w:type="spellEnd"/>
      <w:r w:rsidR="00376BF8">
        <w:t xml:space="preserve">, V. 2026. “Applied Causal Inference Powered by ML and AI”. Url: </w:t>
      </w:r>
    </w:p>
    <w:p w14:paraId="76BD7373" w14:textId="77777777" w:rsidR="00006D27" w:rsidRDefault="00DF2B89" w:rsidP="00006D27">
      <w:pPr>
        <w:ind w:left="851" w:hanging="851"/>
      </w:pPr>
      <w:r>
        <w:t xml:space="preserve">Deines, J.M., Wang, S., Lobell, D.B. 2019. “Satellites reveal a small positive yield effect from conservation tillage across the US Corn Belt”. </w:t>
      </w:r>
      <w:r w:rsidRPr="00C3436B">
        <w:rPr>
          <w:i/>
          <w:iCs/>
        </w:rPr>
        <w:t>Environmental Research Letters</w:t>
      </w:r>
      <w:r>
        <w:t xml:space="preserve"> </w:t>
      </w:r>
      <w:r w:rsidR="00E8614D">
        <w:t xml:space="preserve">14: 124038. Doi: </w:t>
      </w:r>
      <w:r w:rsidR="00C3436B" w:rsidRPr="00C3436B">
        <w:t>10.1088/1748-9326/ab503b</w:t>
      </w:r>
      <w:r w:rsidR="00C3436B">
        <w:t xml:space="preserve">. </w:t>
      </w:r>
    </w:p>
    <w:p w14:paraId="343521C4" w14:textId="77777777" w:rsidR="00006D27" w:rsidRDefault="00AA1297" w:rsidP="00006D27">
      <w:pPr>
        <w:ind w:left="851" w:hanging="851"/>
      </w:pPr>
      <w:r>
        <w:t>Gardner, B.L. 1992</w:t>
      </w:r>
      <w:r w:rsidR="00F96434">
        <w:t xml:space="preserve">. </w:t>
      </w:r>
      <w:r w:rsidR="00A2064B">
        <w:t xml:space="preserve">“How the data we make can unmake us: Annals of </w:t>
      </w:r>
      <w:proofErr w:type="spellStart"/>
      <w:r w:rsidR="00A2064B">
        <w:t>factology</w:t>
      </w:r>
      <w:proofErr w:type="spellEnd"/>
      <w:r w:rsidR="00A2064B">
        <w:t xml:space="preserve">”. </w:t>
      </w:r>
      <w:r w:rsidR="00A2064B" w:rsidRPr="00842E63">
        <w:rPr>
          <w:i/>
          <w:iCs/>
        </w:rPr>
        <w:t xml:space="preserve">American Journal </w:t>
      </w:r>
      <w:r w:rsidR="00ED3328" w:rsidRPr="00842E63">
        <w:rPr>
          <w:i/>
          <w:iCs/>
        </w:rPr>
        <w:t>of Agricultural Economics</w:t>
      </w:r>
      <w:r w:rsidR="00ED3328">
        <w:t xml:space="preserve"> 74</w:t>
      </w:r>
      <w:r w:rsidR="00842E63">
        <w:t xml:space="preserve"> (5): 1066-1075. Doi: </w:t>
      </w:r>
      <w:hyperlink r:id="rId24" w:history="1">
        <w:r w:rsidR="00842E63" w:rsidRPr="00842E63">
          <w:rPr>
            <w:rStyle w:val="Hyperlink"/>
          </w:rPr>
          <w:t>https://doi.org/10.2307/1242760</w:t>
        </w:r>
      </w:hyperlink>
      <w:r w:rsidR="00842E63">
        <w:t xml:space="preserve">. </w:t>
      </w:r>
    </w:p>
    <w:p w14:paraId="6051E38D" w14:textId="77777777" w:rsidR="00006D27" w:rsidRDefault="00E90E0E" w:rsidP="00006D27">
      <w:pPr>
        <w:ind w:left="851" w:hanging="851"/>
      </w:pPr>
      <w:r w:rsidRPr="00E90E0E">
        <w:t>Kluger, D.M., Owen, A.B., a</w:t>
      </w:r>
      <w:r>
        <w:t xml:space="preserve">nd Lobell, D.B. 2022. “Combining randomized field experiments with observational satellite data to assess the benefits of crop rotations on yields”. </w:t>
      </w:r>
      <w:r w:rsidRPr="00350E2B">
        <w:rPr>
          <w:i/>
          <w:iCs/>
        </w:rPr>
        <w:t>Environmental Research Letters</w:t>
      </w:r>
      <w:r>
        <w:t xml:space="preserve"> </w:t>
      </w:r>
      <w:r w:rsidR="00350E2B">
        <w:t xml:space="preserve">17: 044066. Doi: </w:t>
      </w:r>
      <w:r w:rsidR="00350E2B" w:rsidRPr="00350E2B">
        <w:t>10.1088/1748-9326/ac6083</w:t>
      </w:r>
      <w:r w:rsidR="00350E2B">
        <w:t xml:space="preserve">. </w:t>
      </w:r>
    </w:p>
    <w:p w14:paraId="734D5E97" w14:textId="77777777" w:rsidR="001B4658" w:rsidRDefault="00CA04D5" w:rsidP="001B4658">
      <w:pPr>
        <w:ind w:left="851" w:hanging="851"/>
      </w:pPr>
      <w:r w:rsidRPr="00B738B6">
        <w:t xml:space="preserve">Kluger, D.M., Tommaso, S.D., and Lobell, D.B. </w:t>
      </w:r>
      <w:r w:rsidR="00B738B6" w:rsidRPr="00B738B6">
        <w:t>2025</w:t>
      </w:r>
      <w:r w:rsidR="00B738B6">
        <w:t>. “</w:t>
      </w:r>
      <w:proofErr w:type="spellStart"/>
      <w:r w:rsidR="00B738B6">
        <w:t>Precrop</w:t>
      </w:r>
      <w:proofErr w:type="spellEnd"/>
      <w:r w:rsidR="00B738B6">
        <w:t xml:space="preserve"> payoffs: causal machine learning reveals large but variable yield benefits of crop rotation in major bread</w:t>
      </w:r>
      <w:r w:rsidR="00C47AAC">
        <w:t>baskets</w:t>
      </w:r>
      <w:r w:rsidR="00B738B6">
        <w:t>”.</w:t>
      </w:r>
    </w:p>
    <w:p w14:paraId="18110637" w14:textId="77777777" w:rsidR="001B4658" w:rsidRDefault="001B4658" w:rsidP="001B4658">
      <w:pPr>
        <w:ind w:left="851" w:hanging="851"/>
      </w:pPr>
      <w:proofErr w:type="spellStart"/>
      <w:r w:rsidRPr="00F36044">
        <w:t>Mkondiwa,</w:t>
      </w:r>
      <w:proofErr w:type="spellEnd"/>
      <w:r w:rsidRPr="00F36044">
        <w:t xml:space="preserve"> M., Kumar, V., Craufurd, P., McDo</w:t>
      </w:r>
      <w:r>
        <w:t xml:space="preserve">nald, A., and Malik, R. 2023. “Empowering sustainability transitions in agri-food systems using big data and causal artificial intelligence”. Conference lead paper. </w:t>
      </w:r>
      <w:r w:rsidRPr="004B5EA4">
        <w:t xml:space="preserve">Url: </w:t>
      </w:r>
      <w:hyperlink r:id="rId25" w:history="1">
        <w:r w:rsidRPr="004B5EA4">
          <w:rPr>
            <w:rStyle w:val="Hyperlink"/>
          </w:rPr>
          <w:t>https://www.researchgate.net/profile/Maxwell-Mkondiwa/publication/380290487_Empowering_Sustainability_Transitions_in_Agri-food_Systems_Using_Big_Data_and_Causal_Artificial_Intelligence_Causal_AI/links/6633c73a06ea3d0b74237814/Empowering-Sustainability-Transitions-in-Agri-food-Systems-Using-Big-Data-and-Causal-Artificial-Intelligence-Causal-AI.pdf</w:t>
        </w:r>
      </w:hyperlink>
      <w:r w:rsidRPr="004B5EA4">
        <w:t xml:space="preserve">. </w:t>
      </w:r>
    </w:p>
    <w:p w14:paraId="00330083" w14:textId="6145299C" w:rsidR="001B4658" w:rsidRDefault="001B4658" w:rsidP="001B4658">
      <w:pPr>
        <w:ind w:left="851" w:hanging="851"/>
      </w:pPr>
      <w:proofErr w:type="spellStart"/>
      <w:r>
        <w:t>Mkondiwa,</w:t>
      </w:r>
      <w:proofErr w:type="spellEnd"/>
      <w:r>
        <w:t xml:space="preserve"> M</w:t>
      </w:r>
      <w:r w:rsidR="005856AF">
        <w:t xml:space="preserve">., Kishore, A., </w:t>
      </w:r>
      <w:proofErr w:type="spellStart"/>
      <w:r w:rsidR="00271939">
        <w:t>Veetil</w:t>
      </w:r>
      <w:proofErr w:type="spellEnd"/>
      <w:r w:rsidR="00271939">
        <w:t xml:space="preserve">, PC., Sherpa, S., Saxena, S., </w:t>
      </w:r>
      <w:proofErr w:type="spellStart"/>
      <w:r w:rsidR="00271939">
        <w:t>Pinjarla</w:t>
      </w:r>
      <w:proofErr w:type="spellEnd"/>
      <w:r w:rsidR="00271939">
        <w:t xml:space="preserve">, B., </w:t>
      </w:r>
      <w:proofErr w:type="spellStart"/>
      <w:r w:rsidR="00271939">
        <w:t>Urfels</w:t>
      </w:r>
      <w:proofErr w:type="spellEnd"/>
      <w:r w:rsidR="00271939">
        <w:t xml:space="preserve">, A., </w:t>
      </w:r>
      <w:proofErr w:type="spellStart"/>
      <w:r w:rsidR="00271939">
        <w:t>Poonia</w:t>
      </w:r>
      <w:proofErr w:type="spellEnd"/>
      <w:r w:rsidR="00271939">
        <w:t>, S., Ajay, A., Craufu</w:t>
      </w:r>
      <w:r w:rsidR="00640DD0">
        <w:t>rd, P., Malik, R., and McDonald, A.</w:t>
      </w:r>
      <w:r>
        <w:t xml:space="preserve"> 2025. </w:t>
      </w:r>
      <w:r w:rsidR="00640DD0">
        <w:t>“</w:t>
      </w:r>
      <w:r w:rsidR="00640DD0" w:rsidRPr="00D40483">
        <w:t xml:space="preserve">Farmers agronomic management responses to extreme drought and rice yields in Bihar, </w:t>
      </w:r>
      <w:r w:rsidR="00640DD0" w:rsidRPr="00D40483">
        <w:lastRenderedPageBreak/>
        <w:t>India</w:t>
      </w:r>
      <w:r w:rsidR="00640DD0">
        <w:t>”</w:t>
      </w:r>
      <w:r>
        <w:t xml:space="preserve">. </w:t>
      </w:r>
      <w:r w:rsidRPr="00D40483">
        <w:rPr>
          <w:i/>
          <w:iCs/>
        </w:rPr>
        <w:t>Agricultural Water Management</w:t>
      </w:r>
      <w:r>
        <w:t xml:space="preserve"> 320: 109830. Doi: </w:t>
      </w:r>
      <w:hyperlink r:id="rId26" w:tgtFrame="_blank" w:tooltip="Persistent link using digital object identifier" w:history="1">
        <w:r w:rsidRPr="00D40483">
          <w:rPr>
            <w:rStyle w:val="Hyperlink"/>
          </w:rPr>
          <w:t>https://doi.org/10.1016/j.agwat.2025.109830</w:t>
        </w:r>
      </w:hyperlink>
      <w:r>
        <w:t xml:space="preserve">. </w:t>
      </w:r>
    </w:p>
    <w:p w14:paraId="7E06891A" w14:textId="26BF4C9E" w:rsidR="0065673A" w:rsidRDefault="002C6953" w:rsidP="001B4658">
      <w:pPr>
        <w:ind w:left="851" w:hanging="851"/>
      </w:pPr>
      <w:proofErr w:type="spellStart"/>
      <w:r w:rsidRPr="002C6953">
        <w:t>Mkondiwa,</w:t>
      </w:r>
      <w:proofErr w:type="spellEnd"/>
      <w:r w:rsidRPr="002C6953">
        <w:t xml:space="preserve"> M., Chamberlin, J., &amp; </w:t>
      </w:r>
      <w:proofErr w:type="spellStart"/>
      <w:r w:rsidRPr="002C6953">
        <w:t>Oyinbo</w:t>
      </w:r>
      <w:proofErr w:type="spellEnd"/>
      <w:r w:rsidRPr="002C6953">
        <w:t xml:space="preserve">, O. (2024). Workflows for spatial ex ante economic analysis of agronomy </w:t>
      </w:r>
      <w:proofErr w:type="gramStart"/>
      <w:r w:rsidRPr="002C6953">
        <w:t>interventions :</w:t>
      </w:r>
      <w:proofErr w:type="gramEnd"/>
      <w:r w:rsidRPr="002C6953">
        <w:t xml:space="preserve"> Version 0.1. EIA. </w:t>
      </w:r>
      <w:hyperlink r:id="rId27" w:history="1">
        <w:r w:rsidRPr="002C6953">
          <w:rPr>
            <w:rStyle w:val="Hyperlink"/>
          </w:rPr>
          <w:t>https://hdl.handle.net/10883/35305</w:t>
        </w:r>
      </w:hyperlink>
      <w:r>
        <w:t>.</w:t>
      </w:r>
    </w:p>
    <w:p w14:paraId="53F72438" w14:textId="57F2CFB3" w:rsidR="001B4658" w:rsidRDefault="001B4658" w:rsidP="001B4658">
      <w:pPr>
        <w:ind w:left="851" w:hanging="851"/>
      </w:pPr>
      <w:proofErr w:type="spellStart"/>
      <w:r w:rsidRPr="00B95745">
        <w:t>Mkondiwa,</w:t>
      </w:r>
      <w:proofErr w:type="spellEnd"/>
      <w:r w:rsidRPr="00B95745">
        <w:t xml:space="preserve"> M., &amp; Chamberlin, J. (2024). Spatially explicit trends in nitrogen use efficiency and partial profits in Tanzania, 2008-2020. EIA. </w:t>
      </w:r>
      <w:hyperlink r:id="rId28" w:history="1">
        <w:r w:rsidRPr="00B95745">
          <w:rPr>
            <w:rStyle w:val="Hyperlink"/>
          </w:rPr>
          <w:t>https://hdl.handle.net/10883/35304</w:t>
        </w:r>
      </w:hyperlink>
      <w:r>
        <w:t xml:space="preserve">. </w:t>
      </w:r>
    </w:p>
    <w:p w14:paraId="13E1950C" w14:textId="25127810" w:rsidR="00B80D9C" w:rsidRPr="00521981" w:rsidRDefault="007A1FFD" w:rsidP="00521981">
      <w:pPr>
        <w:ind w:left="851" w:hanging="851"/>
        <w:rPr>
          <w:lang w:val="en-ZW"/>
        </w:rPr>
      </w:pPr>
      <w:r>
        <w:t xml:space="preserve">Mulungu, K., Abro, Z.A., Muriithi, W.B., Kassie, M., </w:t>
      </w:r>
      <w:proofErr w:type="spellStart"/>
      <w:r>
        <w:t>Kidoido</w:t>
      </w:r>
      <w:proofErr w:type="spellEnd"/>
      <w:r>
        <w:t xml:space="preserve">, M., </w:t>
      </w:r>
      <w:proofErr w:type="spellStart"/>
      <w:r w:rsidR="00C254E5">
        <w:t>Sevgan</w:t>
      </w:r>
      <w:proofErr w:type="spellEnd"/>
      <w:r w:rsidR="00C254E5">
        <w:t xml:space="preserve">, S., Mohamed, S., Tanga, C., and Khamis, F. 2023. “One size does not fit all: Heterogeneous economic impact of integrated pest management practices for mango fruit flies in Kenya—a machine learning approach”. Journal of Agricultural Economics </w:t>
      </w:r>
      <w:r w:rsidR="00521981">
        <w:t xml:space="preserve">75 (1): 261-279. Doi: </w:t>
      </w:r>
      <w:hyperlink r:id="rId29" w:history="1">
        <w:r w:rsidR="00521981" w:rsidRPr="00521981">
          <w:rPr>
            <w:rStyle w:val="Hyperlink"/>
          </w:rPr>
          <w:t>https://doi.org/10.1111/1477-9552.12550</w:t>
        </w:r>
      </w:hyperlink>
      <w:r w:rsidR="00521981">
        <w:t>.</w:t>
      </w:r>
    </w:p>
    <w:p w14:paraId="166C8C09" w14:textId="08EACA70" w:rsidR="00006D27" w:rsidRDefault="007C0F28" w:rsidP="00006D27">
      <w:pPr>
        <w:ind w:left="851" w:hanging="851"/>
      </w:pPr>
      <w:r w:rsidRPr="007C0F28">
        <w:rPr>
          <w:lang w:val="sv-SE"/>
        </w:rPr>
        <w:t>Stetter, C., Mennig, P., a</w:t>
      </w:r>
      <w:r>
        <w:rPr>
          <w:lang w:val="sv-SE"/>
        </w:rPr>
        <w:t>nd Sauer</w:t>
      </w:r>
      <w:r w:rsidR="000F1727">
        <w:rPr>
          <w:lang w:val="sv-SE"/>
        </w:rPr>
        <w:t xml:space="preserve">, J. 2022. </w:t>
      </w:r>
      <w:r w:rsidR="000F1727">
        <w:t xml:space="preserve">“Using machine learning to identify </w:t>
      </w:r>
      <w:r w:rsidR="006A0FB8">
        <w:t xml:space="preserve">heterogeneous impacts of </w:t>
      </w:r>
      <w:proofErr w:type="spellStart"/>
      <w:r w:rsidR="006A0FB8">
        <w:t>agri</w:t>
      </w:r>
      <w:proofErr w:type="spellEnd"/>
      <w:r w:rsidR="006A0FB8">
        <w:t>-environment schemes in the EU: A case study</w:t>
      </w:r>
      <w:r w:rsidR="000F1727" w:rsidRPr="006A0FB8">
        <w:t>”</w:t>
      </w:r>
      <w:r w:rsidR="006062C3">
        <w:t>.</w:t>
      </w:r>
      <w:r w:rsidR="00E00731">
        <w:t xml:space="preserve"> European Journal of Agricultural Economics </w:t>
      </w:r>
      <w:r w:rsidR="00AB28AE">
        <w:t xml:space="preserve">49 (4): 723-759. Doi: </w:t>
      </w:r>
      <w:hyperlink r:id="rId30" w:history="1">
        <w:r w:rsidR="00AB28AE" w:rsidRPr="00250EDA">
          <w:rPr>
            <w:rStyle w:val="Hyperlink"/>
          </w:rPr>
          <w:t>https://doi.org/10.1093/erae/jbab057</w:t>
        </w:r>
      </w:hyperlink>
      <w:r w:rsidR="00AB28AE">
        <w:t xml:space="preserve">. </w:t>
      </w:r>
    </w:p>
    <w:p w14:paraId="3462C09E" w14:textId="3CD0E774" w:rsidR="009D7B98" w:rsidRDefault="007822B2" w:rsidP="00006D27">
      <w:pPr>
        <w:ind w:left="851" w:hanging="851"/>
      </w:pPr>
      <w:r>
        <w:t xml:space="preserve">Schmidt, L., </w:t>
      </w:r>
      <w:proofErr w:type="spellStart"/>
      <w:r>
        <w:t>Odening</w:t>
      </w:r>
      <w:proofErr w:type="spellEnd"/>
      <w:r>
        <w:t xml:space="preserve">, M., and Ritter, M. </w:t>
      </w:r>
      <w:r w:rsidR="00395147">
        <w:t xml:space="preserve">2024. “Do non-farmers pay more for land than farmers?”. </w:t>
      </w:r>
      <w:r w:rsidR="00395147" w:rsidRPr="002B1E1C">
        <w:rPr>
          <w:i/>
          <w:iCs/>
        </w:rPr>
        <w:t>European Review of Agricultural Economics</w:t>
      </w:r>
      <w:r w:rsidR="00395147">
        <w:t xml:space="preserve"> </w:t>
      </w:r>
      <w:r w:rsidR="007F07AB">
        <w:t xml:space="preserve">51 (4): 1094-1128. Doi: </w:t>
      </w:r>
      <w:hyperlink r:id="rId31" w:history="1">
        <w:r w:rsidR="002B1E1C" w:rsidRPr="002B1E1C">
          <w:rPr>
            <w:rStyle w:val="Hyperlink"/>
          </w:rPr>
          <w:t>https://doi.org/10.1093/erae/jbae023</w:t>
        </w:r>
      </w:hyperlink>
      <w:r w:rsidR="002B1E1C">
        <w:t xml:space="preserve">. </w:t>
      </w:r>
    </w:p>
    <w:p w14:paraId="5269209B" w14:textId="0F041DE7" w:rsidR="006062C3" w:rsidRDefault="006062C3" w:rsidP="00006D27">
      <w:pPr>
        <w:ind w:left="851" w:hanging="851"/>
      </w:pPr>
      <w:r>
        <w:t xml:space="preserve">Storm, H., Baylis, K., and </w:t>
      </w:r>
      <w:proofErr w:type="spellStart"/>
      <w:r>
        <w:t>Heckelei</w:t>
      </w:r>
      <w:proofErr w:type="spellEnd"/>
      <w:r>
        <w:t xml:space="preserve">, T. </w:t>
      </w:r>
      <w:r w:rsidR="008656A1">
        <w:t xml:space="preserve">2019. “Machine learning in agricultural and applied economics”. European Review of Agricultural Economics </w:t>
      </w:r>
      <w:r w:rsidR="0005209C">
        <w:t xml:space="preserve">47 (3): 849-892. Doi: </w:t>
      </w:r>
      <w:hyperlink r:id="rId32" w:history="1">
        <w:r w:rsidR="0005209C" w:rsidRPr="0005209C">
          <w:rPr>
            <w:rStyle w:val="Hyperlink"/>
          </w:rPr>
          <w:t>https://doi.org/10.1093/erae/jbz033</w:t>
        </w:r>
      </w:hyperlink>
      <w:r w:rsidR="0005209C">
        <w:t xml:space="preserve">. </w:t>
      </w:r>
      <w:r w:rsidR="008656A1">
        <w:t xml:space="preserve"> </w:t>
      </w:r>
    </w:p>
    <w:p w14:paraId="6D4C6286" w14:textId="77777777" w:rsidR="00006D27" w:rsidRDefault="00B421C6" w:rsidP="00006D27">
      <w:pPr>
        <w:ind w:left="851" w:hanging="851"/>
      </w:pPr>
      <w:r>
        <w:t>Takeshima, H., and Kishore, A. 2026. “Estimating cumulative input effects in annual crop production: A LASSO-based panel data approach from India</w:t>
      </w:r>
      <w:r w:rsidRPr="001C7C4D">
        <w:rPr>
          <w:i/>
          <w:iCs/>
        </w:rPr>
        <w:t>”. Agricultural Systems</w:t>
      </w:r>
      <w:r>
        <w:t xml:space="preserve"> 231: 104555. Doi: </w:t>
      </w:r>
      <w:hyperlink r:id="rId33" w:tgtFrame="_blank" w:tooltip="Persistent link using digital object identifier" w:history="1">
        <w:r w:rsidRPr="001C7C4D">
          <w:rPr>
            <w:rStyle w:val="Hyperlink"/>
          </w:rPr>
          <w:t>https://doi.org/10.1016/j.agsy.2025.104555</w:t>
        </w:r>
      </w:hyperlink>
      <w:r>
        <w:t xml:space="preserve">. </w:t>
      </w:r>
    </w:p>
    <w:p w14:paraId="3891979B" w14:textId="078DFDC0" w:rsidR="00331932" w:rsidRDefault="00E652ED" w:rsidP="00006D27">
      <w:pPr>
        <w:ind w:left="851" w:hanging="851"/>
      </w:pPr>
      <w:r w:rsidRPr="00E652ED">
        <w:t>Zhou, J., Zhu, P., Kluger, D.M., Lo</w:t>
      </w:r>
      <w:r>
        <w:t>bell, D.B., and Jin, Z</w:t>
      </w:r>
      <w:r w:rsidR="00ED0B70">
        <w:t xml:space="preserve">. 2024. “Changes in the yield effect of the preceding crop in the US corn belt under a warming climate”. </w:t>
      </w:r>
      <w:r w:rsidR="00ED0B70" w:rsidRPr="00331932">
        <w:rPr>
          <w:i/>
          <w:iCs/>
        </w:rPr>
        <w:t>Global Change Biology</w:t>
      </w:r>
      <w:r w:rsidR="00ED0B70">
        <w:t xml:space="preserve"> </w:t>
      </w:r>
      <w:r w:rsidR="00331932">
        <w:t xml:space="preserve">30 (11): e17556. Doi: </w:t>
      </w:r>
      <w:hyperlink r:id="rId34" w:history="1">
        <w:r w:rsidR="00331932" w:rsidRPr="00331932">
          <w:rPr>
            <w:rStyle w:val="Hyperlink"/>
            <w:b/>
            <w:bCs/>
          </w:rPr>
          <w:t>https://doi.org/10.1111/gcb.17556</w:t>
        </w:r>
      </w:hyperlink>
      <w:r w:rsidR="00331932">
        <w:t xml:space="preserve">. </w:t>
      </w:r>
    </w:p>
    <w:p w14:paraId="31996235" w14:textId="77777777" w:rsidR="00562938" w:rsidRDefault="00562938" w:rsidP="002920E4"/>
    <w:p w14:paraId="5910C974" w14:textId="77777777" w:rsidR="00B50375" w:rsidRPr="00E652ED" w:rsidRDefault="00B50375"/>
    <w:sectPr w:rsidR="00B50375" w:rsidRPr="00E652ED">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02747" w14:textId="77777777" w:rsidR="00A80312" w:rsidRDefault="00A80312" w:rsidP="00D506E2">
      <w:pPr>
        <w:spacing w:after="0" w:line="240" w:lineRule="auto"/>
      </w:pPr>
      <w:r>
        <w:separator/>
      </w:r>
    </w:p>
  </w:endnote>
  <w:endnote w:type="continuationSeparator" w:id="0">
    <w:p w14:paraId="79EBD905" w14:textId="77777777" w:rsidR="00A80312" w:rsidRDefault="00A80312" w:rsidP="00D50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048620"/>
      <w:docPartObj>
        <w:docPartGallery w:val="Page Numbers (Bottom of Page)"/>
        <w:docPartUnique/>
      </w:docPartObj>
    </w:sdtPr>
    <w:sdtEndPr>
      <w:rPr>
        <w:noProof/>
      </w:rPr>
    </w:sdtEndPr>
    <w:sdtContent>
      <w:p w14:paraId="6E3BDB90" w14:textId="6DF014BD" w:rsidR="00D506E2" w:rsidRDefault="00D506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FF67F" w14:textId="77777777" w:rsidR="00D506E2" w:rsidRDefault="00D50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51D9" w14:textId="77777777" w:rsidR="00A80312" w:rsidRDefault="00A80312" w:rsidP="00D506E2">
      <w:pPr>
        <w:spacing w:after="0" w:line="240" w:lineRule="auto"/>
      </w:pPr>
      <w:r>
        <w:separator/>
      </w:r>
    </w:p>
  </w:footnote>
  <w:footnote w:type="continuationSeparator" w:id="0">
    <w:p w14:paraId="655DA20F" w14:textId="77777777" w:rsidR="00A80312" w:rsidRDefault="00A80312" w:rsidP="00D50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04E1F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4F13FCC"/>
    <w:multiLevelType w:val="hybridMultilevel"/>
    <w:tmpl w:val="6652F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1534E1"/>
    <w:multiLevelType w:val="hybridMultilevel"/>
    <w:tmpl w:val="B9C4050C"/>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2C77141A"/>
    <w:multiLevelType w:val="hybridMultilevel"/>
    <w:tmpl w:val="ACA48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362A46"/>
    <w:multiLevelType w:val="hybridMultilevel"/>
    <w:tmpl w:val="8200A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1720164">
    <w:abstractNumId w:val="3"/>
  </w:num>
  <w:num w:numId="2" w16cid:durableId="1809007997">
    <w:abstractNumId w:val="1"/>
  </w:num>
  <w:num w:numId="3" w16cid:durableId="1895776218">
    <w:abstractNumId w:val="4"/>
  </w:num>
  <w:num w:numId="4" w16cid:durableId="88353888">
    <w:abstractNumId w:val="2"/>
  </w:num>
  <w:num w:numId="5" w16cid:durableId="2532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75"/>
    <w:rsid w:val="00006D27"/>
    <w:rsid w:val="000154DD"/>
    <w:rsid w:val="00020018"/>
    <w:rsid w:val="00041E94"/>
    <w:rsid w:val="0005209C"/>
    <w:rsid w:val="0005718E"/>
    <w:rsid w:val="00061BAF"/>
    <w:rsid w:val="000754A9"/>
    <w:rsid w:val="000918A9"/>
    <w:rsid w:val="00096334"/>
    <w:rsid w:val="000B60FD"/>
    <w:rsid w:val="000D21E6"/>
    <w:rsid w:val="000E0162"/>
    <w:rsid w:val="000E5579"/>
    <w:rsid w:val="000F1727"/>
    <w:rsid w:val="00126D1A"/>
    <w:rsid w:val="00141198"/>
    <w:rsid w:val="001451CD"/>
    <w:rsid w:val="001526CB"/>
    <w:rsid w:val="00165D47"/>
    <w:rsid w:val="001775DB"/>
    <w:rsid w:val="00184F02"/>
    <w:rsid w:val="001954A2"/>
    <w:rsid w:val="001B4658"/>
    <w:rsid w:val="001C4CEE"/>
    <w:rsid w:val="001C7C4D"/>
    <w:rsid w:val="001D7E66"/>
    <w:rsid w:val="00201142"/>
    <w:rsid w:val="00202043"/>
    <w:rsid w:val="00260FDB"/>
    <w:rsid w:val="00271939"/>
    <w:rsid w:val="002741A0"/>
    <w:rsid w:val="00275272"/>
    <w:rsid w:val="00287361"/>
    <w:rsid w:val="002920E4"/>
    <w:rsid w:val="002B1E1C"/>
    <w:rsid w:val="002B3A21"/>
    <w:rsid w:val="002B7D69"/>
    <w:rsid w:val="002C2862"/>
    <w:rsid w:val="002C6953"/>
    <w:rsid w:val="002D3052"/>
    <w:rsid w:val="002D4820"/>
    <w:rsid w:val="002D619E"/>
    <w:rsid w:val="002D6595"/>
    <w:rsid w:val="00331932"/>
    <w:rsid w:val="00334BBE"/>
    <w:rsid w:val="0035019F"/>
    <w:rsid w:val="00350E2B"/>
    <w:rsid w:val="003624B5"/>
    <w:rsid w:val="00376BF8"/>
    <w:rsid w:val="00382407"/>
    <w:rsid w:val="00383C03"/>
    <w:rsid w:val="00395147"/>
    <w:rsid w:val="00397F91"/>
    <w:rsid w:val="003A029F"/>
    <w:rsid w:val="003A0F0B"/>
    <w:rsid w:val="003B3AB3"/>
    <w:rsid w:val="003C1A3F"/>
    <w:rsid w:val="003D1B43"/>
    <w:rsid w:val="00414EDB"/>
    <w:rsid w:val="00420340"/>
    <w:rsid w:val="004376E0"/>
    <w:rsid w:val="004378D7"/>
    <w:rsid w:val="004709AC"/>
    <w:rsid w:val="00487DBB"/>
    <w:rsid w:val="00496125"/>
    <w:rsid w:val="004B5EA4"/>
    <w:rsid w:val="004C45FC"/>
    <w:rsid w:val="004F4B52"/>
    <w:rsid w:val="004F6190"/>
    <w:rsid w:val="00501456"/>
    <w:rsid w:val="0051148F"/>
    <w:rsid w:val="00521981"/>
    <w:rsid w:val="00546E59"/>
    <w:rsid w:val="00554959"/>
    <w:rsid w:val="005571B9"/>
    <w:rsid w:val="00562938"/>
    <w:rsid w:val="00566127"/>
    <w:rsid w:val="005856AF"/>
    <w:rsid w:val="00585EAE"/>
    <w:rsid w:val="0059055C"/>
    <w:rsid w:val="005B71F3"/>
    <w:rsid w:val="005C2FEC"/>
    <w:rsid w:val="005C4A69"/>
    <w:rsid w:val="005C7D90"/>
    <w:rsid w:val="005D379D"/>
    <w:rsid w:val="005D5DDA"/>
    <w:rsid w:val="006062C3"/>
    <w:rsid w:val="00623B8F"/>
    <w:rsid w:val="00640DD0"/>
    <w:rsid w:val="0065673A"/>
    <w:rsid w:val="00662EEF"/>
    <w:rsid w:val="00663579"/>
    <w:rsid w:val="00695EB5"/>
    <w:rsid w:val="006A0FB8"/>
    <w:rsid w:val="006A7955"/>
    <w:rsid w:val="006C0699"/>
    <w:rsid w:val="006C21F7"/>
    <w:rsid w:val="006C36C6"/>
    <w:rsid w:val="006D651B"/>
    <w:rsid w:val="007025F3"/>
    <w:rsid w:val="00702A8A"/>
    <w:rsid w:val="007032D7"/>
    <w:rsid w:val="0070351D"/>
    <w:rsid w:val="00721D58"/>
    <w:rsid w:val="00764412"/>
    <w:rsid w:val="0076449B"/>
    <w:rsid w:val="00771862"/>
    <w:rsid w:val="00774ED8"/>
    <w:rsid w:val="00776749"/>
    <w:rsid w:val="007822B2"/>
    <w:rsid w:val="007839E0"/>
    <w:rsid w:val="00786130"/>
    <w:rsid w:val="007901E7"/>
    <w:rsid w:val="00791FF2"/>
    <w:rsid w:val="00794C7C"/>
    <w:rsid w:val="007A0ECE"/>
    <w:rsid w:val="007A1FFD"/>
    <w:rsid w:val="007A36D0"/>
    <w:rsid w:val="007B5C46"/>
    <w:rsid w:val="007C0F28"/>
    <w:rsid w:val="007D501A"/>
    <w:rsid w:val="007E3A9A"/>
    <w:rsid w:val="007F07AB"/>
    <w:rsid w:val="007F128D"/>
    <w:rsid w:val="00802B6D"/>
    <w:rsid w:val="0082205D"/>
    <w:rsid w:val="008428B2"/>
    <w:rsid w:val="00842E63"/>
    <w:rsid w:val="00856242"/>
    <w:rsid w:val="0086296B"/>
    <w:rsid w:val="008656A1"/>
    <w:rsid w:val="0088138C"/>
    <w:rsid w:val="008844CA"/>
    <w:rsid w:val="008A6B46"/>
    <w:rsid w:val="008B7791"/>
    <w:rsid w:val="008C3182"/>
    <w:rsid w:val="008D618B"/>
    <w:rsid w:val="008E4560"/>
    <w:rsid w:val="008E7A21"/>
    <w:rsid w:val="008E7A3E"/>
    <w:rsid w:val="008F0358"/>
    <w:rsid w:val="008F4093"/>
    <w:rsid w:val="00923C25"/>
    <w:rsid w:val="0092756A"/>
    <w:rsid w:val="00933839"/>
    <w:rsid w:val="00950D2C"/>
    <w:rsid w:val="00956EA7"/>
    <w:rsid w:val="00964A02"/>
    <w:rsid w:val="00976DBA"/>
    <w:rsid w:val="009810A6"/>
    <w:rsid w:val="009B0422"/>
    <w:rsid w:val="009B4178"/>
    <w:rsid w:val="009D069A"/>
    <w:rsid w:val="009D1078"/>
    <w:rsid w:val="009D7B98"/>
    <w:rsid w:val="009E109D"/>
    <w:rsid w:val="009E70AA"/>
    <w:rsid w:val="009F741E"/>
    <w:rsid w:val="00A0271F"/>
    <w:rsid w:val="00A2064B"/>
    <w:rsid w:val="00A61919"/>
    <w:rsid w:val="00A7502B"/>
    <w:rsid w:val="00A80312"/>
    <w:rsid w:val="00A9203B"/>
    <w:rsid w:val="00AA1297"/>
    <w:rsid w:val="00AA2A54"/>
    <w:rsid w:val="00AB28AE"/>
    <w:rsid w:val="00AB7F84"/>
    <w:rsid w:val="00AC3B57"/>
    <w:rsid w:val="00AD26B0"/>
    <w:rsid w:val="00AF507E"/>
    <w:rsid w:val="00B104D3"/>
    <w:rsid w:val="00B2132D"/>
    <w:rsid w:val="00B37794"/>
    <w:rsid w:val="00B421C6"/>
    <w:rsid w:val="00B475D3"/>
    <w:rsid w:val="00B50375"/>
    <w:rsid w:val="00B722A8"/>
    <w:rsid w:val="00B738B6"/>
    <w:rsid w:val="00B7425A"/>
    <w:rsid w:val="00B80D9C"/>
    <w:rsid w:val="00B82B01"/>
    <w:rsid w:val="00B83483"/>
    <w:rsid w:val="00B8750A"/>
    <w:rsid w:val="00B9191B"/>
    <w:rsid w:val="00B92ED4"/>
    <w:rsid w:val="00B95745"/>
    <w:rsid w:val="00BD4900"/>
    <w:rsid w:val="00BF3C4B"/>
    <w:rsid w:val="00C254E5"/>
    <w:rsid w:val="00C3436B"/>
    <w:rsid w:val="00C348D2"/>
    <w:rsid w:val="00C47AAC"/>
    <w:rsid w:val="00C516B0"/>
    <w:rsid w:val="00C53B9E"/>
    <w:rsid w:val="00C73C0E"/>
    <w:rsid w:val="00C823FD"/>
    <w:rsid w:val="00C86A8F"/>
    <w:rsid w:val="00C94414"/>
    <w:rsid w:val="00C95398"/>
    <w:rsid w:val="00C97AFB"/>
    <w:rsid w:val="00CA04D5"/>
    <w:rsid w:val="00CA7787"/>
    <w:rsid w:val="00CC5847"/>
    <w:rsid w:val="00CC6626"/>
    <w:rsid w:val="00D00E63"/>
    <w:rsid w:val="00D149EA"/>
    <w:rsid w:val="00D160D7"/>
    <w:rsid w:val="00D268BB"/>
    <w:rsid w:val="00D276ED"/>
    <w:rsid w:val="00D327C2"/>
    <w:rsid w:val="00D33404"/>
    <w:rsid w:val="00D36D33"/>
    <w:rsid w:val="00D40483"/>
    <w:rsid w:val="00D506E2"/>
    <w:rsid w:val="00D542B6"/>
    <w:rsid w:val="00D726C4"/>
    <w:rsid w:val="00D96407"/>
    <w:rsid w:val="00DA5565"/>
    <w:rsid w:val="00DA57E4"/>
    <w:rsid w:val="00DA5D0F"/>
    <w:rsid w:val="00DB0EAD"/>
    <w:rsid w:val="00DB618A"/>
    <w:rsid w:val="00DB76CC"/>
    <w:rsid w:val="00DC2C13"/>
    <w:rsid w:val="00DC3A2A"/>
    <w:rsid w:val="00DF027A"/>
    <w:rsid w:val="00DF27C0"/>
    <w:rsid w:val="00DF2B89"/>
    <w:rsid w:val="00E00731"/>
    <w:rsid w:val="00E033C7"/>
    <w:rsid w:val="00E219A6"/>
    <w:rsid w:val="00E46253"/>
    <w:rsid w:val="00E536A9"/>
    <w:rsid w:val="00E631AC"/>
    <w:rsid w:val="00E652ED"/>
    <w:rsid w:val="00E84B44"/>
    <w:rsid w:val="00E84EC5"/>
    <w:rsid w:val="00E8614D"/>
    <w:rsid w:val="00E90766"/>
    <w:rsid w:val="00E90E0E"/>
    <w:rsid w:val="00E916F8"/>
    <w:rsid w:val="00E9475D"/>
    <w:rsid w:val="00ED0B70"/>
    <w:rsid w:val="00ED2E8F"/>
    <w:rsid w:val="00ED3328"/>
    <w:rsid w:val="00ED55E5"/>
    <w:rsid w:val="00ED7CFF"/>
    <w:rsid w:val="00F150D5"/>
    <w:rsid w:val="00F22E30"/>
    <w:rsid w:val="00F268E1"/>
    <w:rsid w:val="00F31979"/>
    <w:rsid w:val="00F337CF"/>
    <w:rsid w:val="00F36044"/>
    <w:rsid w:val="00F56FB7"/>
    <w:rsid w:val="00F61B95"/>
    <w:rsid w:val="00F62521"/>
    <w:rsid w:val="00F80195"/>
    <w:rsid w:val="00F9207C"/>
    <w:rsid w:val="00F96434"/>
    <w:rsid w:val="00FA2047"/>
    <w:rsid w:val="00FA3627"/>
    <w:rsid w:val="00FC28E0"/>
    <w:rsid w:val="00FC4143"/>
    <w:rsid w:val="00FC5051"/>
    <w:rsid w:val="00FE4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ABF0"/>
  <w15:chartTrackingRefBased/>
  <w15:docId w15:val="{1EF07EE3-8F6A-4E6F-A291-238A66BA1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B5C46"/>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5D379D"/>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autoRedefine/>
    <w:uiPriority w:val="9"/>
    <w:unhideWhenUsed/>
    <w:qFormat/>
    <w:rsid w:val="007B5C46"/>
    <w:pPr>
      <w:keepNext/>
      <w:keepLines/>
      <w:spacing w:before="160" w:after="8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B50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C46"/>
    <w:rPr>
      <w:rFonts w:asciiTheme="majorHAnsi" w:eastAsiaTheme="majorEastAsia" w:hAnsiTheme="majorHAnsi" w:cstheme="majorBidi"/>
      <w:color w:val="0F4761" w:themeColor="accent1" w:themeShade="BF"/>
      <w:sz w:val="28"/>
      <w:szCs w:val="40"/>
    </w:rPr>
  </w:style>
  <w:style w:type="character" w:customStyle="1" w:styleId="Heading2Char">
    <w:name w:val="Heading 2 Char"/>
    <w:basedOn w:val="DefaultParagraphFont"/>
    <w:link w:val="Heading2"/>
    <w:uiPriority w:val="9"/>
    <w:rsid w:val="005D379D"/>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rsid w:val="007B5C46"/>
    <w:rPr>
      <w:rFonts w:eastAsiaTheme="majorEastAsia" w:cstheme="majorBidi"/>
      <w:i/>
      <w:color w:val="0F4761" w:themeColor="accent1" w:themeShade="BF"/>
      <w:szCs w:val="28"/>
    </w:rPr>
  </w:style>
  <w:style w:type="character" w:customStyle="1" w:styleId="Heading4Char">
    <w:name w:val="Heading 4 Char"/>
    <w:basedOn w:val="DefaultParagraphFont"/>
    <w:link w:val="Heading4"/>
    <w:uiPriority w:val="9"/>
    <w:semiHidden/>
    <w:rsid w:val="00B50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375"/>
    <w:rPr>
      <w:rFonts w:eastAsiaTheme="majorEastAsia" w:cstheme="majorBidi"/>
      <w:color w:val="272727" w:themeColor="text1" w:themeTint="D8"/>
    </w:rPr>
  </w:style>
  <w:style w:type="paragraph" w:styleId="Title">
    <w:name w:val="Title"/>
    <w:basedOn w:val="Normal"/>
    <w:next w:val="Normal"/>
    <w:link w:val="TitleChar"/>
    <w:uiPriority w:val="10"/>
    <w:qFormat/>
    <w:rsid w:val="00B50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375"/>
    <w:pPr>
      <w:spacing w:before="160"/>
      <w:jc w:val="center"/>
    </w:pPr>
    <w:rPr>
      <w:i/>
      <w:iCs/>
      <w:color w:val="404040" w:themeColor="text1" w:themeTint="BF"/>
    </w:rPr>
  </w:style>
  <w:style w:type="character" w:customStyle="1" w:styleId="QuoteChar">
    <w:name w:val="Quote Char"/>
    <w:basedOn w:val="DefaultParagraphFont"/>
    <w:link w:val="Quote"/>
    <w:uiPriority w:val="29"/>
    <w:rsid w:val="00B50375"/>
    <w:rPr>
      <w:i/>
      <w:iCs/>
      <w:color w:val="404040" w:themeColor="text1" w:themeTint="BF"/>
    </w:rPr>
  </w:style>
  <w:style w:type="paragraph" w:styleId="ListParagraph">
    <w:name w:val="List Paragraph"/>
    <w:basedOn w:val="Normal"/>
    <w:uiPriority w:val="34"/>
    <w:qFormat/>
    <w:rsid w:val="00B50375"/>
    <w:pPr>
      <w:ind w:left="720"/>
      <w:contextualSpacing/>
    </w:pPr>
  </w:style>
  <w:style w:type="character" w:styleId="IntenseEmphasis">
    <w:name w:val="Intense Emphasis"/>
    <w:basedOn w:val="DefaultParagraphFont"/>
    <w:uiPriority w:val="21"/>
    <w:qFormat/>
    <w:rsid w:val="00B50375"/>
    <w:rPr>
      <w:i/>
      <w:iCs/>
      <w:color w:val="0F4761" w:themeColor="accent1" w:themeShade="BF"/>
    </w:rPr>
  </w:style>
  <w:style w:type="paragraph" w:styleId="IntenseQuote">
    <w:name w:val="Intense Quote"/>
    <w:basedOn w:val="Normal"/>
    <w:next w:val="Normal"/>
    <w:link w:val="IntenseQuoteChar"/>
    <w:uiPriority w:val="30"/>
    <w:qFormat/>
    <w:rsid w:val="00B50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375"/>
    <w:rPr>
      <w:i/>
      <w:iCs/>
      <w:color w:val="0F4761" w:themeColor="accent1" w:themeShade="BF"/>
    </w:rPr>
  </w:style>
  <w:style w:type="character" w:styleId="IntenseReference">
    <w:name w:val="Intense Reference"/>
    <w:basedOn w:val="DefaultParagraphFont"/>
    <w:uiPriority w:val="32"/>
    <w:qFormat/>
    <w:rsid w:val="00B50375"/>
    <w:rPr>
      <w:b/>
      <w:bCs/>
      <w:smallCaps/>
      <w:color w:val="0F4761" w:themeColor="accent1" w:themeShade="BF"/>
      <w:spacing w:val="5"/>
    </w:rPr>
  </w:style>
  <w:style w:type="character" w:styleId="Hyperlink">
    <w:name w:val="Hyperlink"/>
    <w:basedOn w:val="DefaultParagraphFont"/>
    <w:uiPriority w:val="99"/>
    <w:unhideWhenUsed/>
    <w:rsid w:val="00B50375"/>
    <w:rPr>
      <w:color w:val="467886" w:themeColor="hyperlink"/>
      <w:u w:val="single"/>
    </w:rPr>
  </w:style>
  <w:style w:type="character" w:styleId="UnresolvedMention">
    <w:name w:val="Unresolved Mention"/>
    <w:basedOn w:val="DefaultParagraphFont"/>
    <w:uiPriority w:val="99"/>
    <w:semiHidden/>
    <w:unhideWhenUsed/>
    <w:rsid w:val="00B50375"/>
    <w:rPr>
      <w:color w:val="605E5C"/>
      <w:shd w:val="clear" w:color="auto" w:fill="E1DFDD"/>
    </w:rPr>
  </w:style>
  <w:style w:type="paragraph" w:styleId="Header">
    <w:name w:val="header"/>
    <w:basedOn w:val="Normal"/>
    <w:link w:val="HeaderChar"/>
    <w:uiPriority w:val="99"/>
    <w:unhideWhenUsed/>
    <w:rsid w:val="00D506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6E2"/>
  </w:style>
  <w:style w:type="paragraph" w:styleId="Footer">
    <w:name w:val="footer"/>
    <w:basedOn w:val="Normal"/>
    <w:link w:val="FooterChar"/>
    <w:uiPriority w:val="99"/>
    <w:unhideWhenUsed/>
    <w:rsid w:val="00D506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6E2"/>
  </w:style>
  <w:style w:type="character" w:styleId="CommentReference">
    <w:name w:val="annotation reference"/>
    <w:basedOn w:val="DefaultParagraphFont"/>
    <w:uiPriority w:val="99"/>
    <w:semiHidden/>
    <w:unhideWhenUsed/>
    <w:rsid w:val="00AA1297"/>
    <w:rPr>
      <w:sz w:val="16"/>
      <w:szCs w:val="16"/>
    </w:rPr>
  </w:style>
  <w:style w:type="paragraph" w:styleId="CommentText">
    <w:name w:val="annotation text"/>
    <w:basedOn w:val="Normal"/>
    <w:link w:val="CommentTextChar"/>
    <w:uiPriority w:val="99"/>
    <w:unhideWhenUsed/>
    <w:rsid w:val="00AA1297"/>
    <w:pPr>
      <w:spacing w:line="240" w:lineRule="auto"/>
    </w:pPr>
    <w:rPr>
      <w:sz w:val="20"/>
      <w:szCs w:val="20"/>
    </w:rPr>
  </w:style>
  <w:style w:type="character" w:customStyle="1" w:styleId="CommentTextChar">
    <w:name w:val="Comment Text Char"/>
    <w:basedOn w:val="DefaultParagraphFont"/>
    <w:link w:val="CommentText"/>
    <w:uiPriority w:val="99"/>
    <w:rsid w:val="00AA1297"/>
    <w:rPr>
      <w:sz w:val="20"/>
      <w:szCs w:val="20"/>
    </w:rPr>
  </w:style>
  <w:style w:type="paragraph" w:styleId="CommentSubject">
    <w:name w:val="annotation subject"/>
    <w:basedOn w:val="CommentText"/>
    <w:next w:val="CommentText"/>
    <w:link w:val="CommentSubjectChar"/>
    <w:uiPriority w:val="99"/>
    <w:semiHidden/>
    <w:unhideWhenUsed/>
    <w:rsid w:val="00AA1297"/>
    <w:rPr>
      <w:b/>
      <w:bCs/>
    </w:rPr>
  </w:style>
  <w:style w:type="character" w:customStyle="1" w:styleId="CommentSubjectChar">
    <w:name w:val="Comment Subject Char"/>
    <w:basedOn w:val="CommentTextChar"/>
    <w:link w:val="CommentSubject"/>
    <w:uiPriority w:val="99"/>
    <w:semiHidden/>
    <w:rsid w:val="00AA1297"/>
    <w:rPr>
      <w:b/>
      <w:bCs/>
      <w:sz w:val="20"/>
      <w:szCs w:val="20"/>
    </w:rPr>
  </w:style>
  <w:style w:type="paragraph" w:styleId="BodyText">
    <w:name w:val="Body Text"/>
    <w:basedOn w:val="Normal"/>
    <w:link w:val="BodyTextChar"/>
    <w:qFormat/>
    <w:rsid w:val="00383C03"/>
    <w:pPr>
      <w:spacing w:before="180" w:after="180" w:line="240" w:lineRule="auto"/>
    </w:pPr>
    <w:rPr>
      <w:kern w:val="0"/>
      <w:lang w:val="en-US"/>
      <w14:ligatures w14:val="none"/>
    </w:rPr>
  </w:style>
  <w:style w:type="character" w:customStyle="1" w:styleId="BodyTextChar">
    <w:name w:val="Body Text Char"/>
    <w:basedOn w:val="DefaultParagraphFont"/>
    <w:link w:val="BodyText"/>
    <w:rsid w:val="00383C03"/>
    <w:rPr>
      <w:kern w:val="0"/>
      <w:lang w:val="en-US"/>
      <w14:ligatures w14:val="none"/>
    </w:rPr>
  </w:style>
  <w:style w:type="paragraph" w:customStyle="1" w:styleId="FirstParagraph">
    <w:name w:val="First Paragraph"/>
    <w:basedOn w:val="BodyText"/>
    <w:next w:val="BodyText"/>
    <w:qFormat/>
    <w:rsid w:val="00DF27C0"/>
  </w:style>
  <w:style w:type="paragraph" w:customStyle="1" w:styleId="Compact">
    <w:name w:val="Compact"/>
    <w:basedOn w:val="BodyText"/>
    <w:qFormat/>
    <w:rsid w:val="00DF27C0"/>
    <w:pPr>
      <w:spacing w:before="36" w:after="36"/>
    </w:pPr>
  </w:style>
  <w:style w:type="character" w:styleId="FollowedHyperlink">
    <w:name w:val="FollowedHyperlink"/>
    <w:basedOn w:val="DefaultParagraphFont"/>
    <w:uiPriority w:val="99"/>
    <w:semiHidden/>
    <w:unhideWhenUsed/>
    <w:rsid w:val="00487D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enodo.org/records/15579276" TargetMode="External"/><Relationship Id="rId18" Type="http://schemas.openxmlformats.org/officeDocument/2006/relationships/hyperlink" Target="https://github.com/julianneq/Africa_Fertilizer_Profitability" TargetMode="External"/><Relationship Id="rId26" Type="http://schemas.openxmlformats.org/officeDocument/2006/relationships/hyperlink" Target="https://doi.org/10.1016/j.agwat.2025.109830" TargetMode="External"/><Relationship Id="rId21" Type="http://schemas.openxmlformats.org/officeDocument/2006/relationships/hyperlink" Target="https://www.pywhy.org/EconML/" TargetMode="External"/><Relationship Id="rId34" Type="http://schemas.openxmlformats.org/officeDocument/2006/relationships/hyperlink" Target="https://doi.org/10.1111/gcb.17556" TargetMode="External"/><Relationship Id="rId7" Type="http://schemas.openxmlformats.org/officeDocument/2006/relationships/hyperlink" Target="mailto:m.mkondiwa@cgiar.org" TargetMode="External"/><Relationship Id="rId12" Type="http://schemas.openxmlformats.org/officeDocument/2006/relationships/hyperlink" Target="https://github.com/MaxwellMkondiwa/TZ_Spatial_NUE_Trends_Causal_AI" TargetMode="External"/><Relationship Id="rId17" Type="http://schemas.openxmlformats.org/officeDocument/2006/relationships/hyperlink" Target="https://zenodo.org/records/3525359" TargetMode="External"/><Relationship Id="rId25" Type="http://schemas.openxmlformats.org/officeDocument/2006/relationships/hyperlink" Target="https://www.researchgate.net/profile/Maxwell-Mkondiwa/publication/380290487_Empowering_Sustainability_Transitions_in_Agri-food_Systems_Using_Big_Data_and_Causal_Artificial_Intelligence_Causal_AI/links/6633c73a06ea3d0b74237814/Empowering-Sustainability-Transitions-in-Agri-food-Systems-Using-Big-Data-and-Causal-Artificial-Intelligence-Causal-AI.pdf" TargetMode="External"/><Relationship Id="rId33" Type="http://schemas.openxmlformats.org/officeDocument/2006/relationships/hyperlink" Target="https://doi.org/10.1016/j.agsy.2025.104555" TargetMode="External"/><Relationship Id="rId2" Type="http://schemas.openxmlformats.org/officeDocument/2006/relationships/styles" Target="styles.xml"/><Relationship Id="rId16" Type="http://schemas.openxmlformats.org/officeDocument/2006/relationships/hyperlink" Target="https://zenodo.org/records/3525346" TargetMode="External"/><Relationship Id="rId20" Type="http://schemas.openxmlformats.org/officeDocument/2006/relationships/hyperlink" Target="https://grf-labs.github.io/grf/" TargetMode="External"/><Relationship Id="rId29" Type="http://schemas.openxmlformats.org/officeDocument/2006/relationships/hyperlink" Target="https://doi.org/10.1111/1477-9552.1255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ia2030-ex-ante.github.io/causal_RF_targeting/" TargetMode="External"/><Relationship Id="rId24" Type="http://schemas.openxmlformats.org/officeDocument/2006/relationships/hyperlink" Target="https://doi.org/10.2307/1242760" TargetMode="External"/><Relationship Id="rId32" Type="http://schemas.openxmlformats.org/officeDocument/2006/relationships/hyperlink" Target="https://doi.org/10.1093/erae/jbz033"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281/zenodo.7199708" TargetMode="External"/><Relationship Id="rId23" Type="http://schemas.openxmlformats.org/officeDocument/2006/relationships/hyperlink" Target="https://doi.org/10.3982/ECTA15732" TargetMode="External"/><Relationship Id="rId28" Type="http://schemas.openxmlformats.org/officeDocument/2006/relationships/hyperlink" Target="https://hdl.handle.net/10883/35304"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MaxwellMkondiwa/TZ_Spatial_NUE_Trends_Causal_AI" TargetMode="External"/><Relationship Id="rId31" Type="http://schemas.openxmlformats.org/officeDocument/2006/relationships/hyperlink" Target="https://doi.org/10.1093/erae/jbae023" TargetMode="External"/><Relationship Id="rId4" Type="http://schemas.openxmlformats.org/officeDocument/2006/relationships/webSettings" Target="webSettings.xml"/><Relationship Id="rId9" Type="http://schemas.openxmlformats.org/officeDocument/2006/relationships/hyperlink" Target="https://github.com/MaxwellMkondiwa/Training_Materials/tree/main/2026/NIAP" TargetMode="External"/><Relationship Id="rId14" Type="http://schemas.openxmlformats.org/officeDocument/2006/relationships/hyperlink" Target="https://doi.org/10.5281/zenodo.13901372" TargetMode="External"/><Relationship Id="rId22" Type="http://schemas.openxmlformats.org/officeDocument/2006/relationships/hyperlink" Target="https://www.stata.com/manuals/causalcate.pdf" TargetMode="External"/><Relationship Id="rId27" Type="http://schemas.openxmlformats.org/officeDocument/2006/relationships/hyperlink" Target="https://hdl.handle.net/10883/35305" TargetMode="External"/><Relationship Id="rId30" Type="http://schemas.openxmlformats.org/officeDocument/2006/relationships/hyperlink" Target="https://doi.org/10.1093/erae/jbab057"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1467</TotalTime>
  <Pages>10</Pages>
  <Words>3245</Words>
  <Characters>20058</Characters>
  <Application>Microsoft Office Word</Application>
  <DocSecurity>0</DocSecurity>
  <Lines>358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Mkondiwa</dc:creator>
  <cp:keywords/>
  <dc:description/>
  <cp:lastModifiedBy>MKONDIWA, Maxwell (CIMMYT-India)</cp:lastModifiedBy>
  <cp:revision>256</cp:revision>
  <dcterms:created xsi:type="dcterms:W3CDTF">2026-03-03T11:27:00Z</dcterms:created>
  <dcterms:modified xsi:type="dcterms:W3CDTF">2026-03-09T05:16:00Z</dcterms:modified>
</cp:coreProperties>
</file>