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09B" w:rsidRDefault="002933D1" w:rsidP="002933D1">
      <w:pPr>
        <w:pStyle w:val="Title"/>
      </w:pPr>
      <w:r>
        <w:t>RTD Testing</w:t>
      </w:r>
    </w:p>
    <w:p w:rsidR="007327D7" w:rsidRDefault="007327D7" w:rsidP="007327D7">
      <w:pPr>
        <w:jc w:val="right"/>
      </w:pPr>
      <w:r>
        <w:t>Horatio He</w:t>
      </w:r>
    </w:p>
    <w:p w:rsidR="007327D7" w:rsidRPr="007327D7" w:rsidRDefault="007327D7" w:rsidP="007327D7">
      <w:pPr>
        <w:jc w:val="right"/>
      </w:pPr>
      <w:r>
        <w:t>June 25, 2013</w:t>
      </w:r>
    </w:p>
    <w:p w:rsidR="007A6F59" w:rsidRDefault="007A6F59" w:rsidP="007A6F59">
      <w:r>
        <w:t>As part of the Rosemount Analyzer replacement project, we need to learn how to measure temperatures from the various RTDs found on the Rosemount sensors used in TRITON. An RTD measurement circuit is used to convert an RTD’s [temperature dependent] resistance to a voltage. The objective here is to verify that the circuit accurately converts temperature to voltage, behaves linearly, and to learn how to calibrate an RTD for use with TRITON.</w:t>
      </w:r>
    </w:p>
    <w:p w:rsidR="002933D1" w:rsidRDefault="002933D1" w:rsidP="002933D1">
      <w:pPr>
        <w:pStyle w:val="Heading1"/>
      </w:pPr>
      <w:r>
        <w:t>Measurement circuit</w:t>
      </w:r>
    </w:p>
    <w:p w:rsidR="002933D1" w:rsidRDefault="002933D1" w:rsidP="002933D1">
      <w:pPr>
        <w:spacing w:after="0"/>
      </w:pPr>
      <w:r>
        <w:t xml:space="preserve">The following is a sample circuit used for the measurement of a Pt100 RTD. </w:t>
      </w:r>
      <w:r w:rsidR="00DF4992">
        <w:t xml:space="preserve">A Pt RTD has a non linear relationship between resistance and temperature, but it very closely approximates a linear relationship. </w:t>
      </w:r>
      <w:r>
        <w:t>This circu</w:t>
      </w:r>
      <w:r w:rsidR="004948BD">
        <w:t xml:space="preserve">it </w:t>
      </w:r>
      <w:proofErr w:type="spellStart"/>
      <w:r w:rsidR="004948BD">
        <w:t>linearizes</w:t>
      </w:r>
      <w:proofErr w:type="spellEnd"/>
      <w:r w:rsidR="004948BD">
        <w:t xml:space="preserve"> the response of the RTD </w:t>
      </w:r>
      <w:r w:rsidR="00DF4992">
        <w:t>by mapping</w:t>
      </w:r>
      <w:r w:rsidR="004948BD">
        <w:t xml:space="preserve"> temperature to voltage.</w:t>
      </w:r>
    </w:p>
    <w:p w:rsidR="00DF4992" w:rsidRDefault="002933D1" w:rsidP="00DF4992">
      <w:pPr>
        <w:keepNext/>
      </w:pPr>
      <w:r w:rsidRPr="002933D1">
        <w:rPr>
          <w:noProof/>
          <w:lang w:eastAsia="en-US"/>
        </w:rPr>
        <w:drawing>
          <wp:inline distT="0" distB="0" distL="0" distR="0">
            <wp:extent cx="4171950" cy="30384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4171950" cy="3038475"/>
                    </a:xfrm>
                    <a:prstGeom prst="rect">
                      <a:avLst/>
                    </a:prstGeom>
                    <a:noFill/>
                    <a:ln w="9525">
                      <a:noFill/>
                      <a:miter lim="800000"/>
                      <a:headEnd/>
                      <a:tailEnd/>
                    </a:ln>
                  </pic:spPr>
                </pic:pic>
              </a:graphicData>
            </a:graphic>
          </wp:inline>
        </w:drawing>
      </w:r>
    </w:p>
    <w:p w:rsidR="002933D1" w:rsidRDefault="00DF4992" w:rsidP="00DF4992">
      <w:pPr>
        <w:pStyle w:val="Caption"/>
      </w:pPr>
      <w:r>
        <w:t xml:space="preserve">Figure </w:t>
      </w:r>
      <w:fldSimple w:instr=" SEQ Figure \* ARABIC ">
        <w:r>
          <w:rPr>
            <w:noProof/>
          </w:rPr>
          <w:t>1</w:t>
        </w:r>
      </w:fldSimple>
      <w:r>
        <w:t xml:space="preserve"> RTD linearization circuit</w:t>
      </w:r>
    </w:p>
    <w:p w:rsidR="002933D1" w:rsidRDefault="002933D1" w:rsidP="002933D1">
      <w:pPr>
        <w:spacing w:after="0"/>
      </w:pPr>
      <w:r>
        <w:t>The circuit was taken from the document “Analog linearization of resistance</w:t>
      </w:r>
    </w:p>
    <w:p w:rsidR="00CB03DF" w:rsidRDefault="002933D1" w:rsidP="00742D17">
      <w:proofErr w:type="gramStart"/>
      <w:r>
        <w:t>temperature</w:t>
      </w:r>
      <w:proofErr w:type="gramEnd"/>
      <w:r>
        <w:t xml:space="preserve"> detectors “ published by Texas Instruments, authored by Bruce Trump (slyt442.pdf). Along with it comes a </w:t>
      </w:r>
      <w:proofErr w:type="gramStart"/>
      <w:r>
        <w:t>spreadsheet ,</w:t>
      </w:r>
      <w:proofErr w:type="gramEnd"/>
      <w:r w:rsidR="00CB03DF">
        <w:t xml:space="preserve"> </w:t>
      </w:r>
      <w:r w:rsidRPr="002933D1">
        <w:t>RTD_Linearization_v7.xls</w:t>
      </w:r>
      <w:r>
        <w:t xml:space="preserve">, where one can input the desired values for R1, </w:t>
      </w:r>
      <w:proofErr w:type="spellStart"/>
      <w:r>
        <w:t>Vref</w:t>
      </w:r>
      <w:proofErr w:type="spellEnd"/>
      <w:r>
        <w:t xml:space="preserve">, the range of temperatures, and the range of </w:t>
      </w:r>
      <w:proofErr w:type="spellStart"/>
      <w:r>
        <w:t>Vout</w:t>
      </w:r>
      <w:proofErr w:type="spellEnd"/>
      <w:r>
        <w:t>. The spreadsheet calculates the required resistances for R5 and R7, and the gain of the instrumentation amplifier to be used.</w:t>
      </w:r>
      <w:r w:rsidR="00CB03DF">
        <w:t xml:space="preserve"> </w:t>
      </w:r>
    </w:p>
    <w:p w:rsidR="00B24A0B" w:rsidRDefault="00B24A0B" w:rsidP="00742D17">
      <w:r>
        <w:lastRenderedPageBreak/>
        <w:t>Available for testing are two Pt100 RTDs found o</w:t>
      </w:r>
      <w:r w:rsidR="005B4513">
        <w:t xml:space="preserve">n the Rosemount 399-10 pH and ORP probes, and one Pt1000 found on the Rosemount 400-12 conductivity probe. Two circuits were made, </w:t>
      </w:r>
      <w:r w:rsidR="00735D93">
        <w:t>one for each type of RTD. All 3 RTDs are tested to determine the relationship between temperature and output voltage. This will tell us the viability of using the linearization circuit.</w:t>
      </w:r>
      <w:r w:rsidR="004E7164">
        <w:t xml:space="preserve"> The RTD leads were connected where the RTD is shown in the diagram above. A pin/wire mapping is given in the appendix. </w:t>
      </w:r>
    </w:p>
    <w:p w:rsidR="00742D17" w:rsidRDefault="005B4513" w:rsidP="00742D17">
      <w:r>
        <w:t>For the spreadsheet calculations, w</w:t>
      </w:r>
      <w:r w:rsidR="00CB03DF">
        <w:t xml:space="preserve">e use a temperature range of -5°C to 50°C, R1 = 4.99kΩ, and a range of output voltages 0V to 5V. </w:t>
      </w:r>
      <w:r w:rsidR="00CB434F">
        <w:t>The supply voltages were measured to be V+ = 5.16V, V- = -5.61V. V+ is used as the reference voltage.</w:t>
      </w:r>
      <w:r w:rsidR="00DF4992">
        <w:t xml:space="preserve">  Once</w:t>
      </w:r>
      <w:r>
        <w:t xml:space="preserve"> R5, R7, and gain were calculated</w:t>
      </w:r>
      <w:r w:rsidR="00DF4992">
        <w:t xml:space="preserve">, the closest available resistors were used to assemble the circuit. </w:t>
      </w:r>
      <w:r w:rsidR="00742D17">
        <w:t>Table 1 below summarizes these findings. The instrumentation amplifier used is an AD622AN. The gain is given by the following equation:</w:t>
      </w:r>
    </w:p>
    <w:p w:rsidR="00742D17" w:rsidRDefault="00742D17" w:rsidP="00742D17">
      <m:oMathPara>
        <m:oMath>
          <m:r>
            <w:rPr>
              <w:rFonts w:ascii="Cambria Math" w:hAnsi="Cambria Math"/>
            </w:rPr>
            <m:t xml:space="preserve">G= 1+ </m:t>
          </m:r>
          <m:f>
            <m:fPr>
              <m:ctrlPr>
                <w:rPr>
                  <w:rFonts w:ascii="Cambria Math" w:hAnsi="Cambria Math"/>
                  <w:i/>
                </w:rPr>
              </m:ctrlPr>
            </m:fPr>
            <m:num>
              <m:r>
                <w:rPr>
                  <w:rFonts w:ascii="Cambria Math" w:hAnsi="Cambria Math"/>
                </w:rPr>
                <m:t>50.5k</m:t>
              </m:r>
            </m:num>
            <m:den>
              <m:sSub>
                <m:sSubPr>
                  <m:ctrlPr>
                    <w:rPr>
                      <w:rFonts w:ascii="Cambria Math" w:hAnsi="Cambria Math"/>
                      <w:i/>
                    </w:rPr>
                  </m:ctrlPr>
                </m:sSubPr>
                <m:e>
                  <m:r>
                    <w:rPr>
                      <w:rFonts w:ascii="Cambria Math" w:hAnsi="Cambria Math"/>
                    </w:rPr>
                    <m:t>R</m:t>
                  </m:r>
                </m:e>
                <m:sub>
                  <m:r>
                    <w:rPr>
                      <w:rFonts w:ascii="Cambria Math" w:hAnsi="Cambria Math"/>
                    </w:rPr>
                    <m:t>G</m:t>
                  </m:r>
                </m:sub>
              </m:sSub>
            </m:den>
          </m:f>
        </m:oMath>
      </m:oMathPara>
    </w:p>
    <w:tbl>
      <w:tblPr>
        <w:tblStyle w:val="TableGrid"/>
        <w:tblW w:w="0" w:type="auto"/>
        <w:tblLook w:val="04A0"/>
      </w:tblPr>
      <w:tblGrid>
        <w:gridCol w:w="3192"/>
        <w:gridCol w:w="3192"/>
        <w:gridCol w:w="3192"/>
      </w:tblGrid>
      <w:tr w:rsidR="00B24A0B" w:rsidTr="00B24A0B">
        <w:tc>
          <w:tcPr>
            <w:tcW w:w="3192" w:type="dxa"/>
          </w:tcPr>
          <w:p w:rsidR="00B24A0B" w:rsidRDefault="00B24A0B" w:rsidP="002933D1"/>
        </w:tc>
        <w:tc>
          <w:tcPr>
            <w:tcW w:w="3192" w:type="dxa"/>
          </w:tcPr>
          <w:p w:rsidR="00B24A0B" w:rsidRDefault="00B24A0B" w:rsidP="00DC6C52">
            <w:pPr>
              <w:jc w:val="center"/>
            </w:pPr>
            <w:r>
              <w:t>Pt100</w:t>
            </w:r>
          </w:p>
        </w:tc>
        <w:tc>
          <w:tcPr>
            <w:tcW w:w="3192" w:type="dxa"/>
          </w:tcPr>
          <w:p w:rsidR="00B24A0B" w:rsidRDefault="00B24A0B" w:rsidP="00DC6C52">
            <w:pPr>
              <w:jc w:val="center"/>
            </w:pPr>
            <w:r>
              <w:t>Pt1000</w:t>
            </w:r>
          </w:p>
        </w:tc>
      </w:tr>
      <w:tr w:rsidR="00B24A0B" w:rsidTr="00B24A0B">
        <w:tc>
          <w:tcPr>
            <w:tcW w:w="3192" w:type="dxa"/>
          </w:tcPr>
          <w:p w:rsidR="00B24A0B" w:rsidRDefault="00DC6C52" w:rsidP="00DC6C52">
            <w:pPr>
              <w:jc w:val="right"/>
            </w:pPr>
            <w:r>
              <w:t>Calculated R5 (Ω)</w:t>
            </w:r>
          </w:p>
        </w:tc>
        <w:tc>
          <w:tcPr>
            <w:tcW w:w="3192" w:type="dxa"/>
          </w:tcPr>
          <w:p w:rsidR="00B24A0B" w:rsidRDefault="00DC6C52" w:rsidP="00DC6C52">
            <w:pPr>
              <w:jc w:val="center"/>
            </w:pPr>
            <w:r>
              <w:t>386818.514</w:t>
            </w:r>
          </w:p>
        </w:tc>
        <w:tc>
          <w:tcPr>
            <w:tcW w:w="3192" w:type="dxa"/>
          </w:tcPr>
          <w:p w:rsidR="00B24A0B" w:rsidRDefault="00DC6C52" w:rsidP="00DC6C52">
            <w:pPr>
              <w:jc w:val="center"/>
            </w:pPr>
            <w:r>
              <w:t>105843.525</w:t>
            </w:r>
          </w:p>
        </w:tc>
      </w:tr>
      <w:tr w:rsidR="00B24A0B" w:rsidTr="00B24A0B">
        <w:tc>
          <w:tcPr>
            <w:tcW w:w="3192" w:type="dxa"/>
          </w:tcPr>
          <w:p w:rsidR="00B24A0B" w:rsidRDefault="00DC6C52" w:rsidP="00DC6C52">
            <w:pPr>
              <w:jc w:val="right"/>
            </w:pPr>
            <w:r>
              <w:t>Calculated R7 (Ω)</w:t>
            </w:r>
          </w:p>
        </w:tc>
        <w:tc>
          <w:tcPr>
            <w:tcW w:w="3192" w:type="dxa"/>
          </w:tcPr>
          <w:p w:rsidR="00B24A0B" w:rsidRDefault="00DC6C52" w:rsidP="00DC6C52">
            <w:pPr>
              <w:jc w:val="center"/>
            </w:pPr>
            <w:r>
              <w:t>98.020</w:t>
            </w:r>
          </w:p>
        </w:tc>
        <w:tc>
          <w:tcPr>
            <w:tcW w:w="3192" w:type="dxa"/>
          </w:tcPr>
          <w:p w:rsidR="00B24A0B" w:rsidRDefault="00DC6C52" w:rsidP="00DC6C52">
            <w:pPr>
              <w:jc w:val="center"/>
            </w:pPr>
            <w:r>
              <w:t>971.445</w:t>
            </w:r>
          </w:p>
        </w:tc>
      </w:tr>
      <w:tr w:rsidR="00B24A0B" w:rsidTr="00B24A0B">
        <w:tc>
          <w:tcPr>
            <w:tcW w:w="3192" w:type="dxa"/>
          </w:tcPr>
          <w:p w:rsidR="00B24A0B" w:rsidRDefault="00DC6C52" w:rsidP="00DC6C52">
            <w:pPr>
              <w:jc w:val="right"/>
            </w:pPr>
            <w:r>
              <w:t>Calculated gain</w:t>
            </w:r>
          </w:p>
        </w:tc>
        <w:tc>
          <w:tcPr>
            <w:tcW w:w="3192" w:type="dxa"/>
          </w:tcPr>
          <w:p w:rsidR="00B24A0B" w:rsidRDefault="00DC6C52" w:rsidP="00DC6C52">
            <w:pPr>
              <w:jc w:val="center"/>
            </w:pPr>
            <w:r>
              <w:t>220.811</w:t>
            </w:r>
          </w:p>
        </w:tc>
        <w:tc>
          <w:tcPr>
            <w:tcW w:w="3192" w:type="dxa"/>
          </w:tcPr>
          <w:p w:rsidR="00B24A0B" w:rsidRDefault="00DC6C52" w:rsidP="00DC6C52">
            <w:pPr>
              <w:jc w:val="center"/>
            </w:pPr>
            <w:r>
              <w:t>26.105</w:t>
            </w:r>
          </w:p>
        </w:tc>
      </w:tr>
      <w:tr w:rsidR="00B24A0B" w:rsidTr="00B24A0B">
        <w:tc>
          <w:tcPr>
            <w:tcW w:w="3192" w:type="dxa"/>
          </w:tcPr>
          <w:p w:rsidR="00B24A0B" w:rsidRDefault="00DC6C52" w:rsidP="00DC6C52">
            <w:pPr>
              <w:jc w:val="right"/>
            </w:pPr>
            <w:r>
              <w:t>R5 (Ω)</w:t>
            </w:r>
          </w:p>
        </w:tc>
        <w:tc>
          <w:tcPr>
            <w:tcW w:w="3192" w:type="dxa"/>
          </w:tcPr>
          <w:p w:rsidR="00B24A0B" w:rsidRDefault="00957BC1" w:rsidP="00DC6C52">
            <w:pPr>
              <w:jc w:val="center"/>
            </w:pPr>
            <w:r>
              <w:t>390k</w:t>
            </w:r>
          </w:p>
        </w:tc>
        <w:tc>
          <w:tcPr>
            <w:tcW w:w="3192" w:type="dxa"/>
          </w:tcPr>
          <w:p w:rsidR="00B24A0B" w:rsidRDefault="003A5127" w:rsidP="00DC6C52">
            <w:pPr>
              <w:jc w:val="center"/>
            </w:pPr>
            <w:r>
              <w:t>116.2k</w:t>
            </w:r>
          </w:p>
        </w:tc>
      </w:tr>
      <w:tr w:rsidR="00B24A0B" w:rsidTr="00B24A0B">
        <w:tc>
          <w:tcPr>
            <w:tcW w:w="3192" w:type="dxa"/>
          </w:tcPr>
          <w:p w:rsidR="00B24A0B" w:rsidRDefault="00DC6C52" w:rsidP="00DC6C52">
            <w:pPr>
              <w:jc w:val="right"/>
            </w:pPr>
            <w:r>
              <w:t>R7 (Ω)</w:t>
            </w:r>
          </w:p>
        </w:tc>
        <w:tc>
          <w:tcPr>
            <w:tcW w:w="3192" w:type="dxa"/>
          </w:tcPr>
          <w:p w:rsidR="00B24A0B" w:rsidRDefault="00957BC1" w:rsidP="00DC6C52">
            <w:pPr>
              <w:jc w:val="center"/>
            </w:pPr>
            <w:r>
              <w:t>98.1</w:t>
            </w:r>
          </w:p>
        </w:tc>
        <w:tc>
          <w:tcPr>
            <w:tcW w:w="3192" w:type="dxa"/>
          </w:tcPr>
          <w:p w:rsidR="00B24A0B" w:rsidRDefault="003A5127" w:rsidP="00DC6C52">
            <w:pPr>
              <w:jc w:val="center"/>
            </w:pPr>
            <w:r>
              <w:t>1016</w:t>
            </w:r>
          </w:p>
        </w:tc>
      </w:tr>
      <w:tr w:rsidR="00DC6C52" w:rsidTr="00B24A0B">
        <w:tc>
          <w:tcPr>
            <w:tcW w:w="3192" w:type="dxa"/>
          </w:tcPr>
          <w:p w:rsidR="00DC6C52" w:rsidRDefault="00DC6C52" w:rsidP="00DC6C52">
            <w:pPr>
              <w:jc w:val="right"/>
            </w:pPr>
            <w:r>
              <w:t>Gain resistor (Ω)</w:t>
            </w:r>
          </w:p>
        </w:tc>
        <w:tc>
          <w:tcPr>
            <w:tcW w:w="3192" w:type="dxa"/>
          </w:tcPr>
          <w:p w:rsidR="00DC6C52" w:rsidRDefault="00957BC1" w:rsidP="00DC6C52">
            <w:pPr>
              <w:jc w:val="center"/>
            </w:pPr>
            <w:r>
              <w:t>220</w:t>
            </w:r>
          </w:p>
        </w:tc>
        <w:tc>
          <w:tcPr>
            <w:tcW w:w="3192" w:type="dxa"/>
          </w:tcPr>
          <w:p w:rsidR="00DC6C52" w:rsidRDefault="003A5127" w:rsidP="00DC6C52">
            <w:pPr>
              <w:jc w:val="center"/>
            </w:pPr>
            <w:r>
              <w:t>2005</w:t>
            </w:r>
          </w:p>
        </w:tc>
      </w:tr>
      <w:tr w:rsidR="00DC6C52" w:rsidTr="00B24A0B">
        <w:tc>
          <w:tcPr>
            <w:tcW w:w="3192" w:type="dxa"/>
          </w:tcPr>
          <w:p w:rsidR="00DC6C52" w:rsidRDefault="00DC6C52" w:rsidP="00DC6C52">
            <w:pPr>
              <w:jc w:val="right"/>
            </w:pPr>
            <w:r>
              <w:t>Gain</w:t>
            </w:r>
          </w:p>
        </w:tc>
        <w:tc>
          <w:tcPr>
            <w:tcW w:w="3192" w:type="dxa"/>
          </w:tcPr>
          <w:p w:rsidR="00DC6C52" w:rsidRDefault="00957BC1" w:rsidP="00DC6C52">
            <w:pPr>
              <w:jc w:val="center"/>
            </w:pPr>
            <w:r>
              <w:t>230.5</w:t>
            </w:r>
          </w:p>
        </w:tc>
        <w:tc>
          <w:tcPr>
            <w:tcW w:w="3192" w:type="dxa"/>
          </w:tcPr>
          <w:p w:rsidR="00DC6C52" w:rsidRDefault="003A5127" w:rsidP="00DC6C52">
            <w:pPr>
              <w:jc w:val="center"/>
            </w:pPr>
            <w:r>
              <w:t>26.2</w:t>
            </w:r>
          </w:p>
        </w:tc>
      </w:tr>
    </w:tbl>
    <w:p w:rsidR="00CB03DF" w:rsidRDefault="00CB03DF" w:rsidP="002933D1"/>
    <w:p w:rsidR="00A32F7C" w:rsidRDefault="00514906" w:rsidP="00A32F7C">
      <w:pPr>
        <w:pStyle w:val="Heading1"/>
      </w:pPr>
      <w:r>
        <w:t>Test setup</w:t>
      </w:r>
    </w:p>
    <w:p w:rsidR="000E73C7" w:rsidRDefault="00DC68BD" w:rsidP="00E01B77">
      <w:r>
        <w:t xml:space="preserve">The probes were placed into a VWR 89032-214 heat bath, and readings of </w:t>
      </w:r>
      <w:proofErr w:type="spellStart"/>
      <w:r>
        <w:t>V</w:t>
      </w:r>
      <w:r w:rsidRPr="0085025E">
        <w:rPr>
          <w:vertAlign w:val="subscript"/>
        </w:rPr>
        <w:t>out</w:t>
      </w:r>
      <w:proofErr w:type="spellEnd"/>
      <w:r>
        <w:t xml:space="preserve"> were done with a N</w:t>
      </w:r>
      <w:r w:rsidR="0091088A">
        <w:t xml:space="preserve">I USB-6210 DAQ. </w:t>
      </w:r>
      <w:r w:rsidR="00B24A0B">
        <w:t xml:space="preserve">There was significant 60Hz noise measured at </w:t>
      </w:r>
      <w:proofErr w:type="spellStart"/>
      <w:r w:rsidR="00B24A0B">
        <w:t>V</w:t>
      </w:r>
      <w:r w:rsidR="00B24A0B" w:rsidRPr="0085025E">
        <w:rPr>
          <w:vertAlign w:val="subscript"/>
        </w:rPr>
        <w:t>out</w:t>
      </w:r>
      <w:proofErr w:type="spellEnd"/>
      <w:r w:rsidR="00B24A0B">
        <w:t>. After an investigation, it was discovered that the DAQ and the heat bath must both be connected to the circuit ground to avoid this noise. Thus t</w:t>
      </w:r>
      <w:r w:rsidR="006B7811">
        <w:t>o replicate this test, it is highly important to make sure that the DAQ has its AI ground</w:t>
      </w:r>
      <w:r w:rsidR="00B24A0B">
        <w:t xml:space="preserve"> terminal</w:t>
      </w:r>
      <w:r w:rsidR="006B7811">
        <w:t xml:space="preserve"> connected to the circuit ground, and that the aluminum </w:t>
      </w:r>
      <w:r w:rsidR="00647058">
        <w:t xml:space="preserve">tub of the heat bath is grounded. There is no connector for grounding the bath, so it must be done manually. </w:t>
      </w:r>
      <w:r w:rsidR="0091088A">
        <w:t xml:space="preserve"> A trace of </w:t>
      </w:r>
      <w:proofErr w:type="spellStart"/>
      <w:r w:rsidR="0085025E">
        <w:t>V</w:t>
      </w:r>
      <w:r w:rsidR="0085025E" w:rsidRPr="0085025E">
        <w:rPr>
          <w:vertAlign w:val="subscript"/>
        </w:rPr>
        <w:t>out</w:t>
      </w:r>
      <w:proofErr w:type="spellEnd"/>
      <w:r w:rsidR="0085025E">
        <w:t xml:space="preserve"> at room temper</w:t>
      </w:r>
      <w:r w:rsidR="00C06528">
        <w:t xml:space="preserve">ature, using the pH probe Pt100 RTD </w:t>
      </w:r>
      <w:r w:rsidR="0085025E">
        <w:t>prior to grounding</w:t>
      </w:r>
      <w:r w:rsidR="00C06528">
        <w:t>,</w:t>
      </w:r>
      <w:r w:rsidR="0085025E">
        <w:t xml:space="preserve"> is shown below.</w:t>
      </w:r>
      <w:r w:rsidR="0091088A">
        <w:rPr>
          <w:noProof/>
          <w:lang w:eastAsia="en-US"/>
        </w:rPr>
        <w:drawing>
          <wp:inline distT="0" distB="0" distL="0" distR="0">
            <wp:extent cx="5943600" cy="1638300"/>
            <wp:effectExtent l="19050" t="0" r="0" b="0"/>
            <wp:docPr id="4" name="Picture 1" descr="Z:\IWM\Horatio\RTD testing\room T - plu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WM\Horatio\RTD testing\room T - plugged.PNG"/>
                    <pic:cNvPicPr>
                      <a:picLocks noChangeAspect="1" noChangeArrowheads="1"/>
                    </pic:cNvPicPr>
                  </pic:nvPicPr>
                  <pic:blipFill>
                    <a:blip r:embed="rId5" cstate="print"/>
                    <a:srcRect/>
                    <a:stretch>
                      <a:fillRect/>
                    </a:stretch>
                  </pic:blipFill>
                  <pic:spPr bwMode="auto">
                    <a:xfrm>
                      <a:off x="0" y="0"/>
                      <a:ext cx="5943600" cy="1638300"/>
                    </a:xfrm>
                    <a:prstGeom prst="rect">
                      <a:avLst/>
                    </a:prstGeom>
                    <a:noFill/>
                    <a:ln w="9525">
                      <a:noFill/>
                      <a:miter lim="800000"/>
                      <a:headEnd/>
                      <a:tailEnd/>
                    </a:ln>
                  </pic:spPr>
                </pic:pic>
              </a:graphicData>
            </a:graphic>
          </wp:inline>
        </w:drawing>
      </w:r>
    </w:p>
    <w:p w:rsidR="00473E36" w:rsidRDefault="0091088A" w:rsidP="00E01B77">
      <w:r>
        <w:lastRenderedPageBreak/>
        <w:t xml:space="preserve">After eliminating 60Hz noise, </w:t>
      </w:r>
      <w:r w:rsidR="0085025E">
        <w:t xml:space="preserve">the signal was stable, but not flat. Variations on the order of ±100mV were observed to occur on a timescale of seconds. A trace of the waveform post grounding is shown below using </w:t>
      </w:r>
      <w:r w:rsidR="00AE4291">
        <w:t xml:space="preserve">10k samples at </w:t>
      </w:r>
      <w:proofErr w:type="gramStart"/>
      <w:r w:rsidR="00AE4291">
        <w:t>1kHz</w:t>
      </w:r>
      <w:proofErr w:type="gramEnd"/>
      <w:r w:rsidR="00AE4291">
        <w:t xml:space="preserve"> sample rate (10s of data). </w:t>
      </w:r>
    </w:p>
    <w:p w:rsidR="0028112F" w:rsidRDefault="0028112F" w:rsidP="00E01B77"/>
    <w:p w:rsidR="0085025E" w:rsidRDefault="0085025E" w:rsidP="00E01B77">
      <w:r>
        <w:rPr>
          <w:noProof/>
          <w:lang w:eastAsia="en-US"/>
        </w:rPr>
        <w:drawing>
          <wp:inline distT="0" distB="0" distL="0" distR="0">
            <wp:extent cx="5934075" cy="2790825"/>
            <wp:effectExtent l="19050" t="0" r="9525" b="0"/>
            <wp:docPr id="9" name="Picture 9" descr="Z:\IWM\Horatio\RTD testing\room T - dr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IWM\Horatio\RTD testing\room T - drift.PNG"/>
                    <pic:cNvPicPr>
                      <a:picLocks noChangeAspect="1" noChangeArrowheads="1"/>
                    </pic:cNvPicPr>
                  </pic:nvPicPr>
                  <pic:blipFill>
                    <a:blip r:embed="rId6" cstate="print"/>
                    <a:srcRect/>
                    <a:stretch>
                      <a:fillRect/>
                    </a:stretch>
                  </pic:blipFill>
                  <pic:spPr bwMode="auto">
                    <a:xfrm>
                      <a:off x="0" y="0"/>
                      <a:ext cx="5934075" cy="2790825"/>
                    </a:xfrm>
                    <a:prstGeom prst="rect">
                      <a:avLst/>
                    </a:prstGeom>
                    <a:noFill/>
                    <a:ln w="9525">
                      <a:noFill/>
                      <a:miter lim="800000"/>
                      <a:headEnd/>
                      <a:tailEnd/>
                    </a:ln>
                  </pic:spPr>
                </pic:pic>
              </a:graphicData>
            </a:graphic>
          </wp:inline>
        </w:drawing>
      </w:r>
    </w:p>
    <w:p w:rsidR="005B5BB5" w:rsidRDefault="00A95A23" w:rsidP="00E01B77">
      <w:r>
        <w:t xml:space="preserve">The waveform can be seen to fluctuate randomly around 2.62V. To see how the reading of </w:t>
      </w:r>
      <w:proofErr w:type="spellStart"/>
      <w:r>
        <w:t>V</w:t>
      </w:r>
      <w:r w:rsidRPr="0085025E">
        <w:rPr>
          <w:vertAlign w:val="subscript"/>
        </w:rPr>
        <w:t>out</w:t>
      </w:r>
      <w:proofErr w:type="spellEnd"/>
      <w:r>
        <w:t xml:space="preserve"> fluctuated over a long period of time, we acquired a trace of </w:t>
      </w:r>
      <w:proofErr w:type="spellStart"/>
      <w:r>
        <w:t>V</w:t>
      </w:r>
      <w:r w:rsidRPr="0085025E">
        <w:rPr>
          <w:vertAlign w:val="subscript"/>
        </w:rPr>
        <w:t>out</w:t>
      </w:r>
      <w:proofErr w:type="spellEnd"/>
      <w:r>
        <w:t xml:space="preserve"> using the pH probe RTD, and the conductivity probes Pt1000 at </w:t>
      </w:r>
      <w:r w:rsidR="000E0146">
        <w:t>100Hz, 180000 samples</w:t>
      </w:r>
      <w:r w:rsidR="00786061">
        <w:t>, which results in 30 minutes of data</w:t>
      </w:r>
      <w:r w:rsidR="000E0146">
        <w:t>.</w:t>
      </w:r>
    </w:p>
    <w:p w:rsidR="00473E36" w:rsidRDefault="005B5BB5" w:rsidP="00E01B77">
      <w:r>
        <w:rPr>
          <w:noProof/>
          <w:lang w:eastAsia="en-US"/>
        </w:rPr>
        <w:lastRenderedPageBreak/>
        <w:drawing>
          <wp:inline distT="0" distB="0" distL="0" distR="0">
            <wp:extent cx="5332730" cy="4001135"/>
            <wp:effectExtent l="19050" t="0" r="1270" b="0"/>
            <wp:docPr id="14" name="Picture 13" descr="Z:\IWM\Horatio\RTD testing\room T - 30minutes 100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IWM\Horatio\RTD testing\room T - 30minutes 100hz.png"/>
                    <pic:cNvPicPr>
                      <a:picLocks noChangeAspect="1" noChangeArrowheads="1"/>
                    </pic:cNvPicPr>
                  </pic:nvPicPr>
                  <pic:blipFill>
                    <a:blip r:embed="rId7" cstate="print"/>
                    <a:srcRect/>
                    <a:stretch>
                      <a:fillRect/>
                    </a:stretch>
                  </pic:blipFill>
                  <pic:spPr bwMode="auto">
                    <a:xfrm>
                      <a:off x="0" y="0"/>
                      <a:ext cx="5332730" cy="4001135"/>
                    </a:xfrm>
                    <a:prstGeom prst="rect">
                      <a:avLst/>
                    </a:prstGeom>
                    <a:noFill/>
                    <a:ln w="9525">
                      <a:noFill/>
                      <a:miter lim="800000"/>
                      <a:headEnd/>
                      <a:tailEnd/>
                    </a:ln>
                  </pic:spPr>
                </pic:pic>
              </a:graphicData>
            </a:graphic>
          </wp:inline>
        </w:drawing>
      </w:r>
    </w:p>
    <w:p w:rsidR="00514906" w:rsidRDefault="005B5BB5" w:rsidP="00E01B77">
      <w:r>
        <w:t xml:space="preserve">We see that both probes are </w:t>
      </w:r>
      <w:r w:rsidR="004B05FF">
        <w:t>stable over a 30 minute period.</w:t>
      </w:r>
      <w:r w:rsidR="00E85ECD">
        <w:t xml:space="preserve"> </w:t>
      </w:r>
      <w:r w:rsidR="004B05FF">
        <w:t>~200mV f</w:t>
      </w:r>
      <w:r w:rsidR="00E85ECD">
        <w:t xml:space="preserve">luctuations of the Pt100 (blue) tend to </w:t>
      </w:r>
      <w:r w:rsidR="004B05FF">
        <w:t>occur over times</w:t>
      </w:r>
      <w:r w:rsidR="00E85ECD">
        <w:t xml:space="preserve"> on the order of </w:t>
      </w:r>
      <w:r w:rsidR="00695F20">
        <w:t>10</w:t>
      </w:r>
      <w:r w:rsidR="00695F20">
        <w:rPr>
          <w:vertAlign w:val="superscript"/>
        </w:rPr>
        <w:t>2</w:t>
      </w:r>
      <w:r w:rsidR="00695F20">
        <w:t xml:space="preserve"> seconds</w:t>
      </w:r>
      <w:r>
        <w:t xml:space="preserve">. We will take the average measurement of </w:t>
      </w:r>
      <w:proofErr w:type="spellStart"/>
      <w:r>
        <w:t>V</w:t>
      </w:r>
      <w:r w:rsidRPr="0085025E">
        <w:rPr>
          <w:vertAlign w:val="subscript"/>
        </w:rPr>
        <w:t>ou</w:t>
      </w:r>
      <w:r>
        <w:rPr>
          <w:vertAlign w:val="subscript"/>
        </w:rPr>
        <w:t>t</w:t>
      </w:r>
      <w:proofErr w:type="spellEnd"/>
      <w:r>
        <w:t xml:space="preserve"> over a period of time for our testing experiment</w:t>
      </w:r>
      <w:r w:rsidR="004B05FF">
        <w:t xml:space="preserve"> to mitigate error</w:t>
      </w:r>
      <w:r>
        <w:t xml:space="preserve">. </w:t>
      </w:r>
      <w:r w:rsidR="00C06528">
        <w:t xml:space="preserve">A MATLAB script was written to measure </w:t>
      </w:r>
      <w:proofErr w:type="spellStart"/>
      <w:r w:rsidR="00C06528">
        <w:t>V</w:t>
      </w:r>
      <w:r w:rsidR="00C06528" w:rsidRPr="0085025E">
        <w:rPr>
          <w:vertAlign w:val="subscript"/>
        </w:rPr>
        <w:t>out</w:t>
      </w:r>
      <w:proofErr w:type="spellEnd"/>
      <w:r w:rsidR="00C06528">
        <w:t xml:space="preserve"> at </w:t>
      </w:r>
      <w:proofErr w:type="gramStart"/>
      <w:r w:rsidR="00C06528">
        <w:t>1kHz</w:t>
      </w:r>
      <w:proofErr w:type="gramEnd"/>
      <w:r w:rsidR="00C06528">
        <w:t xml:space="preserve"> for 30k samples (30s), and then calculate the average reading. </w:t>
      </w:r>
      <w:r w:rsidR="0091088A">
        <w:t>The temperature of the heat bath was set in 2.5 degree increments starting at 10°C</w:t>
      </w:r>
      <w:r w:rsidR="004B05FF">
        <w:t>, with the exception of the first measurement</w:t>
      </w:r>
      <w:r w:rsidR="0091088A">
        <w:t>, and measured with a mercury thermometer. The temperature was allowed to stabilize</w:t>
      </w:r>
      <w:r w:rsidR="00C06528">
        <w:t xml:space="preserve"> for at least 30s</w:t>
      </w:r>
      <w:r w:rsidR="0091088A">
        <w:t xml:space="preserve"> before reading.  To start the bath below room temperature, ice cubes were added to the bath.</w:t>
      </w:r>
    </w:p>
    <w:p w:rsidR="0091088A" w:rsidRDefault="00514906" w:rsidP="00514906">
      <w:pPr>
        <w:pStyle w:val="Heading1"/>
      </w:pPr>
      <w:r>
        <w:t>Test results</w:t>
      </w:r>
      <w:r w:rsidR="004B05FF">
        <w:t xml:space="preserve"> </w:t>
      </w:r>
    </w:p>
    <w:tbl>
      <w:tblPr>
        <w:tblStyle w:val="TableGrid"/>
        <w:tblW w:w="0" w:type="auto"/>
        <w:tblLook w:val="04A0"/>
      </w:tblPr>
      <w:tblGrid>
        <w:gridCol w:w="2394"/>
        <w:gridCol w:w="2394"/>
        <w:gridCol w:w="2394"/>
        <w:gridCol w:w="2394"/>
      </w:tblGrid>
      <w:tr w:rsidR="004B05FF" w:rsidTr="004B05FF">
        <w:tc>
          <w:tcPr>
            <w:tcW w:w="2394" w:type="dxa"/>
          </w:tcPr>
          <w:p w:rsidR="004B05FF" w:rsidRDefault="004B05FF" w:rsidP="004B05FF">
            <w:pPr>
              <w:jc w:val="center"/>
            </w:pPr>
            <w:r>
              <w:t>Temperature reading (°C)</w:t>
            </w:r>
          </w:p>
        </w:tc>
        <w:tc>
          <w:tcPr>
            <w:tcW w:w="2394" w:type="dxa"/>
          </w:tcPr>
          <w:p w:rsidR="004B05FF" w:rsidRDefault="004B05FF" w:rsidP="004B05FF">
            <w:pPr>
              <w:jc w:val="center"/>
            </w:pPr>
            <w:r>
              <w:t>Average Voltage pH RTD (Pt100) (V)</w:t>
            </w:r>
          </w:p>
        </w:tc>
        <w:tc>
          <w:tcPr>
            <w:tcW w:w="2394" w:type="dxa"/>
          </w:tcPr>
          <w:p w:rsidR="004B05FF" w:rsidRDefault="004B05FF" w:rsidP="004B05FF">
            <w:pPr>
              <w:jc w:val="center"/>
            </w:pPr>
            <w:r>
              <w:t>Average Voltage ORP RTD (Pt100) (V)</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Average Voltage Conductivity RTD (Pt1000) (V)</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8.8</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1.5384</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1.5198</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0.0974</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10.2</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1.5948</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1.6789</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0.1863</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13.3</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1.89</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1.934</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0.4249</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15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1.9835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1.9822</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0.5567</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17.5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2.2231</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2.2829</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0.7348</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20</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2.4546</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2.4702</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0.9193</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22.8</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2.655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2.7604</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1.1455</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25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2.893</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2.9276</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1.3354</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lastRenderedPageBreak/>
              <w:t>27.7</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3.15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3.2246</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1.5668</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30.5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3.4805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3.4793</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1.7897</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33</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3.7074</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3.7064</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2.0419</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35.5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3.9987</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3.9616</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2.2173</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38.2</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4.1942</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4.173</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2.4462</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40.5</w:t>
            </w:r>
          </w:p>
        </w:tc>
        <w:tc>
          <w:tcPr>
            <w:tcW w:w="2394" w:type="dxa"/>
            <w:vAlign w:val="bottom"/>
          </w:tcPr>
          <w:p w:rsidR="004B05FF" w:rsidRPr="004B05FF" w:rsidRDefault="004B05FF" w:rsidP="004B05FF">
            <w:pPr>
              <w:jc w:val="center"/>
              <w:rPr>
                <w:rFonts w:ascii="Calibri" w:hAnsi="Calibri"/>
                <w:b/>
                <w:color w:val="000000"/>
              </w:rPr>
            </w:pPr>
            <w:r w:rsidRPr="004B05FF">
              <w:rPr>
                <w:rFonts w:ascii="Calibri" w:hAnsi="Calibri"/>
                <w:b/>
                <w:color w:val="000000"/>
              </w:rPr>
              <w:t>4.2477</w:t>
            </w:r>
          </w:p>
        </w:tc>
        <w:tc>
          <w:tcPr>
            <w:tcW w:w="2394" w:type="dxa"/>
            <w:vAlign w:val="bottom"/>
          </w:tcPr>
          <w:p w:rsidR="004B05FF" w:rsidRPr="004B05FF" w:rsidRDefault="004B05FF" w:rsidP="004B05FF">
            <w:pPr>
              <w:jc w:val="center"/>
              <w:rPr>
                <w:rFonts w:ascii="Calibri" w:hAnsi="Calibri"/>
                <w:b/>
                <w:color w:val="000000"/>
              </w:rPr>
            </w:pPr>
            <w:r w:rsidRPr="004B05FF">
              <w:rPr>
                <w:rFonts w:ascii="Calibri" w:hAnsi="Calibri"/>
                <w:b/>
                <w:color w:val="000000"/>
              </w:rPr>
              <w:t>4.2478</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2.6275</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43.2</w:t>
            </w:r>
          </w:p>
        </w:tc>
        <w:tc>
          <w:tcPr>
            <w:tcW w:w="2394" w:type="dxa"/>
            <w:vAlign w:val="bottom"/>
          </w:tcPr>
          <w:p w:rsidR="004B05FF" w:rsidRPr="004B05FF" w:rsidRDefault="004B05FF" w:rsidP="004B05FF">
            <w:pPr>
              <w:jc w:val="center"/>
              <w:rPr>
                <w:rFonts w:ascii="Calibri" w:hAnsi="Calibri"/>
                <w:b/>
                <w:color w:val="000000"/>
              </w:rPr>
            </w:pPr>
            <w:r w:rsidRPr="004B05FF">
              <w:rPr>
                <w:rFonts w:ascii="Calibri" w:hAnsi="Calibri"/>
                <w:b/>
                <w:color w:val="000000"/>
              </w:rPr>
              <w:t>4.2476</w:t>
            </w:r>
          </w:p>
        </w:tc>
        <w:tc>
          <w:tcPr>
            <w:tcW w:w="2394" w:type="dxa"/>
            <w:vAlign w:val="bottom"/>
          </w:tcPr>
          <w:p w:rsidR="004B05FF" w:rsidRPr="004B05FF" w:rsidRDefault="004B05FF" w:rsidP="004B05FF">
            <w:pPr>
              <w:jc w:val="center"/>
              <w:rPr>
                <w:rFonts w:ascii="Calibri" w:hAnsi="Calibri"/>
                <w:b/>
                <w:color w:val="000000"/>
              </w:rPr>
            </w:pPr>
            <w:r w:rsidRPr="004B05FF">
              <w:rPr>
                <w:rFonts w:ascii="Calibri" w:hAnsi="Calibri"/>
                <w:b/>
                <w:color w:val="000000"/>
              </w:rPr>
              <w:t>4.2475</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2.8373</w:t>
            </w:r>
          </w:p>
        </w:tc>
      </w:tr>
      <w:tr w:rsidR="004B05FF" w:rsidTr="004B05FF">
        <w:tc>
          <w:tcPr>
            <w:tcW w:w="2394" w:type="dxa"/>
            <w:vAlign w:val="bottom"/>
          </w:tcPr>
          <w:p w:rsidR="004B05FF" w:rsidRDefault="004B05FF" w:rsidP="004B05FF">
            <w:pPr>
              <w:jc w:val="center"/>
              <w:rPr>
                <w:rFonts w:ascii="Calibri" w:hAnsi="Calibri"/>
                <w:color w:val="000000"/>
              </w:rPr>
            </w:pPr>
            <w:r>
              <w:rPr>
                <w:rFonts w:ascii="Calibri" w:hAnsi="Calibri"/>
                <w:color w:val="000000"/>
              </w:rPr>
              <w:t>46</w:t>
            </w:r>
          </w:p>
        </w:tc>
        <w:tc>
          <w:tcPr>
            <w:tcW w:w="2394" w:type="dxa"/>
            <w:vAlign w:val="bottom"/>
          </w:tcPr>
          <w:p w:rsidR="004B05FF" w:rsidRPr="004B05FF" w:rsidRDefault="004B05FF" w:rsidP="004B05FF">
            <w:pPr>
              <w:jc w:val="center"/>
              <w:rPr>
                <w:rFonts w:ascii="Calibri" w:hAnsi="Calibri"/>
                <w:b/>
                <w:color w:val="000000"/>
              </w:rPr>
            </w:pPr>
            <w:r w:rsidRPr="004B05FF">
              <w:rPr>
                <w:rFonts w:ascii="Calibri" w:hAnsi="Calibri"/>
                <w:b/>
                <w:color w:val="000000"/>
              </w:rPr>
              <w:t>4.2477</w:t>
            </w:r>
          </w:p>
        </w:tc>
        <w:tc>
          <w:tcPr>
            <w:tcW w:w="2394" w:type="dxa"/>
            <w:vAlign w:val="bottom"/>
          </w:tcPr>
          <w:p w:rsidR="004B05FF" w:rsidRPr="004B05FF" w:rsidRDefault="004B05FF" w:rsidP="004B05FF">
            <w:pPr>
              <w:jc w:val="center"/>
              <w:rPr>
                <w:rFonts w:ascii="Calibri" w:hAnsi="Calibri"/>
                <w:b/>
                <w:color w:val="000000"/>
              </w:rPr>
            </w:pPr>
            <w:r w:rsidRPr="004B05FF">
              <w:rPr>
                <w:rFonts w:ascii="Calibri" w:hAnsi="Calibri"/>
                <w:b/>
                <w:color w:val="000000"/>
              </w:rPr>
              <w:t>4.247</w:t>
            </w:r>
          </w:p>
        </w:tc>
        <w:tc>
          <w:tcPr>
            <w:tcW w:w="2394" w:type="dxa"/>
            <w:vAlign w:val="bottom"/>
          </w:tcPr>
          <w:p w:rsidR="004B05FF" w:rsidRDefault="004B05FF" w:rsidP="004B05FF">
            <w:pPr>
              <w:jc w:val="center"/>
              <w:rPr>
                <w:rFonts w:ascii="Calibri" w:hAnsi="Calibri"/>
                <w:color w:val="000000"/>
              </w:rPr>
            </w:pPr>
            <w:r>
              <w:rPr>
                <w:rFonts w:ascii="Calibri" w:hAnsi="Calibri"/>
                <w:color w:val="000000"/>
              </w:rPr>
              <w:t>3.0576</w:t>
            </w:r>
          </w:p>
        </w:tc>
      </w:tr>
    </w:tbl>
    <w:p w:rsidR="00C06528" w:rsidRDefault="004B05FF" w:rsidP="00E01B77">
      <w:r w:rsidRPr="004B05FF">
        <w:rPr>
          <w:noProof/>
          <w:lang w:eastAsia="en-US"/>
        </w:rPr>
        <w:drawing>
          <wp:inline distT="0" distB="0" distL="0" distR="0">
            <wp:extent cx="5943600" cy="3641725"/>
            <wp:effectExtent l="19050" t="0" r="19050" b="0"/>
            <wp:docPr id="1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5204B" w:rsidRDefault="004B05FF" w:rsidP="00E01B77">
      <w:r>
        <w:t>As expected, the response of all RTDs is linear with temperature. At 40°C and above, the Pt100 circuit is saturated</w:t>
      </w:r>
      <w:r w:rsidR="000F723A">
        <w:t xml:space="preserve"> since there is no change in voltage with increasing temperature</w:t>
      </w:r>
      <w:r>
        <w:t>, so we omit those bolded values in the plot. Consider the Pt100s. The slopes are very</w:t>
      </w:r>
      <w:r w:rsidR="000F723A">
        <w:t xml:space="preserve"> close in value and we may elect to simply choose the average slope to use for the measuring of any Pt100 RTD</w:t>
      </w:r>
      <w:r w:rsidR="00155AB7">
        <w:t>, while doing a 1-point calibration to determine the intercept</w:t>
      </w:r>
      <w:r w:rsidR="000F723A">
        <w:t>.</w:t>
      </w:r>
    </w:p>
    <w:p w:rsidR="004B05FF" w:rsidRDefault="004B05FF" w:rsidP="00E01B77">
      <w:r>
        <w:t>However, the</w:t>
      </w:r>
      <w:r w:rsidR="00C5204B">
        <w:t xml:space="preserve"> slope</w:t>
      </w:r>
      <w:r>
        <w:t xml:space="preserve"> </w:t>
      </w:r>
      <w:r w:rsidR="00C5204B">
        <w:t>and intercept</w:t>
      </w:r>
      <w:r>
        <w:t xml:space="preserve"> may not necessarily</w:t>
      </w:r>
      <w:r w:rsidR="00C5204B">
        <w:t xml:space="preserve"> </w:t>
      </w:r>
      <w:r>
        <w:t xml:space="preserve">be the same across separate linearization circuits, even when built using the same components. Slight variations in resistor values, as well as using a different instrumentation amplifier </w:t>
      </w:r>
      <w:r w:rsidR="00C5204B">
        <w:t>will</w:t>
      </w:r>
      <w:r>
        <w:t xml:space="preserve"> all affect the </w:t>
      </w:r>
      <w:r w:rsidR="00C5204B">
        <w:t xml:space="preserve">circuit </w:t>
      </w:r>
      <w:proofErr w:type="spellStart"/>
      <w:r w:rsidR="00C5204B">
        <w:t>behaviour</w:t>
      </w:r>
      <w:proofErr w:type="spellEnd"/>
      <w:r>
        <w:t xml:space="preserve"> in some way. To see how the circuit </w:t>
      </w:r>
      <w:proofErr w:type="spellStart"/>
      <w:r>
        <w:t>behavio</w:t>
      </w:r>
      <w:r w:rsidR="00C5204B">
        <w:t>u</w:t>
      </w:r>
      <w:r>
        <w:t>r</w:t>
      </w:r>
      <w:proofErr w:type="spellEnd"/>
      <w:r>
        <w:t xml:space="preserve"> changes, the </w:t>
      </w:r>
      <w:r w:rsidR="00D73AAB">
        <w:t xml:space="preserve">Pt100 </w:t>
      </w:r>
      <w:r>
        <w:t>circuit was rebuilt using different resistors of the</w:t>
      </w:r>
      <w:r w:rsidR="00C5204B">
        <w:t xml:space="preserve"> same marked</w:t>
      </w:r>
      <w:r>
        <w:t xml:space="preserve"> value</w:t>
      </w:r>
      <w:r w:rsidR="00C5204B">
        <w:t>s</w:t>
      </w:r>
      <w:r>
        <w:t>, and a different instrumentation amplifier of the same model. The same test was run, but this time, the voltages were simply read in real time and estimated, with no averaging involved.</w:t>
      </w:r>
      <w:r w:rsidR="00D73AAB">
        <w:t xml:space="preserve"> The Pt1000 circuit was left unchanged.</w:t>
      </w:r>
    </w:p>
    <w:tbl>
      <w:tblPr>
        <w:tblStyle w:val="TableGrid"/>
        <w:tblW w:w="0" w:type="auto"/>
        <w:tblLook w:val="04A0"/>
      </w:tblPr>
      <w:tblGrid>
        <w:gridCol w:w="2394"/>
        <w:gridCol w:w="2394"/>
        <w:gridCol w:w="2394"/>
        <w:gridCol w:w="2394"/>
      </w:tblGrid>
      <w:tr w:rsidR="000E73C7" w:rsidTr="00207CE8">
        <w:tc>
          <w:tcPr>
            <w:tcW w:w="2394" w:type="dxa"/>
          </w:tcPr>
          <w:p w:rsidR="000E73C7" w:rsidRDefault="000E73C7" w:rsidP="004B05FF">
            <w:pPr>
              <w:jc w:val="center"/>
            </w:pPr>
            <w:r>
              <w:t>Temperature reading (°C)</w:t>
            </w:r>
          </w:p>
        </w:tc>
        <w:tc>
          <w:tcPr>
            <w:tcW w:w="2394" w:type="dxa"/>
          </w:tcPr>
          <w:p w:rsidR="000E73C7" w:rsidRDefault="000E73C7" w:rsidP="004B05FF">
            <w:pPr>
              <w:jc w:val="center"/>
            </w:pPr>
            <w:r>
              <w:t>Voltage pH RTD (Pt100) (V)</w:t>
            </w:r>
          </w:p>
        </w:tc>
        <w:tc>
          <w:tcPr>
            <w:tcW w:w="2394" w:type="dxa"/>
          </w:tcPr>
          <w:p w:rsidR="000E73C7" w:rsidRDefault="000E73C7" w:rsidP="004B05FF">
            <w:pPr>
              <w:jc w:val="center"/>
            </w:pPr>
            <w:r>
              <w:t>Voltage ORP RTD (Pt100) (V)</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Voltage Conductivity RTD (Pt1000) (V)</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lastRenderedPageBreak/>
              <w:t>8</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1.31</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1.33</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0.28</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9.8</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1.6</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1.49</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0.34</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11.6</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1.69</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1.67</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0.52</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13</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1.78</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1.76</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0.73</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17</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2.18</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2.13</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0.95</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20</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2.42</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2.4</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1.16</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23</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2.71</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2.71</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1.43</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25.2</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2.89</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2.85</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1.61</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28</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3.19</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3.16</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1.87</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30.5</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3.42</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3.4</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2.06</w:t>
            </w:r>
          </w:p>
        </w:tc>
      </w:tr>
      <w:tr w:rsidR="000E73C7" w:rsidTr="004B05FF">
        <w:trPr>
          <w:trHeight w:val="56"/>
        </w:trPr>
        <w:tc>
          <w:tcPr>
            <w:tcW w:w="2394" w:type="dxa"/>
            <w:vAlign w:val="bottom"/>
          </w:tcPr>
          <w:p w:rsidR="000E73C7" w:rsidRDefault="000E73C7" w:rsidP="004B05FF">
            <w:pPr>
              <w:jc w:val="center"/>
              <w:rPr>
                <w:rFonts w:ascii="Calibri" w:hAnsi="Calibri"/>
                <w:color w:val="000000"/>
              </w:rPr>
            </w:pPr>
            <w:r>
              <w:rPr>
                <w:rFonts w:ascii="Calibri" w:hAnsi="Calibri"/>
                <w:color w:val="000000"/>
              </w:rPr>
              <w:t>33.1</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3.74</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3.73</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2.31</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35.7</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3.99</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3.95</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2.51</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38.5</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4.24</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4.19</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2.72</w:t>
            </w:r>
          </w:p>
        </w:tc>
      </w:tr>
      <w:tr w:rsidR="000E73C7" w:rsidTr="00207CE8">
        <w:tc>
          <w:tcPr>
            <w:tcW w:w="2394" w:type="dxa"/>
            <w:vAlign w:val="bottom"/>
          </w:tcPr>
          <w:p w:rsidR="000E73C7" w:rsidRDefault="000E73C7" w:rsidP="004B05FF">
            <w:pPr>
              <w:jc w:val="center"/>
              <w:rPr>
                <w:rFonts w:ascii="Calibri" w:hAnsi="Calibri"/>
                <w:color w:val="000000"/>
              </w:rPr>
            </w:pPr>
            <w:r>
              <w:rPr>
                <w:rFonts w:ascii="Calibri" w:hAnsi="Calibri"/>
                <w:color w:val="000000"/>
              </w:rPr>
              <w:t>40.7</w:t>
            </w:r>
          </w:p>
        </w:tc>
        <w:tc>
          <w:tcPr>
            <w:tcW w:w="2394" w:type="dxa"/>
            <w:vAlign w:val="bottom"/>
          </w:tcPr>
          <w:p w:rsidR="000E73C7" w:rsidRPr="00C0660C" w:rsidRDefault="000E73C7" w:rsidP="004B05FF">
            <w:pPr>
              <w:jc w:val="center"/>
              <w:rPr>
                <w:rFonts w:ascii="Calibri" w:hAnsi="Calibri"/>
                <w:b/>
                <w:color w:val="000000"/>
              </w:rPr>
            </w:pPr>
            <w:r w:rsidRPr="00C0660C">
              <w:rPr>
                <w:rFonts w:ascii="Calibri" w:hAnsi="Calibri"/>
                <w:b/>
                <w:color w:val="000000"/>
              </w:rPr>
              <w:t>4.24</w:t>
            </w:r>
          </w:p>
        </w:tc>
        <w:tc>
          <w:tcPr>
            <w:tcW w:w="2394" w:type="dxa"/>
            <w:vAlign w:val="bottom"/>
          </w:tcPr>
          <w:p w:rsidR="000E73C7" w:rsidRPr="00C0660C" w:rsidRDefault="000E73C7" w:rsidP="004B05FF">
            <w:pPr>
              <w:jc w:val="center"/>
              <w:rPr>
                <w:rFonts w:ascii="Calibri" w:hAnsi="Calibri"/>
                <w:b/>
                <w:color w:val="000000"/>
              </w:rPr>
            </w:pPr>
            <w:r w:rsidRPr="00C0660C">
              <w:rPr>
                <w:rFonts w:ascii="Calibri" w:hAnsi="Calibri"/>
                <w:b/>
                <w:color w:val="000000"/>
              </w:rPr>
              <w:t>4.26</w:t>
            </w:r>
          </w:p>
        </w:tc>
        <w:tc>
          <w:tcPr>
            <w:tcW w:w="2394" w:type="dxa"/>
            <w:vAlign w:val="bottom"/>
          </w:tcPr>
          <w:p w:rsidR="000E73C7" w:rsidRDefault="000E73C7" w:rsidP="004B05FF">
            <w:pPr>
              <w:jc w:val="center"/>
              <w:rPr>
                <w:rFonts w:ascii="Calibri" w:hAnsi="Calibri"/>
                <w:color w:val="000000"/>
              </w:rPr>
            </w:pPr>
            <w:r>
              <w:rPr>
                <w:rFonts w:ascii="Calibri" w:hAnsi="Calibri"/>
                <w:color w:val="000000"/>
              </w:rPr>
              <w:t>2.94</w:t>
            </w:r>
          </w:p>
        </w:tc>
      </w:tr>
    </w:tbl>
    <w:p w:rsidR="00207CE8" w:rsidRDefault="00207CE8" w:rsidP="00E01B77">
      <w:r w:rsidRPr="00207CE8">
        <w:rPr>
          <w:noProof/>
          <w:lang w:eastAsia="en-US"/>
        </w:rPr>
        <w:drawing>
          <wp:inline distT="0" distB="0" distL="0" distR="0">
            <wp:extent cx="5943600" cy="392493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4D9E" w:rsidRDefault="00C0660C">
      <w:r>
        <w:t>I</w:t>
      </w:r>
      <w:r w:rsidR="000F723A">
        <w:t xml:space="preserve">ndeed </w:t>
      </w:r>
      <w:r>
        <w:t xml:space="preserve">it appears </w:t>
      </w:r>
      <w:r w:rsidR="000F723A">
        <w:t xml:space="preserve">we have a different </w:t>
      </w:r>
      <w:r w:rsidR="00C5204B">
        <w:t>linear trend for different circuits</w:t>
      </w:r>
      <w:r w:rsidR="000F723A">
        <w:t xml:space="preserve">. </w:t>
      </w:r>
      <w:r w:rsidR="00C5204B">
        <w:t xml:space="preserve">While the slopes are similar for the Pt100, the intercepts </w:t>
      </w:r>
      <w:r w:rsidR="00D73AAB">
        <w:t>changed by ~0.1V.</w:t>
      </w:r>
      <w:r>
        <w:t xml:space="preserve"> </w:t>
      </w:r>
      <w:r w:rsidR="00EC24A4">
        <w:t xml:space="preserve"> This implies that we will require a 2-point calibration for every linearization circuit created.</w:t>
      </w:r>
    </w:p>
    <w:p w:rsidR="007327D7" w:rsidRDefault="007327D7"/>
    <w:p w:rsidR="007327D7" w:rsidRDefault="007327D7" w:rsidP="007327D7">
      <w:pPr>
        <w:pStyle w:val="Heading2"/>
      </w:pPr>
      <w:r>
        <w:t>Update July 11, 2013</w:t>
      </w:r>
    </w:p>
    <w:p w:rsidR="007327D7" w:rsidRDefault="001346CA" w:rsidP="007327D7">
      <w:r>
        <w:t>We now conduct the same test on the Pt1000 with</w:t>
      </w:r>
      <w:r w:rsidR="007327D7">
        <w:t xml:space="preserve"> a new power supply (MAP55-4000)</w:t>
      </w:r>
      <w:r w:rsidR="004A3123">
        <w:t xml:space="preserve"> and a set of closer matching resistors. Now we set the range of outputs to -5°C to 55°C, </w:t>
      </w:r>
      <w:r>
        <w:t xml:space="preserve">with a reference voltage of </w:t>
      </w:r>
      <w:r>
        <w:lastRenderedPageBreak/>
        <w:t>5.23</w:t>
      </w:r>
      <w:r w:rsidR="004A3123">
        <w:t>V</w:t>
      </w:r>
      <w:r w:rsidR="00031A52">
        <w:t xml:space="preserve"> (still use 5V in the calculation)</w:t>
      </w:r>
      <w:r w:rsidR="004A3123">
        <w:t>. In addition, the</w:t>
      </w:r>
      <w:r>
        <w:t xml:space="preserve"> instrumentation</w:t>
      </w:r>
      <w:r w:rsidR="004A3123">
        <w:t xml:space="preserve"> amplifier is now powered with ±12V. </w:t>
      </w:r>
    </w:p>
    <w:tbl>
      <w:tblPr>
        <w:tblStyle w:val="TableGrid"/>
        <w:tblW w:w="0" w:type="auto"/>
        <w:jc w:val="center"/>
        <w:tblLook w:val="04A0"/>
      </w:tblPr>
      <w:tblGrid>
        <w:gridCol w:w="3192"/>
        <w:gridCol w:w="3192"/>
      </w:tblGrid>
      <w:tr w:rsidR="007327D7" w:rsidTr="007327D7">
        <w:trPr>
          <w:jc w:val="center"/>
        </w:trPr>
        <w:tc>
          <w:tcPr>
            <w:tcW w:w="3192" w:type="dxa"/>
          </w:tcPr>
          <w:p w:rsidR="007327D7" w:rsidRDefault="007327D7" w:rsidP="007327D7"/>
        </w:tc>
        <w:tc>
          <w:tcPr>
            <w:tcW w:w="3192" w:type="dxa"/>
          </w:tcPr>
          <w:p w:rsidR="007327D7" w:rsidRDefault="007327D7" w:rsidP="007327D7">
            <w:pPr>
              <w:jc w:val="center"/>
            </w:pPr>
            <w:r>
              <w:t>Pt1000</w:t>
            </w:r>
          </w:p>
        </w:tc>
      </w:tr>
      <w:tr w:rsidR="007327D7" w:rsidTr="007327D7">
        <w:trPr>
          <w:jc w:val="center"/>
        </w:trPr>
        <w:tc>
          <w:tcPr>
            <w:tcW w:w="3192" w:type="dxa"/>
          </w:tcPr>
          <w:p w:rsidR="007327D7" w:rsidRDefault="007327D7" w:rsidP="007327D7">
            <w:pPr>
              <w:jc w:val="right"/>
            </w:pPr>
            <w:r>
              <w:t>Calculated R5 (Ω)</w:t>
            </w:r>
          </w:p>
        </w:tc>
        <w:tc>
          <w:tcPr>
            <w:tcW w:w="3192" w:type="dxa"/>
          </w:tcPr>
          <w:p w:rsidR="007327D7" w:rsidRDefault="00947FE3" w:rsidP="007327D7">
            <w:pPr>
              <w:jc w:val="center"/>
            </w:pPr>
            <w:r>
              <w:t>99926.355</w:t>
            </w:r>
          </w:p>
        </w:tc>
      </w:tr>
      <w:tr w:rsidR="007327D7" w:rsidTr="007327D7">
        <w:trPr>
          <w:jc w:val="center"/>
        </w:trPr>
        <w:tc>
          <w:tcPr>
            <w:tcW w:w="3192" w:type="dxa"/>
          </w:tcPr>
          <w:p w:rsidR="007327D7" w:rsidRDefault="007327D7" w:rsidP="007327D7">
            <w:pPr>
              <w:jc w:val="right"/>
            </w:pPr>
            <w:r>
              <w:t>Calculated R7 (Ω)</w:t>
            </w:r>
          </w:p>
        </w:tc>
        <w:tc>
          <w:tcPr>
            <w:tcW w:w="3192" w:type="dxa"/>
          </w:tcPr>
          <w:p w:rsidR="007327D7" w:rsidRDefault="00947FE3" w:rsidP="007327D7">
            <w:pPr>
              <w:jc w:val="center"/>
            </w:pPr>
            <w:r>
              <w:t>970.918</w:t>
            </w:r>
          </w:p>
        </w:tc>
      </w:tr>
      <w:tr w:rsidR="007327D7" w:rsidTr="007327D7">
        <w:trPr>
          <w:jc w:val="center"/>
        </w:trPr>
        <w:tc>
          <w:tcPr>
            <w:tcW w:w="3192" w:type="dxa"/>
          </w:tcPr>
          <w:p w:rsidR="007327D7" w:rsidRDefault="007327D7" w:rsidP="007327D7">
            <w:pPr>
              <w:jc w:val="right"/>
            </w:pPr>
            <w:r>
              <w:t>Calculated gain</w:t>
            </w:r>
          </w:p>
        </w:tc>
        <w:tc>
          <w:tcPr>
            <w:tcW w:w="3192" w:type="dxa"/>
          </w:tcPr>
          <w:p w:rsidR="007327D7" w:rsidRDefault="00947FE3" w:rsidP="007327D7">
            <w:pPr>
              <w:jc w:val="center"/>
            </w:pPr>
            <w:r>
              <w:t>24.705</w:t>
            </w:r>
          </w:p>
        </w:tc>
      </w:tr>
      <w:tr w:rsidR="007327D7" w:rsidTr="007327D7">
        <w:trPr>
          <w:jc w:val="center"/>
        </w:trPr>
        <w:tc>
          <w:tcPr>
            <w:tcW w:w="3192" w:type="dxa"/>
          </w:tcPr>
          <w:p w:rsidR="007327D7" w:rsidRDefault="007327D7" w:rsidP="007327D7">
            <w:pPr>
              <w:jc w:val="right"/>
            </w:pPr>
            <w:r>
              <w:t>R5 (Ω)</w:t>
            </w:r>
          </w:p>
        </w:tc>
        <w:tc>
          <w:tcPr>
            <w:tcW w:w="3192" w:type="dxa"/>
          </w:tcPr>
          <w:p w:rsidR="007327D7" w:rsidRDefault="00947FE3" w:rsidP="007327D7">
            <w:pPr>
              <w:jc w:val="center"/>
            </w:pPr>
            <w:r>
              <w:t>99.6K</w:t>
            </w:r>
          </w:p>
        </w:tc>
      </w:tr>
      <w:tr w:rsidR="007327D7" w:rsidTr="007327D7">
        <w:trPr>
          <w:jc w:val="center"/>
        </w:trPr>
        <w:tc>
          <w:tcPr>
            <w:tcW w:w="3192" w:type="dxa"/>
          </w:tcPr>
          <w:p w:rsidR="007327D7" w:rsidRDefault="007327D7" w:rsidP="007327D7">
            <w:pPr>
              <w:jc w:val="right"/>
            </w:pPr>
            <w:r>
              <w:t>R7 (Ω)</w:t>
            </w:r>
          </w:p>
        </w:tc>
        <w:tc>
          <w:tcPr>
            <w:tcW w:w="3192" w:type="dxa"/>
          </w:tcPr>
          <w:p w:rsidR="007327D7" w:rsidRDefault="007327D7" w:rsidP="007327D7">
            <w:pPr>
              <w:jc w:val="center"/>
            </w:pPr>
            <w:r>
              <w:t>976</w:t>
            </w:r>
          </w:p>
        </w:tc>
      </w:tr>
      <w:tr w:rsidR="007327D7" w:rsidTr="007327D7">
        <w:trPr>
          <w:jc w:val="center"/>
        </w:trPr>
        <w:tc>
          <w:tcPr>
            <w:tcW w:w="3192" w:type="dxa"/>
          </w:tcPr>
          <w:p w:rsidR="007327D7" w:rsidRDefault="007327D7" w:rsidP="007327D7">
            <w:pPr>
              <w:jc w:val="right"/>
            </w:pPr>
            <w:r>
              <w:t>Gain resistor (Ω)</w:t>
            </w:r>
          </w:p>
        </w:tc>
        <w:tc>
          <w:tcPr>
            <w:tcW w:w="3192" w:type="dxa"/>
          </w:tcPr>
          <w:p w:rsidR="007327D7" w:rsidRDefault="00947FE3" w:rsidP="007327D7">
            <w:pPr>
              <w:jc w:val="center"/>
            </w:pPr>
            <w:r>
              <w:t>2.1k</w:t>
            </w:r>
          </w:p>
        </w:tc>
      </w:tr>
      <w:tr w:rsidR="007327D7" w:rsidTr="007327D7">
        <w:trPr>
          <w:jc w:val="center"/>
        </w:trPr>
        <w:tc>
          <w:tcPr>
            <w:tcW w:w="3192" w:type="dxa"/>
          </w:tcPr>
          <w:p w:rsidR="007327D7" w:rsidRDefault="007327D7" w:rsidP="007327D7">
            <w:pPr>
              <w:jc w:val="right"/>
            </w:pPr>
            <w:r>
              <w:t>Gain</w:t>
            </w:r>
          </w:p>
        </w:tc>
        <w:tc>
          <w:tcPr>
            <w:tcW w:w="3192" w:type="dxa"/>
          </w:tcPr>
          <w:p w:rsidR="007327D7" w:rsidRDefault="00947FE3" w:rsidP="007327D7">
            <w:pPr>
              <w:jc w:val="center"/>
            </w:pPr>
            <w:r>
              <w:t>25.05</w:t>
            </w:r>
          </w:p>
        </w:tc>
      </w:tr>
    </w:tbl>
    <w:p w:rsidR="007327D7" w:rsidRDefault="007327D7" w:rsidP="007327D7"/>
    <w:p w:rsidR="004A3123" w:rsidRDefault="00736D0C" w:rsidP="007327D7">
      <w:r w:rsidRPr="00736D0C">
        <w:rPr>
          <w:noProof/>
          <w:lang w:eastAsia="en-US"/>
        </w:rPr>
        <w:drawing>
          <wp:inline distT="0" distB="0" distL="0" distR="0">
            <wp:extent cx="5943600" cy="313118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5EA3" w:rsidRDefault="00085EA3" w:rsidP="00085EA3">
      <w:pPr>
        <w:pStyle w:val="Heading2"/>
      </w:pPr>
      <w:r>
        <w:t>Update Aug. 1, 2013</w:t>
      </w:r>
    </w:p>
    <w:p w:rsidR="00085EA3" w:rsidRPr="00085EA3" w:rsidRDefault="00085EA3" w:rsidP="00085EA3">
      <w:r>
        <w:t>The same test was performed with the components assembled on a PCB instead of a breadboard. The purpose of this test is to verify that the slope and intercept do not change drastically from one set of components to another.</w:t>
      </w:r>
    </w:p>
    <w:p w:rsidR="00085EA3" w:rsidRDefault="00085EA3" w:rsidP="00085EA3">
      <w:r w:rsidRPr="00085EA3">
        <w:lastRenderedPageBreak/>
        <w:drawing>
          <wp:inline distT="0" distB="0" distL="0" distR="0">
            <wp:extent cx="5943600" cy="356616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3221E" w:rsidRDefault="009F1B0A" w:rsidP="0003221E">
      <w:pPr>
        <w:pStyle w:val="Heading1"/>
      </w:pPr>
      <w:r>
        <w:t>Discussion</w:t>
      </w:r>
    </w:p>
    <w:p w:rsidR="0003221E" w:rsidRDefault="0003221E" w:rsidP="0003221E">
      <w:r>
        <w:t xml:space="preserve">Consider the results obtained on Jul 11 (A) and Aug 1 (B). Both are the same circuit assembled with different components of the same value. We can ignore the fact that one was assembled on a breadboard, and one on a PCB, as contact and lead resistances are negligible. Let us invert the </w:t>
      </w:r>
      <w:proofErr w:type="spellStart"/>
      <w:r>
        <w:t>trendline</w:t>
      </w:r>
      <w:proofErr w:type="spellEnd"/>
      <w:r>
        <w:t xml:space="preserve"> equations to obtain an expression for temperature as a function of voltage. This is what we’ll use to determine temperature.</w:t>
      </w:r>
    </w:p>
    <w:p w:rsidR="0003221E" w:rsidRDefault="0003221E" w:rsidP="0003221E">
      <w:pPr>
        <w:jc w:val="center"/>
      </w:pPr>
      <w:r>
        <w:t>(A) T</w:t>
      </w:r>
      <w:r>
        <w:rPr>
          <w:vertAlign w:val="subscript"/>
        </w:rPr>
        <w:t>A</w:t>
      </w:r>
      <w:r>
        <w:t xml:space="preserve"> = 11.3507V – 2.8593</w:t>
      </w:r>
    </w:p>
    <w:p w:rsidR="0003221E" w:rsidRDefault="0003221E" w:rsidP="0003221E">
      <w:pPr>
        <w:jc w:val="center"/>
      </w:pPr>
      <w:r>
        <w:t>(B) T</w:t>
      </w:r>
      <w:r>
        <w:rPr>
          <w:vertAlign w:val="subscript"/>
        </w:rPr>
        <w:t>B</w:t>
      </w:r>
      <w:r>
        <w:t xml:space="preserve"> = 11.4679V – 3.0505</w:t>
      </w:r>
    </w:p>
    <w:p w:rsidR="0003221E" w:rsidRDefault="0003221E" w:rsidP="0003221E">
      <w:r>
        <w:t xml:space="preserve">The difference </w:t>
      </w:r>
      <w:r w:rsidRPr="0003221E">
        <w:t>T</w:t>
      </w:r>
      <w:r w:rsidRPr="0003221E">
        <w:rPr>
          <w:vertAlign w:val="subscript"/>
        </w:rPr>
        <w:t>B</w:t>
      </w:r>
      <w:r>
        <w:t xml:space="preserve"> - </w:t>
      </w:r>
      <w:r w:rsidRPr="0003221E">
        <w:t>T</w:t>
      </w:r>
      <w:r w:rsidRPr="0003221E">
        <w:rPr>
          <w:vertAlign w:val="subscript"/>
        </w:rPr>
        <w:t>A</w:t>
      </w:r>
      <w:r>
        <w:t xml:space="preserve"> = </w:t>
      </w:r>
      <w:r w:rsidRPr="0003221E">
        <w:t>0</w:t>
      </w:r>
      <w:r>
        <w:t xml:space="preserve">.1172V - 0.1912 has an lower bound of -0.1912°C at the minimum voltage 0V, and an upper bound of </w:t>
      </w:r>
      <w:r w:rsidR="00AE773A">
        <w:t>0.3948°C at the maximum voltage 5V. We consider an error</w:t>
      </w:r>
      <w:r w:rsidR="00BC3B22">
        <w:t xml:space="preserve"> in temperature measurement</w:t>
      </w:r>
      <w:r w:rsidR="00AE773A">
        <w:t xml:space="preserve"> of 0.5°C acceptable for our purposes, so therefore the two circuits agree to within our error using either set of coefficients. Therefore, upon creation of the temperature reading GUI, we will hardcode these coefficients in. We will take the average of either coefficient, so that the final calculation </w:t>
      </w:r>
      <w:r w:rsidR="00BC3B22">
        <w:t>for</w:t>
      </w:r>
      <w:r w:rsidR="00AE773A">
        <w:t xml:space="preserve"> temperature in the GUI </w:t>
      </w:r>
      <w:r w:rsidR="00BC3B22">
        <w:t xml:space="preserve">code </w:t>
      </w:r>
      <w:r w:rsidR="00AE773A">
        <w:t>reads:</w:t>
      </w:r>
    </w:p>
    <w:p w:rsidR="00AE773A" w:rsidRDefault="00AE773A" w:rsidP="00AE773A">
      <w:pPr>
        <w:jc w:val="center"/>
      </w:pPr>
      <w:r>
        <w:t>T = 11.4093V – 2.9549</w:t>
      </w:r>
    </w:p>
    <w:p w:rsidR="0096045C" w:rsidRPr="0003221E" w:rsidRDefault="0096045C" w:rsidP="0096045C">
      <w:r>
        <w:t>We will use this across all</w:t>
      </w:r>
      <w:r w:rsidR="008A4C72">
        <w:t xml:space="preserve"> analyzer boards for the Pt1000, operating under the assumption that the circuit behavior will not change dramatically beyond our acceptable error from</w:t>
      </w:r>
      <w:r w:rsidR="002045F0">
        <w:t xml:space="preserve"> one assembled</w:t>
      </w:r>
      <w:r w:rsidR="008A4C72">
        <w:t xml:space="preserve"> board to</w:t>
      </w:r>
      <w:r w:rsidR="002045F0">
        <w:t xml:space="preserve"> </w:t>
      </w:r>
      <w:r w:rsidR="002045F0">
        <w:lastRenderedPageBreak/>
        <w:t>another</w:t>
      </w:r>
      <w:r w:rsidR="008A4C72">
        <w:t>.</w:t>
      </w:r>
      <w:r>
        <w:t xml:space="preserve"> If one were to change the resistor values to read from the Pt100 RTDs</w:t>
      </w:r>
      <w:r w:rsidR="006B0387">
        <w:t>, or adjust the range of outputs</w:t>
      </w:r>
      <w:r>
        <w:t xml:space="preserve">, </w:t>
      </w:r>
      <w:r w:rsidR="002045F0">
        <w:t xml:space="preserve">then the same </w:t>
      </w:r>
      <w:r w:rsidR="006B0387">
        <w:t>procedure</w:t>
      </w:r>
      <w:r>
        <w:t xml:space="preserve"> must be </w:t>
      </w:r>
      <w:r w:rsidR="006B0387">
        <w:t>repeated to determine the coefficients for that circuit.</w:t>
      </w:r>
    </w:p>
    <w:p w:rsidR="00893FF7" w:rsidRDefault="00893FF7" w:rsidP="00DC68BD">
      <w:pPr>
        <w:pStyle w:val="Heading1"/>
      </w:pPr>
      <w:r>
        <w:t>Appendix</w:t>
      </w:r>
    </w:p>
    <w:p w:rsidR="00893FF7" w:rsidRPr="00893FF7" w:rsidRDefault="00893FF7" w:rsidP="00893FF7">
      <w:pPr>
        <w:pStyle w:val="Heading2"/>
      </w:pPr>
      <w:r>
        <w:t>Pin and wire mapping for the Rosemount 399-10 (DB-15)</w:t>
      </w:r>
    </w:p>
    <w:tbl>
      <w:tblPr>
        <w:tblStyle w:val="TableGrid"/>
        <w:tblW w:w="0" w:type="auto"/>
        <w:tblLook w:val="04A0"/>
      </w:tblPr>
      <w:tblGrid>
        <w:gridCol w:w="3192"/>
        <w:gridCol w:w="3192"/>
        <w:gridCol w:w="3192"/>
      </w:tblGrid>
      <w:tr w:rsidR="0024296E" w:rsidTr="0024296E">
        <w:tc>
          <w:tcPr>
            <w:tcW w:w="3192" w:type="dxa"/>
          </w:tcPr>
          <w:p w:rsidR="0024296E" w:rsidRDefault="0024296E" w:rsidP="002933D1">
            <w:r>
              <w:t>Pin</w:t>
            </w:r>
          </w:p>
        </w:tc>
        <w:tc>
          <w:tcPr>
            <w:tcW w:w="3192" w:type="dxa"/>
          </w:tcPr>
          <w:p w:rsidR="0024296E" w:rsidRDefault="0024296E" w:rsidP="002933D1">
            <w:proofErr w:type="spellStart"/>
            <w:r>
              <w:t>Colour</w:t>
            </w:r>
            <w:proofErr w:type="spellEnd"/>
          </w:p>
        </w:tc>
        <w:tc>
          <w:tcPr>
            <w:tcW w:w="3192" w:type="dxa"/>
          </w:tcPr>
          <w:p w:rsidR="0024296E" w:rsidRDefault="0024296E" w:rsidP="002933D1">
            <w:r>
              <w:t>Function</w:t>
            </w:r>
          </w:p>
        </w:tc>
      </w:tr>
      <w:tr w:rsidR="0024296E" w:rsidTr="0024296E">
        <w:tc>
          <w:tcPr>
            <w:tcW w:w="3192" w:type="dxa"/>
          </w:tcPr>
          <w:p w:rsidR="0024296E" w:rsidRDefault="0024296E" w:rsidP="002933D1">
            <w:r>
              <w:t>1</w:t>
            </w:r>
          </w:p>
        </w:tc>
        <w:tc>
          <w:tcPr>
            <w:tcW w:w="3192" w:type="dxa"/>
          </w:tcPr>
          <w:p w:rsidR="0024296E" w:rsidRDefault="0024296E" w:rsidP="002933D1">
            <w:r>
              <w:t>Red</w:t>
            </w:r>
          </w:p>
        </w:tc>
        <w:tc>
          <w:tcPr>
            <w:tcW w:w="3192" w:type="dxa"/>
          </w:tcPr>
          <w:p w:rsidR="0024296E" w:rsidRDefault="0024296E" w:rsidP="002933D1">
            <w:r>
              <w:t>RTD in</w:t>
            </w:r>
          </w:p>
        </w:tc>
      </w:tr>
      <w:tr w:rsidR="0024296E" w:rsidTr="0024296E">
        <w:tc>
          <w:tcPr>
            <w:tcW w:w="3192" w:type="dxa"/>
          </w:tcPr>
          <w:p w:rsidR="0024296E" w:rsidRDefault="0024296E" w:rsidP="002933D1">
            <w:r>
              <w:t>2</w:t>
            </w:r>
          </w:p>
        </w:tc>
        <w:tc>
          <w:tcPr>
            <w:tcW w:w="3192" w:type="dxa"/>
          </w:tcPr>
          <w:p w:rsidR="0024296E" w:rsidRDefault="0024296E" w:rsidP="002933D1">
            <w:r>
              <w:t>Red/white</w:t>
            </w:r>
          </w:p>
        </w:tc>
        <w:tc>
          <w:tcPr>
            <w:tcW w:w="3192" w:type="dxa"/>
          </w:tcPr>
          <w:p w:rsidR="0024296E" w:rsidRDefault="0024296E" w:rsidP="002933D1">
            <w:r>
              <w:t>RTD sense</w:t>
            </w:r>
          </w:p>
        </w:tc>
      </w:tr>
      <w:tr w:rsidR="0024296E" w:rsidTr="0024296E">
        <w:tc>
          <w:tcPr>
            <w:tcW w:w="3192" w:type="dxa"/>
          </w:tcPr>
          <w:p w:rsidR="0024296E" w:rsidRDefault="0024296E" w:rsidP="002933D1">
            <w:r>
              <w:t>3</w:t>
            </w:r>
          </w:p>
        </w:tc>
        <w:tc>
          <w:tcPr>
            <w:tcW w:w="3192" w:type="dxa"/>
          </w:tcPr>
          <w:p w:rsidR="0024296E" w:rsidRDefault="0024296E" w:rsidP="002933D1">
            <w:r>
              <w:t>Brown</w:t>
            </w:r>
          </w:p>
        </w:tc>
        <w:tc>
          <w:tcPr>
            <w:tcW w:w="3192" w:type="dxa"/>
          </w:tcPr>
          <w:p w:rsidR="0024296E" w:rsidRDefault="0024296E" w:rsidP="002933D1">
            <w:r>
              <w:t>-5V</w:t>
            </w:r>
          </w:p>
        </w:tc>
      </w:tr>
      <w:tr w:rsidR="0024296E" w:rsidTr="0024296E">
        <w:tc>
          <w:tcPr>
            <w:tcW w:w="3192" w:type="dxa"/>
          </w:tcPr>
          <w:p w:rsidR="0024296E" w:rsidRDefault="0024296E" w:rsidP="002933D1">
            <w:r>
              <w:t>4</w:t>
            </w:r>
          </w:p>
        </w:tc>
        <w:tc>
          <w:tcPr>
            <w:tcW w:w="3192" w:type="dxa"/>
          </w:tcPr>
          <w:p w:rsidR="0024296E" w:rsidRDefault="0024296E" w:rsidP="002933D1">
            <w:r>
              <w:t>Black/white</w:t>
            </w:r>
          </w:p>
        </w:tc>
        <w:tc>
          <w:tcPr>
            <w:tcW w:w="3192" w:type="dxa"/>
          </w:tcPr>
          <w:p w:rsidR="0024296E" w:rsidRDefault="0024296E" w:rsidP="002933D1">
            <w:r>
              <w:t>pH shield</w:t>
            </w:r>
          </w:p>
        </w:tc>
      </w:tr>
      <w:tr w:rsidR="0024296E" w:rsidTr="0024296E">
        <w:tc>
          <w:tcPr>
            <w:tcW w:w="3192" w:type="dxa"/>
          </w:tcPr>
          <w:p w:rsidR="0024296E" w:rsidRDefault="0024296E" w:rsidP="002933D1">
            <w:r>
              <w:t>5</w:t>
            </w:r>
          </w:p>
        </w:tc>
        <w:tc>
          <w:tcPr>
            <w:tcW w:w="3192" w:type="dxa"/>
          </w:tcPr>
          <w:p w:rsidR="0024296E" w:rsidRDefault="0024296E" w:rsidP="002933D1">
            <w:r>
              <w:t>Black</w:t>
            </w:r>
          </w:p>
        </w:tc>
        <w:tc>
          <w:tcPr>
            <w:tcW w:w="3192" w:type="dxa"/>
          </w:tcPr>
          <w:p w:rsidR="0024296E" w:rsidRDefault="0024296E" w:rsidP="002933D1">
            <w:r>
              <w:t>pH in</w:t>
            </w:r>
          </w:p>
        </w:tc>
      </w:tr>
      <w:tr w:rsidR="0024296E" w:rsidTr="0024296E">
        <w:tc>
          <w:tcPr>
            <w:tcW w:w="3192" w:type="dxa"/>
          </w:tcPr>
          <w:p w:rsidR="0024296E" w:rsidRDefault="0024296E" w:rsidP="002933D1">
            <w:r>
              <w:t>6</w:t>
            </w:r>
          </w:p>
        </w:tc>
        <w:tc>
          <w:tcPr>
            <w:tcW w:w="3192" w:type="dxa"/>
          </w:tcPr>
          <w:p w:rsidR="0024296E" w:rsidRDefault="0024296E" w:rsidP="002933D1">
            <w:r>
              <w:t>Grey/white</w:t>
            </w:r>
          </w:p>
        </w:tc>
        <w:tc>
          <w:tcPr>
            <w:tcW w:w="3192" w:type="dxa"/>
          </w:tcPr>
          <w:p w:rsidR="0024296E" w:rsidRDefault="0024296E" w:rsidP="002933D1">
            <w:r>
              <w:t>Ref shield</w:t>
            </w:r>
          </w:p>
        </w:tc>
      </w:tr>
      <w:tr w:rsidR="0024296E" w:rsidTr="0024296E">
        <w:tc>
          <w:tcPr>
            <w:tcW w:w="3192" w:type="dxa"/>
          </w:tcPr>
          <w:p w:rsidR="0024296E" w:rsidRDefault="0024296E" w:rsidP="002933D1">
            <w:r>
              <w:t>7</w:t>
            </w:r>
          </w:p>
        </w:tc>
        <w:tc>
          <w:tcPr>
            <w:tcW w:w="3192" w:type="dxa"/>
          </w:tcPr>
          <w:p w:rsidR="0024296E" w:rsidRDefault="0024296E" w:rsidP="002933D1">
            <w:r>
              <w:t>White</w:t>
            </w:r>
          </w:p>
        </w:tc>
        <w:tc>
          <w:tcPr>
            <w:tcW w:w="3192" w:type="dxa"/>
          </w:tcPr>
          <w:p w:rsidR="0024296E" w:rsidRDefault="0024296E" w:rsidP="002933D1">
            <w:r>
              <w:t>RTD return</w:t>
            </w:r>
          </w:p>
        </w:tc>
      </w:tr>
      <w:tr w:rsidR="0024296E" w:rsidTr="0024296E">
        <w:tc>
          <w:tcPr>
            <w:tcW w:w="3192" w:type="dxa"/>
          </w:tcPr>
          <w:p w:rsidR="0024296E" w:rsidRDefault="0024296E" w:rsidP="002933D1">
            <w:r>
              <w:t>8</w:t>
            </w:r>
          </w:p>
        </w:tc>
        <w:tc>
          <w:tcPr>
            <w:tcW w:w="3192" w:type="dxa"/>
          </w:tcPr>
          <w:p w:rsidR="0024296E" w:rsidRDefault="0024296E" w:rsidP="002933D1">
            <w:r>
              <w:t>Green</w:t>
            </w:r>
          </w:p>
        </w:tc>
        <w:tc>
          <w:tcPr>
            <w:tcW w:w="3192" w:type="dxa"/>
          </w:tcPr>
          <w:p w:rsidR="0024296E" w:rsidRDefault="0024296E" w:rsidP="002933D1">
            <w:r>
              <w:t>+5V</w:t>
            </w:r>
          </w:p>
        </w:tc>
      </w:tr>
      <w:tr w:rsidR="0024296E" w:rsidTr="0024296E">
        <w:tc>
          <w:tcPr>
            <w:tcW w:w="3192" w:type="dxa"/>
          </w:tcPr>
          <w:p w:rsidR="0024296E" w:rsidRDefault="0024296E" w:rsidP="002933D1">
            <w:r>
              <w:t>9</w:t>
            </w:r>
            <w:r w:rsidR="00AE695A">
              <w:t>-13</w:t>
            </w:r>
          </w:p>
        </w:tc>
        <w:tc>
          <w:tcPr>
            <w:tcW w:w="3192" w:type="dxa"/>
          </w:tcPr>
          <w:p w:rsidR="0024296E" w:rsidRDefault="0024296E" w:rsidP="002933D1"/>
        </w:tc>
        <w:tc>
          <w:tcPr>
            <w:tcW w:w="3192" w:type="dxa"/>
          </w:tcPr>
          <w:p w:rsidR="0024296E" w:rsidRDefault="0024296E" w:rsidP="002933D1">
            <w:r>
              <w:t>NC</w:t>
            </w:r>
          </w:p>
        </w:tc>
      </w:tr>
      <w:tr w:rsidR="0024296E" w:rsidTr="0024296E">
        <w:tc>
          <w:tcPr>
            <w:tcW w:w="3192" w:type="dxa"/>
          </w:tcPr>
          <w:p w:rsidR="0024296E" w:rsidRDefault="0024296E" w:rsidP="002933D1">
            <w:r>
              <w:t>14</w:t>
            </w:r>
          </w:p>
        </w:tc>
        <w:tc>
          <w:tcPr>
            <w:tcW w:w="3192" w:type="dxa"/>
          </w:tcPr>
          <w:p w:rsidR="0024296E" w:rsidRDefault="0024296E" w:rsidP="002933D1">
            <w:r>
              <w:t>Grey</w:t>
            </w:r>
          </w:p>
        </w:tc>
        <w:tc>
          <w:tcPr>
            <w:tcW w:w="3192" w:type="dxa"/>
          </w:tcPr>
          <w:p w:rsidR="0024296E" w:rsidRDefault="0024296E" w:rsidP="002933D1">
            <w:r>
              <w:t>GND</w:t>
            </w:r>
          </w:p>
        </w:tc>
      </w:tr>
      <w:tr w:rsidR="0024296E" w:rsidTr="0024296E">
        <w:tc>
          <w:tcPr>
            <w:tcW w:w="3192" w:type="dxa"/>
          </w:tcPr>
          <w:p w:rsidR="0024296E" w:rsidRDefault="0024296E" w:rsidP="002933D1">
            <w:r>
              <w:t>15</w:t>
            </w:r>
          </w:p>
        </w:tc>
        <w:tc>
          <w:tcPr>
            <w:tcW w:w="3192" w:type="dxa"/>
          </w:tcPr>
          <w:p w:rsidR="0024296E" w:rsidRDefault="0024296E" w:rsidP="002933D1">
            <w:r>
              <w:t>Blue</w:t>
            </w:r>
          </w:p>
        </w:tc>
        <w:tc>
          <w:tcPr>
            <w:tcW w:w="3192" w:type="dxa"/>
          </w:tcPr>
          <w:p w:rsidR="0024296E" w:rsidRDefault="0024296E" w:rsidP="002933D1">
            <w:r>
              <w:t>GND</w:t>
            </w:r>
          </w:p>
        </w:tc>
      </w:tr>
    </w:tbl>
    <w:p w:rsidR="00080A7E" w:rsidRPr="00893FF7" w:rsidRDefault="00080A7E" w:rsidP="00080A7E">
      <w:pPr>
        <w:pStyle w:val="Heading2"/>
      </w:pPr>
      <w:r>
        <w:t>Pin and wire mapping for the Rosemount 400-12 (DB-15)</w:t>
      </w:r>
    </w:p>
    <w:tbl>
      <w:tblPr>
        <w:tblStyle w:val="TableGrid"/>
        <w:tblW w:w="0" w:type="auto"/>
        <w:tblLook w:val="04A0"/>
      </w:tblPr>
      <w:tblGrid>
        <w:gridCol w:w="3192"/>
        <w:gridCol w:w="3192"/>
        <w:gridCol w:w="3192"/>
      </w:tblGrid>
      <w:tr w:rsidR="00080A7E" w:rsidTr="003D4D9E">
        <w:tc>
          <w:tcPr>
            <w:tcW w:w="3192" w:type="dxa"/>
          </w:tcPr>
          <w:p w:rsidR="00080A7E" w:rsidRDefault="00080A7E" w:rsidP="003D4D9E">
            <w:r>
              <w:t>Pin</w:t>
            </w:r>
          </w:p>
        </w:tc>
        <w:tc>
          <w:tcPr>
            <w:tcW w:w="3192" w:type="dxa"/>
          </w:tcPr>
          <w:p w:rsidR="00080A7E" w:rsidRDefault="00080A7E" w:rsidP="003D4D9E">
            <w:proofErr w:type="spellStart"/>
            <w:r>
              <w:t>Colour</w:t>
            </w:r>
            <w:proofErr w:type="spellEnd"/>
          </w:p>
        </w:tc>
        <w:tc>
          <w:tcPr>
            <w:tcW w:w="3192" w:type="dxa"/>
          </w:tcPr>
          <w:p w:rsidR="00080A7E" w:rsidRDefault="00080A7E" w:rsidP="003D4D9E">
            <w:r>
              <w:t>Function</w:t>
            </w:r>
          </w:p>
        </w:tc>
      </w:tr>
      <w:tr w:rsidR="00080A7E" w:rsidTr="003D4D9E">
        <w:tc>
          <w:tcPr>
            <w:tcW w:w="3192" w:type="dxa"/>
          </w:tcPr>
          <w:p w:rsidR="00080A7E" w:rsidRDefault="00080A7E" w:rsidP="003D4D9E">
            <w:r>
              <w:t>1</w:t>
            </w:r>
          </w:p>
        </w:tc>
        <w:tc>
          <w:tcPr>
            <w:tcW w:w="3192" w:type="dxa"/>
          </w:tcPr>
          <w:p w:rsidR="00080A7E" w:rsidRDefault="00080A7E" w:rsidP="003D4D9E">
            <w:r>
              <w:t>Clear</w:t>
            </w:r>
          </w:p>
        </w:tc>
        <w:tc>
          <w:tcPr>
            <w:tcW w:w="3192" w:type="dxa"/>
          </w:tcPr>
          <w:p w:rsidR="00080A7E" w:rsidRDefault="00080A7E" w:rsidP="003D4D9E">
            <w:r>
              <w:t>Inner electrode shield</w:t>
            </w:r>
          </w:p>
        </w:tc>
      </w:tr>
      <w:tr w:rsidR="00080A7E" w:rsidTr="003D4D9E">
        <w:tc>
          <w:tcPr>
            <w:tcW w:w="3192" w:type="dxa"/>
          </w:tcPr>
          <w:p w:rsidR="00080A7E" w:rsidRDefault="00080A7E" w:rsidP="003D4D9E">
            <w:r>
              <w:t>2</w:t>
            </w:r>
          </w:p>
        </w:tc>
        <w:tc>
          <w:tcPr>
            <w:tcW w:w="3192" w:type="dxa"/>
          </w:tcPr>
          <w:p w:rsidR="00080A7E" w:rsidRDefault="00080A7E" w:rsidP="00080A7E">
            <w:r>
              <w:t>Orange</w:t>
            </w:r>
          </w:p>
        </w:tc>
        <w:tc>
          <w:tcPr>
            <w:tcW w:w="3192" w:type="dxa"/>
          </w:tcPr>
          <w:p w:rsidR="00080A7E" w:rsidRDefault="00080A7E" w:rsidP="003D4D9E">
            <w:r>
              <w:t>Inner electrode</w:t>
            </w:r>
          </w:p>
        </w:tc>
      </w:tr>
      <w:tr w:rsidR="00080A7E" w:rsidTr="003D4D9E">
        <w:tc>
          <w:tcPr>
            <w:tcW w:w="3192" w:type="dxa"/>
          </w:tcPr>
          <w:p w:rsidR="00080A7E" w:rsidRDefault="00080A7E" w:rsidP="003D4D9E">
            <w:r>
              <w:t>3</w:t>
            </w:r>
          </w:p>
        </w:tc>
        <w:tc>
          <w:tcPr>
            <w:tcW w:w="3192" w:type="dxa"/>
          </w:tcPr>
          <w:p w:rsidR="00080A7E" w:rsidRDefault="00080A7E" w:rsidP="003D4D9E">
            <w:r>
              <w:t>White</w:t>
            </w:r>
          </w:p>
        </w:tc>
        <w:tc>
          <w:tcPr>
            <w:tcW w:w="3192" w:type="dxa"/>
          </w:tcPr>
          <w:p w:rsidR="00080A7E" w:rsidRDefault="00080A7E" w:rsidP="003D4D9E">
            <w:r>
              <w:t>RTD return</w:t>
            </w:r>
          </w:p>
        </w:tc>
      </w:tr>
      <w:tr w:rsidR="00080A7E" w:rsidTr="003D4D9E">
        <w:tc>
          <w:tcPr>
            <w:tcW w:w="3192" w:type="dxa"/>
          </w:tcPr>
          <w:p w:rsidR="00080A7E" w:rsidRDefault="00080A7E" w:rsidP="003D4D9E">
            <w:r>
              <w:t>4</w:t>
            </w:r>
          </w:p>
        </w:tc>
        <w:tc>
          <w:tcPr>
            <w:tcW w:w="3192" w:type="dxa"/>
          </w:tcPr>
          <w:p w:rsidR="00080A7E" w:rsidRDefault="00080A7E" w:rsidP="003D4D9E">
            <w:r>
              <w:t>Red/white</w:t>
            </w:r>
          </w:p>
        </w:tc>
        <w:tc>
          <w:tcPr>
            <w:tcW w:w="3192" w:type="dxa"/>
          </w:tcPr>
          <w:p w:rsidR="00080A7E" w:rsidRDefault="00080A7E" w:rsidP="003D4D9E">
            <w:r>
              <w:t>RTD sense</w:t>
            </w:r>
          </w:p>
        </w:tc>
      </w:tr>
      <w:tr w:rsidR="00080A7E" w:rsidTr="003D4D9E">
        <w:tc>
          <w:tcPr>
            <w:tcW w:w="3192" w:type="dxa"/>
          </w:tcPr>
          <w:p w:rsidR="00080A7E" w:rsidRDefault="00080A7E" w:rsidP="003D4D9E">
            <w:r>
              <w:t>5</w:t>
            </w:r>
          </w:p>
        </w:tc>
        <w:tc>
          <w:tcPr>
            <w:tcW w:w="3192" w:type="dxa"/>
          </w:tcPr>
          <w:p w:rsidR="00080A7E" w:rsidRDefault="00080A7E" w:rsidP="003D4D9E">
            <w:r>
              <w:t>Red</w:t>
            </w:r>
          </w:p>
        </w:tc>
        <w:tc>
          <w:tcPr>
            <w:tcW w:w="3192" w:type="dxa"/>
          </w:tcPr>
          <w:p w:rsidR="00080A7E" w:rsidRDefault="00080A7E" w:rsidP="003D4D9E">
            <w:r>
              <w:t>RTD in</w:t>
            </w:r>
          </w:p>
        </w:tc>
      </w:tr>
      <w:tr w:rsidR="00080A7E" w:rsidTr="003D4D9E">
        <w:tc>
          <w:tcPr>
            <w:tcW w:w="3192" w:type="dxa"/>
          </w:tcPr>
          <w:p w:rsidR="00080A7E" w:rsidRDefault="00080A7E" w:rsidP="003D4D9E">
            <w:r>
              <w:t>6</w:t>
            </w:r>
          </w:p>
        </w:tc>
        <w:tc>
          <w:tcPr>
            <w:tcW w:w="3192" w:type="dxa"/>
          </w:tcPr>
          <w:p w:rsidR="00080A7E" w:rsidRDefault="00080A7E" w:rsidP="003D4D9E">
            <w:r>
              <w:t>Grey</w:t>
            </w:r>
          </w:p>
        </w:tc>
        <w:tc>
          <w:tcPr>
            <w:tcW w:w="3192" w:type="dxa"/>
          </w:tcPr>
          <w:p w:rsidR="00080A7E" w:rsidRDefault="00080A7E" w:rsidP="003D4D9E">
            <w:r>
              <w:t>Outer electrode</w:t>
            </w:r>
          </w:p>
        </w:tc>
      </w:tr>
      <w:tr w:rsidR="00080A7E" w:rsidTr="003D4D9E">
        <w:tc>
          <w:tcPr>
            <w:tcW w:w="3192" w:type="dxa"/>
          </w:tcPr>
          <w:p w:rsidR="00080A7E" w:rsidRDefault="00080A7E" w:rsidP="003D4D9E">
            <w:r>
              <w:t>7</w:t>
            </w:r>
          </w:p>
        </w:tc>
        <w:tc>
          <w:tcPr>
            <w:tcW w:w="3192" w:type="dxa"/>
          </w:tcPr>
          <w:p w:rsidR="00080A7E" w:rsidRDefault="00080A7E" w:rsidP="003D4D9E">
            <w:r>
              <w:t>Clear</w:t>
            </w:r>
          </w:p>
        </w:tc>
        <w:tc>
          <w:tcPr>
            <w:tcW w:w="3192" w:type="dxa"/>
          </w:tcPr>
          <w:p w:rsidR="00080A7E" w:rsidRDefault="00080A7E" w:rsidP="003D4D9E">
            <w:r>
              <w:t>Outer electrode shield</w:t>
            </w:r>
          </w:p>
        </w:tc>
      </w:tr>
      <w:tr w:rsidR="00080A7E" w:rsidTr="003D4D9E">
        <w:tc>
          <w:tcPr>
            <w:tcW w:w="3192" w:type="dxa"/>
          </w:tcPr>
          <w:p w:rsidR="00080A7E" w:rsidRDefault="00080A7E" w:rsidP="003D4D9E">
            <w:r>
              <w:t>8</w:t>
            </w:r>
          </w:p>
        </w:tc>
        <w:tc>
          <w:tcPr>
            <w:tcW w:w="3192" w:type="dxa"/>
          </w:tcPr>
          <w:p w:rsidR="00080A7E" w:rsidRDefault="00080A7E" w:rsidP="003D4D9E">
            <w:r>
              <w:t>Clear</w:t>
            </w:r>
          </w:p>
        </w:tc>
        <w:tc>
          <w:tcPr>
            <w:tcW w:w="3192" w:type="dxa"/>
          </w:tcPr>
          <w:p w:rsidR="00080A7E" w:rsidRDefault="00080A7E" w:rsidP="003D4D9E">
            <w:r>
              <w:t>RTD shield</w:t>
            </w:r>
          </w:p>
        </w:tc>
      </w:tr>
      <w:tr w:rsidR="00080A7E" w:rsidTr="003D4D9E">
        <w:tc>
          <w:tcPr>
            <w:tcW w:w="3192" w:type="dxa"/>
          </w:tcPr>
          <w:p w:rsidR="00080A7E" w:rsidRDefault="00080A7E" w:rsidP="003D4D9E">
            <w:r>
              <w:t>9-15</w:t>
            </w:r>
          </w:p>
        </w:tc>
        <w:tc>
          <w:tcPr>
            <w:tcW w:w="3192" w:type="dxa"/>
          </w:tcPr>
          <w:p w:rsidR="00080A7E" w:rsidRDefault="00080A7E" w:rsidP="003D4D9E"/>
        </w:tc>
        <w:tc>
          <w:tcPr>
            <w:tcW w:w="3192" w:type="dxa"/>
          </w:tcPr>
          <w:p w:rsidR="00080A7E" w:rsidRDefault="00080A7E" w:rsidP="003D4D9E">
            <w:r>
              <w:t>NC</w:t>
            </w:r>
          </w:p>
        </w:tc>
      </w:tr>
    </w:tbl>
    <w:p w:rsidR="0024296E" w:rsidRPr="005A7D97" w:rsidRDefault="0024296E" w:rsidP="002933D1"/>
    <w:sectPr w:rsidR="0024296E" w:rsidRPr="005A7D97" w:rsidSect="00C630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933D1"/>
    <w:rsid w:val="000000CC"/>
    <w:rsid w:val="00031A52"/>
    <w:rsid w:val="0003221E"/>
    <w:rsid w:val="00080A7E"/>
    <w:rsid w:val="00085EA3"/>
    <w:rsid w:val="000C07F4"/>
    <w:rsid w:val="000E0146"/>
    <w:rsid w:val="000E73C7"/>
    <w:rsid w:val="000F723A"/>
    <w:rsid w:val="000F75B0"/>
    <w:rsid w:val="001346CA"/>
    <w:rsid w:val="00155AB7"/>
    <w:rsid w:val="00172B07"/>
    <w:rsid w:val="00190633"/>
    <w:rsid w:val="001E3857"/>
    <w:rsid w:val="00200034"/>
    <w:rsid w:val="002045F0"/>
    <w:rsid w:val="00207CE8"/>
    <w:rsid w:val="0024296E"/>
    <w:rsid w:val="00244C82"/>
    <w:rsid w:val="0028112F"/>
    <w:rsid w:val="002933D1"/>
    <w:rsid w:val="002A7D7B"/>
    <w:rsid w:val="003A5127"/>
    <w:rsid w:val="003D0588"/>
    <w:rsid w:val="003D4D9E"/>
    <w:rsid w:val="003E1B45"/>
    <w:rsid w:val="004060D2"/>
    <w:rsid w:val="00415DEB"/>
    <w:rsid w:val="00473E36"/>
    <w:rsid w:val="00474586"/>
    <w:rsid w:val="004948BD"/>
    <w:rsid w:val="00495612"/>
    <w:rsid w:val="004A3123"/>
    <w:rsid w:val="004B05FF"/>
    <w:rsid w:val="004E7164"/>
    <w:rsid w:val="004F3D15"/>
    <w:rsid w:val="00514906"/>
    <w:rsid w:val="00575547"/>
    <w:rsid w:val="005A7D97"/>
    <w:rsid w:val="005B43AF"/>
    <w:rsid w:val="005B4513"/>
    <w:rsid w:val="005B5BB5"/>
    <w:rsid w:val="00600A80"/>
    <w:rsid w:val="00614005"/>
    <w:rsid w:val="00623115"/>
    <w:rsid w:val="00647058"/>
    <w:rsid w:val="00662102"/>
    <w:rsid w:val="00695F20"/>
    <w:rsid w:val="006B0387"/>
    <w:rsid w:val="006B7811"/>
    <w:rsid w:val="007074D6"/>
    <w:rsid w:val="007327D7"/>
    <w:rsid w:val="00735D93"/>
    <w:rsid w:val="00736D0C"/>
    <w:rsid w:val="00742D17"/>
    <w:rsid w:val="00786061"/>
    <w:rsid w:val="007A6F59"/>
    <w:rsid w:val="007C01F2"/>
    <w:rsid w:val="007F0A28"/>
    <w:rsid w:val="008241C5"/>
    <w:rsid w:val="0085025E"/>
    <w:rsid w:val="00893FF7"/>
    <w:rsid w:val="008A4C72"/>
    <w:rsid w:val="008D119A"/>
    <w:rsid w:val="0091088A"/>
    <w:rsid w:val="00947FE3"/>
    <w:rsid w:val="00957BC1"/>
    <w:rsid w:val="0096045C"/>
    <w:rsid w:val="009D35A9"/>
    <w:rsid w:val="009F1B0A"/>
    <w:rsid w:val="009F6BF9"/>
    <w:rsid w:val="00A103C7"/>
    <w:rsid w:val="00A2012E"/>
    <w:rsid w:val="00A32F7C"/>
    <w:rsid w:val="00A80349"/>
    <w:rsid w:val="00A95A23"/>
    <w:rsid w:val="00AE4291"/>
    <w:rsid w:val="00AE695A"/>
    <w:rsid w:val="00AE773A"/>
    <w:rsid w:val="00B01037"/>
    <w:rsid w:val="00B24A0B"/>
    <w:rsid w:val="00B62EBE"/>
    <w:rsid w:val="00B73CAD"/>
    <w:rsid w:val="00B93E1D"/>
    <w:rsid w:val="00BC3B22"/>
    <w:rsid w:val="00C06528"/>
    <w:rsid w:val="00C0660C"/>
    <w:rsid w:val="00C107F2"/>
    <w:rsid w:val="00C5204B"/>
    <w:rsid w:val="00C6309B"/>
    <w:rsid w:val="00C7674C"/>
    <w:rsid w:val="00C86BB3"/>
    <w:rsid w:val="00C96071"/>
    <w:rsid w:val="00C96B86"/>
    <w:rsid w:val="00CB03DF"/>
    <w:rsid w:val="00CB434F"/>
    <w:rsid w:val="00D26017"/>
    <w:rsid w:val="00D30F12"/>
    <w:rsid w:val="00D40112"/>
    <w:rsid w:val="00D73AAB"/>
    <w:rsid w:val="00DC68BD"/>
    <w:rsid w:val="00DC6C52"/>
    <w:rsid w:val="00DD42D3"/>
    <w:rsid w:val="00DF4992"/>
    <w:rsid w:val="00E01B77"/>
    <w:rsid w:val="00E45FCA"/>
    <w:rsid w:val="00E85ECD"/>
    <w:rsid w:val="00EC24A4"/>
    <w:rsid w:val="00EF3192"/>
    <w:rsid w:val="00F148C1"/>
    <w:rsid w:val="00F3641B"/>
    <w:rsid w:val="00F4677D"/>
    <w:rsid w:val="00F626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9B"/>
  </w:style>
  <w:style w:type="paragraph" w:styleId="Heading1">
    <w:name w:val="heading 1"/>
    <w:basedOn w:val="Normal"/>
    <w:next w:val="Normal"/>
    <w:link w:val="Heading1Char"/>
    <w:uiPriority w:val="9"/>
    <w:qFormat/>
    <w:rsid w:val="00293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3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3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33D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3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1"/>
    <w:rPr>
      <w:rFonts w:ascii="Tahoma" w:hAnsi="Tahoma" w:cs="Tahoma"/>
      <w:sz w:val="16"/>
      <w:szCs w:val="16"/>
    </w:rPr>
  </w:style>
  <w:style w:type="character" w:styleId="PlaceholderText">
    <w:name w:val="Placeholder Text"/>
    <w:basedOn w:val="DefaultParagraphFont"/>
    <w:uiPriority w:val="99"/>
    <w:semiHidden/>
    <w:rsid w:val="002933D1"/>
    <w:rPr>
      <w:color w:val="808080"/>
    </w:rPr>
  </w:style>
  <w:style w:type="table" w:styleId="TableGrid">
    <w:name w:val="Table Grid"/>
    <w:basedOn w:val="TableNormal"/>
    <w:uiPriority w:val="59"/>
    <w:rsid w:val="00B93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3FF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499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13433074">
      <w:bodyDiv w:val="1"/>
      <w:marLeft w:val="0"/>
      <w:marRight w:val="0"/>
      <w:marTop w:val="0"/>
      <w:marBottom w:val="0"/>
      <w:divBdr>
        <w:top w:val="none" w:sz="0" w:space="0" w:color="auto"/>
        <w:left w:val="none" w:sz="0" w:space="0" w:color="auto"/>
        <w:bottom w:val="none" w:sz="0" w:space="0" w:color="auto"/>
        <w:right w:val="none" w:sz="0" w:space="0" w:color="auto"/>
      </w:divBdr>
    </w:div>
    <w:div w:id="493304564">
      <w:bodyDiv w:val="1"/>
      <w:marLeft w:val="0"/>
      <w:marRight w:val="0"/>
      <w:marTop w:val="0"/>
      <w:marBottom w:val="0"/>
      <w:divBdr>
        <w:top w:val="none" w:sz="0" w:space="0" w:color="auto"/>
        <w:left w:val="none" w:sz="0" w:space="0" w:color="auto"/>
        <w:bottom w:val="none" w:sz="0" w:space="0" w:color="auto"/>
        <w:right w:val="none" w:sz="0" w:space="0" w:color="auto"/>
      </w:divBdr>
    </w:div>
    <w:div w:id="5883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4.xml"/><Relationship Id="rId5" Type="http://schemas.openxmlformats.org/officeDocument/2006/relationships/image" Target="media/image2.png"/><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saruman\projects\IWM\Horatio\RTD%20testing\rtdresults%20-%20avg%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aruman\projects\IWM\Horatio\RTD%20testing\rtdresult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aruman\projects\IWM\Horatio\RTD%20testing\rtdresults%20-%20jul%20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AUG\Desktop\rt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baseline="0"/>
              <a:t>RTD linearization circuit output vs. temperature</a:t>
            </a:r>
            <a:endParaRPr lang="en-US"/>
          </a:p>
        </c:rich>
      </c:tx>
      <c:layout/>
    </c:title>
    <c:plotArea>
      <c:layout/>
      <c:scatterChart>
        <c:scatterStyle val="lineMarker"/>
        <c:ser>
          <c:idx val="0"/>
          <c:order val="0"/>
          <c:tx>
            <c:v>pH Pt100 RTD</c:v>
          </c:tx>
          <c:spPr>
            <a:ln w="28575">
              <a:noFill/>
            </a:ln>
          </c:spPr>
          <c:trendline>
            <c:trendlineType val="linear"/>
            <c:backward val="8"/>
            <c:dispRSqr val="1"/>
            <c:dispEq val="1"/>
            <c:trendlineLbl>
              <c:layout>
                <c:manualLayout>
                  <c:x val="-0.10171499847483463"/>
                  <c:y val="5.8028000199763619E-2"/>
                </c:manualLayout>
              </c:layout>
              <c:numFmt formatCode="General" sourceLinked="0"/>
            </c:trendlineLbl>
          </c:trendline>
          <c:xVal>
            <c:numRef>
              <c:f>Sheet1!$A$2:$A$17</c:f>
              <c:numCache>
                <c:formatCode>General</c:formatCode>
                <c:ptCount val="16"/>
                <c:pt idx="0">
                  <c:v>8.8000000000000007</c:v>
                </c:pt>
                <c:pt idx="1">
                  <c:v>10.200000000000001</c:v>
                </c:pt>
                <c:pt idx="2">
                  <c:v>13.3</c:v>
                </c:pt>
                <c:pt idx="3">
                  <c:v>15</c:v>
                </c:pt>
                <c:pt idx="4">
                  <c:v>17.5</c:v>
                </c:pt>
                <c:pt idx="5">
                  <c:v>20</c:v>
                </c:pt>
                <c:pt idx="6">
                  <c:v>22.8</c:v>
                </c:pt>
                <c:pt idx="7">
                  <c:v>25</c:v>
                </c:pt>
                <c:pt idx="8">
                  <c:v>27.7</c:v>
                </c:pt>
                <c:pt idx="9">
                  <c:v>30.5</c:v>
                </c:pt>
                <c:pt idx="10">
                  <c:v>33</c:v>
                </c:pt>
                <c:pt idx="11">
                  <c:v>35.5</c:v>
                </c:pt>
                <c:pt idx="12">
                  <c:v>38.200000000000003</c:v>
                </c:pt>
                <c:pt idx="13">
                  <c:v>40.5</c:v>
                </c:pt>
                <c:pt idx="14">
                  <c:v>43.2</c:v>
                </c:pt>
                <c:pt idx="15">
                  <c:v>46</c:v>
                </c:pt>
              </c:numCache>
            </c:numRef>
          </c:xVal>
          <c:yVal>
            <c:numRef>
              <c:f>Sheet1!$B$2:$B$17</c:f>
              <c:numCache>
                <c:formatCode>General</c:formatCode>
                <c:ptCount val="16"/>
                <c:pt idx="0">
                  <c:v>1.5384</c:v>
                </c:pt>
                <c:pt idx="1">
                  <c:v>1.5948</c:v>
                </c:pt>
                <c:pt idx="2">
                  <c:v>1.8900000000000001</c:v>
                </c:pt>
                <c:pt idx="3">
                  <c:v>1.9834999999999998</c:v>
                </c:pt>
                <c:pt idx="4">
                  <c:v>2.223100000000001</c:v>
                </c:pt>
                <c:pt idx="5">
                  <c:v>2.4545999999999997</c:v>
                </c:pt>
                <c:pt idx="6">
                  <c:v>2.6549999999999998</c:v>
                </c:pt>
                <c:pt idx="7">
                  <c:v>2.8929999999999989</c:v>
                </c:pt>
                <c:pt idx="8">
                  <c:v>3.15</c:v>
                </c:pt>
                <c:pt idx="9">
                  <c:v>3.4805000000000001</c:v>
                </c:pt>
                <c:pt idx="10">
                  <c:v>3.7074000000000007</c:v>
                </c:pt>
                <c:pt idx="11">
                  <c:v>3.998699999999999</c:v>
                </c:pt>
                <c:pt idx="12">
                  <c:v>4.1941999999999986</c:v>
                </c:pt>
              </c:numCache>
            </c:numRef>
          </c:yVal>
        </c:ser>
        <c:ser>
          <c:idx val="1"/>
          <c:order val="1"/>
          <c:tx>
            <c:v>ORP Pt100 RTD</c:v>
          </c:tx>
          <c:spPr>
            <a:ln w="28575">
              <a:noFill/>
            </a:ln>
          </c:spPr>
          <c:trendline>
            <c:trendlineType val="linear"/>
            <c:backward val="8"/>
            <c:dispRSqr val="1"/>
            <c:dispEq val="1"/>
            <c:trendlineLbl>
              <c:layout>
                <c:manualLayout>
                  <c:x val="6.3780878818914195E-5"/>
                  <c:y val="0.19436666611176778"/>
                </c:manualLayout>
              </c:layout>
              <c:numFmt formatCode="General" sourceLinked="0"/>
            </c:trendlineLbl>
          </c:trendline>
          <c:xVal>
            <c:numRef>
              <c:f>Sheet1!$A$2:$A$17</c:f>
              <c:numCache>
                <c:formatCode>General</c:formatCode>
                <c:ptCount val="16"/>
                <c:pt idx="0">
                  <c:v>8.8000000000000007</c:v>
                </c:pt>
                <c:pt idx="1">
                  <c:v>10.200000000000001</c:v>
                </c:pt>
                <c:pt idx="2">
                  <c:v>13.3</c:v>
                </c:pt>
                <c:pt idx="3">
                  <c:v>15</c:v>
                </c:pt>
                <c:pt idx="4">
                  <c:v>17.5</c:v>
                </c:pt>
                <c:pt idx="5">
                  <c:v>20</c:v>
                </c:pt>
                <c:pt idx="6">
                  <c:v>22.8</c:v>
                </c:pt>
                <c:pt idx="7">
                  <c:v>25</c:v>
                </c:pt>
                <c:pt idx="8">
                  <c:v>27.7</c:v>
                </c:pt>
                <c:pt idx="9">
                  <c:v>30.5</c:v>
                </c:pt>
                <c:pt idx="10">
                  <c:v>33</c:v>
                </c:pt>
                <c:pt idx="11">
                  <c:v>35.5</c:v>
                </c:pt>
                <c:pt idx="12">
                  <c:v>38.200000000000003</c:v>
                </c:pt>
                <c:pt idx="13">
                  <c:v>40.5</c:v>
                </c:pt>
                <c:pt idx="14">
                  <c:v>43.2</c:v>
                </c:pt>
                <c:pt idx="15">
                  <c:v>46</c:v>
                </c:pt>
              </c:numCache>
            </c:numRef>
          </c:xVal>
          <c:yVal>
            <c:numRef>
              <c:f>Sheet1!$C$2:$C$17</c:f>
              <c:numCache>
                <c:formatCode>General</c:formatCode>
                <c:ptCount val="16"/>
                <c:pt idx="0">
                  <c:v>1.5197999999999996</c:v>
                </c:pt>
                <c:pt idx="1">
                  <c:v>1.6789000000000001</c:v>
                </c:pt>
                <c:pt idx="2">
                  <c:v>1.9339999999999993</c:v>
                </c:pt>
                <c:pt idx="3">
                  <c:v>1.9822000000000002</c:v>
                </c:pt>
                <c:pt idx="4">
                  <c:v>2.2829000000000002</c:v>
                </c:pt>
                <c:pt idx="5">
                  <c:v>2.4701999999999997</c:v>
                </c:pt>
                <c:pt idx="6">
                  <c:v>2.7604000000000002</c:v>
                </c:pt>
                <c:pt idx="7">
                  <c:v>2.9276</c:v>
                </c:pt>
                <c:pt idx="8">
                  <c:v>3.2246000000000001</c:v>
                </c:pt>
                <c:pt idx="9">
                  <c:v>3.4792999999999989</c:v>
                </c:pt>
                <c:pt idx="10">
                  <c:v>3.7063999999999999</c:v>
                </c:pt>
                <c:pt idx="11">
                  <c:v>3.9615999999999998</c:v>
                </c:pt>
                <c:pt idx="12">
                  <c:v>4.173</c:v>
                </c:pt>
              </c:numCache>
            </c:numRef>
          </c:yVal>
        </c:ser>
        <c:ser>
          <c:idx val="2"/>
          <c:order val="2"/>
          <c:tx>
            <c:v>Conductivity Pt1000 RTD</c:v>
          </c:tx>
          <c:spPr>
            <a:ln w="28575">
              <a:noFill/>
            </a:ln>
          </c:spPr>
          <c:trendline>
            <c:trendlineType val="linear"/>
            <c:dispRSqr val="1"/>
            <c:dispEq val="1"/>
            <c:trendlineLbl>
              <c:layout>
                <c:manualLayout>
                  <c:x val="7.2757799524322568E-3"/>
                  <c:y val="0.1832904396464187"/>
                </c:manualLayout>
              </c:layout>
              <c:numFmt formatCode="General" sourceLinked="0"/>
            </c:trendlineLbl>
          </c:trendline>
          <c:xVal>
            <c:numRef>
              <c:f>Sheet1!$A$2:$A$17</c:f>
              <c:numCache>
                <c:formatCode>General</c:formatCode>
                <c:ptCount val="16"/>
                <c:pt idx="0">
                  <c:v>8.8000000000000007</c:v>
                </c:pt>
                <c:pt idx="1">
                  <c:v>10.200000000000001</c:v>
                </c:pt>
                <c:pt idx="2">
                  <c:v>13.3</c:v>
                </c:pt>
                <c:pt idx="3">
                  <c:v>15</c:v>
                </c:pt>
                <c:pt idx="4">
                  <c:v>17.5</c:v>
                </c:pt>
                <c:pt idx="5">
                  <c:v>20</c:v>
                </c:pt>
                <c:pt idx="6">
                  <c:v>22.8</c:v>
                </c:pt>
                <c:pt idx="7">
                  <c:v>25</c:v>
                </c:pt>
                <c:pt idx="8">
                  <c:v>27.7</c:v>
                </c:pt>
                <c:pt idx="9">
                  <c:v>30.5</c:v>
                </c:pt>
                <c:pt idx="10">
                  <c:v>33</c:v>
                </c:pt>
                <c:pt idx="11">
                  <c:v>35.5</c:v>
                </c:pt>
                <c:pt idx="12">
                  <c:v>38.200000000000003</c:v>
                </c:pt>
                <c:pt idx="13">
                  <c:v>40.5</c:v>
                </c:pt>
                <c:pt idx="14">
                  <c:v>43.2</c:v>
                </c:pt>
                <c:pt idx="15">
                  <c:v>46</c:v>
                </c:pt>
              </c:numCache>
            </c:numRef>
          </c:xVal>
          <c:yVal>
            <c:numRef>
              <c:f>Sheet1!$D$2:$D$17</c:f>
              <c:numCache>
                <c:formatCode>General</c:formatCode>
                <c:ptCount val="16"/>
                <c:pt idx="0">
                  <c:v>9.74E-2</c:v>
                </c:pt>
                <c:pt idx="1">
                  <c:v>0.18630000000000005</c:v>
                </c:pt>
                <c:pt idx="2">
                  <c:v>0.42490000000000011</c:v>
                </c:pt>
                <c:pt idx="3">
                  <c:v>0.55670000000000019</c:v>
                </c:pt>
                <c:pt idx="4">
                  <c:v>0.73480000000000023</c:v>
                </c:pt>
                <c:pt idx="5">
                  <c:v>0.91930000000000001</c:v>
                </c:pt>
                <c:pt idx="6">
                  <c:v>1.1455</c:v>
                </c:pt>
                <c:pt idx="7">
                  <c:v>1.3353999999999995</c:v>
                </c:pt>
                <c:pt idx="8">
                  <c:v>1.5668</c:v>
                </c:pt>
                <c:pt idx="9">
                  <c:v>1.7896999999999998</c:v>
                </c:pt>
                <c:pt idx="10">
                  <c:v>2.0419</c:v>
                </c:pt>
                <c:pt idx="11">
                  <c:v>2.2172999999999998</c:v>
                </c:pt>
                <c:pt idx="12">
                  <c:v>2.4461999999999997</c:v>
                </c:pt>
                <c:pt idx="13">
                  <c:v>2.6274999999999999</c:v>
                </c:pt>
                <c:pt idx="14">
                  <c:v>2.837299999999999</c:v>
                </c:pt>
                <c:pt idx="15">
                  <c:v>3.0575999999999999</c:v>
                </c:pt>
              </c:numCache>
            </c:numRef>
          </c:yVal>
        </c:ser>
        <c:axId val="85443712"/>
        <c:axId val="85445632"/>
      </c:scatterChart>
      <c:valAx>
        <c:axId val="85443712"/>
        <c:scaling>
          <c:orientation val="minMax"/>
        </c:scaling>
        <c:axPos val="b"/>
        <c:title>
          <c:tx>
            <c:rich>
              <a:bodyPr/>
              <a:lstStyle/>
              <a:p>
                <a:pPr>
                  <a:defRPr/>
                </a:pPr>
                <a:r>
                  <a:rPr lang="en-US"/>
                  <a:t>Thermometer</a:t>
                </a:r>
                <a:r>
                  <a:rPr lang="en-US" baseline="0"/>
                  <a:t> Temperature (</a:t>
                </a:r>
                <a:r>
                  <a:rPr lang="en-US" sz="1000" b="1" i="0" u="none" strike="noStrike" baseline="0"/>
                  <a:t>°C)</a:t>
                </a:r>
              </a:p>
            </c:rich>
          </c:tx>
          <c:layout/>
        </c:title>
        <c:numFmt formatCode="General" sourceLinked="1"/>
        <c:majorTickMark val="none"/>
        <c:tickLblPos val="nextTo"/>
        <c:crossAx val="85445632"/>
        <c:crosses val="autoZero"/>
        <c:crossBetween val="midCat"/>
      </c:valAx>
      <c:valAx>
        <c:axId val="85445632"/>
        <c:scaling>
          <c:orientation val="minMax"/>
        </c:scaling>
        <c:axPos val="l"/>
        <c:majorGridlines/>
        <c:title>
          <c:tx>
            <c:rich>
              <a:bodyPr/>
              <a:lstStyle/>
              <a:p>
                <a:pPr>
                  <a:defRPr/>
                </a:pPr>
                <a:r>
                  <a:rPr lang="en-US"/>
                  <a:t>Voltage (V)</a:t>
                </a:r>
              </a:p>
            </c:rich>
          </c:tx>
          <c:layout/>
        </c:title>
        <c:numFmt formatCode="General" sourceLinked="1"/>
        <c:majorTickMark val="none"/>
        <c:tickLblPos val="nextTo"/>
        <c:crossAx val="85443712"/>
        <c:crosses val="autoZero"/>
        <c:crossBetween val="midCat"/>
      </c:valAx>
    </c:plotArea>
    <c:legend>
      <c:legendPos val="r"/>
      <c:legendEntry>
        <c:idx val="3"/>
        <c:delete val="1"/>
      </c:legendEntry>
      <c:legendEntry>
        <c:idx val="4"/>
        <c:delete val="1"/>
      </c:legendEntry>
      <c:legendEntry>
        <c:idx val="5"/>
        <c:delete val="1"/>
      </c:legendEntry>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v>pH RTD Pt100</c:v>
          </c:tx>
          <c:spPr>
            <a:ln w="28575">
              <a:noFill/>
            </a:ln>
          </c:spPr>
          <c:trendline>
            <c:trendlineType val="linear"/>
            <c:forward val="5"/>
            <c:backward val="5"/>
            <c:dispRSqr val="1"/>
            <c:dispEq val="1"/>
            <c:trendlineLbl>
              <c:layout>
                <c:manualLayout>
                  <c:x val="0.12527285967866719"/>
                  <c:y val="7.7906217564920763E-2"/>
                </c:manualLayout>
              </c:layout>
              <c:numFmt formatCode="General" sourceLinked="0"/>
            </c:trendlineLbl>
          </c:trendline>
          <c:xVal>
            <c:numRef>
              <c:f>Sheet1!$A$2:$A$18</c:f>
              <c:numCache>
                <c:formatCode>General</c:formatCode>
                <c:ptCount val="17"/>
                <c:pt idx="1">
                  <c:v>8</c:v>
                </c:pt>
                <c:pt idx="2">
                  <c:v>9.8000000000000007</c:v>
                </c:pt>
                <c:pt idx="3">
                  <c:v>11.6</c:v>
                </c:pt>
                <c:pt idx="4">
                  <c:v>13</c:v>
                </c:pt>
                <c:pt idx="5">
                  <c:v>17</c:v>
                </c:pt>
                <c:pt idx="6">
                  <c:v>20</c:v>
                </c:pt>
                <c:pt idx="7">
                  <c:v>23</c:v>
                </c:pt>
                <c:pt idx="8">
                  <c:v>25.2</c:v>
                </c:pt>
                <c:pt idx="9">
                  <c:v>28</c:v>
                </c:pt>
                <c:pt idx="10">
                  <c:v>30.5</c:v>
                </c:pt>
                <c:pt idx="11">
                  <c:v>33.1</c:v>
                </c:pt>
                <c:pt idx="12">
                  <c:v>35.700000000000003</c:v>
                </c:pt>
                <c:pt idx="13">
                  <c:v>38.5</c:v>
                </c:pt>
                <c:pt idx="14">
                  <c:v>40.700000000000003</c:v>
                </c:pt>
              </c:numCache>
            </c:numRef>
          </c:xVal>
          <c:yVal>
            <c:numRef>
              <c:f>Sheet1!$B$2:$B$18</c:f>
              <c:numCache>
                <c:formatCode>General</c:formatCode>
                <c:ptCount val="17"/>
                <c:pt idx="1">
                  <c:v>1.31</c:v>
                </c:pt>
                <c:pt idx="2">
                  <c:v>1.6</c:v>
                </c:pt>
                <c:pt idx="3">
                  <c:v>1.6900000000000004</c:v>
                </c:pt>
                <c:pt idx="4">
                  <c:v>1.78</c:v>
                </c:pt>
                <c:pt idx="5">
                  <c:v>2.1800000000000002</c:v>
                </c:pt>
                <c:pt idx="6">
                  <c:v>2.42</c:v>
                </c:pt>
                <c:pt idx="7">
                  <c:v>2.71</c:v>
                </c:pt>
                <c:pt idx="8">
                  <c:v>2.8899999999999997</c:v>
                </c:pt>
                <c:pt idx="9">
                  <c:v>3.19</c:v>
                </c:pt>
                <c:pt idx="10">
                  <c:v>3.42</c:v>
                </c:pt>
                <c:pt idx="11">
                  <c:v>3.74</c:v>
                </c:pt>
                <c:pt idx="12">
                  <c:v>3.9899999999999998</c:v>
                </c:pt>
                <c:pt idx="13">
                  <c:v>4.24</c:v>
                </c:pt>
              </c:numCache>
            </c:numRef>
          </c:yVal>
        </c:ser>
        <c:ser>
          <c:idx val="1"/>
          <c:order val="1"/>
          <c:tx>
            <c:v>ORP RTD Pt100</c:v>
          </c:tx>
          <c:spPr>
            <a:ln w="28575">
              <a:noFill/>
            </a:ln>
          </c:spPr>
          <c:trendline>
            <c:trendlineType val="linear"/>
            <c:forward val="5"/>
            <c:backward val="5"/>
            <c:dispRSqr val="1"/>
            <c:dispEq val="1"/>
            <c:trendlineLbl>
              <c:layout>
                <c:manualLayout>
                  <c:x val="-6.1625020860831714E-2"/>
                  <c:y val="1.846436167304475E-2"/>
                </c:manualLayout>
              </c:layout>
              <c:numFmt formatCode="General" sourceLinked="0"/>
            </c:trendlineLbl>
          </c:trendline>
          <c:xVal>
            <c:numRef>
              <c:f>Sheet1!$A$2:$A$18</c:f>
              <c:numCache>
                <c:formatCode>General</c:formatCode>
                <c:ptCount val="17"/>
                <c:pt idx="1">
                  <c:v>8</c:v>
                </c:pt>
                <c:pt idx="2">
                  <c:v>9.8000000000000007</c:v>
                </c:pt>
                <c:pt idx="3">
                  <c:v>11.6</c:v>
                </c:pt>
                <c:pt idx="4">
                  <c:v>13</c:v>
                </c:pt>
                <c:pt idx="5">
                  <c:v>17</c:v>
                </c:pt>
                <c:pt idx="6">
                  <c:v>20</c:v>
                </c:pt>
                <c:pt idx="7">
                  <c:v>23</c:v>
                </c:pt>
                <c:pt idx="8">
                  <c:v>25.2</c:v>
                </c:pt>
                <c:pt idx="9">
                  <c:v>28</c:v>
                </c:pt>
                <c:pt idx="10">
                  <c:v>30.5</c:v>
                </c:pt>
                <c:pt idx="11">
                  <c:v>33.1</c:v>
                </c:pt>
                <c:pt idx="12">
                  <c:v>35.700000000000003</c:v>
                </c:pt>
                <c:pt idx="13">
                  <c:v>38.5</c:v>
                </c:pt>
                <c:pt idx="14">
                  <c:v>40.700000000000003</c:v>
                </c:pt>
              </c:numCache>
            </c:numRef>
          </c:xVal>
          <c:yVal>
            <c:numRef>
              <c:f>Sheet1!$C$2:$C$18</c:f>
              <c:numCache>
                <c:formatCode>General</c:formatCode>
                <c:ptCount val="17"/>
                <c:pt idx="1">
                  <c:v>1.33</c:v>
                </c:pt>
                <c:pt idx="2">
                  <c:v>1.49</c:v>
                </c:pt>
                <c:pt idx="3">
                  <c:v>1.6700000000000004</c:v>
                </c:pt>
                <c:pt idx="4">
                  <c:v>1.76</c:v>
                </c:pt>
                <c:pt idx="5">
                  <c:v>2.13</c:v>
                </c:pt>
                <c:pt idx="6">
                  <c:v>2.4</c:v>
                </c:pt>
                <c:pt idx="7">
                  <c:v>2.71</c:v>
                </c:pt>
                <c:pt idx="8">
                  <c:v>2.8499999999999992</c:v>
                </c:pt>
                <c:pt idx="9">
                  <c:v>3.16</c:v>
                </c:pt>
                <c:pt idx="10">
                  <c:v>3.4</c:v>
                </c:pt>
                <c:pt idx="11">
                  <c:v>3.73</c:v>
                </c:pt>
                <c:pt idx="12">
                  <c:v>3.9499999999999997</c:v>
                </c:pt>
                <c:pt idx="13">
                  <c:v>4.1899999999999995</c:v>
                </c:pt>
              </c:numCache>
            </c:numRef>
          </c:yVal>
        </c:ser>
        <c:ser>
          <c:idx val="2"/>
          <c:order val="2"/>
          <c:tx>
            <c:v>Conductivity RTD Pt1000</c:v>
          </c:tx>
          <c:spPr>
            <a:ln w="28575">
              <a:noFill/>
            </a:ln>
          </c:spPr>
          <c:trendline>
            <c:trendlineType val="linear"/>
            <c:forward val="5"/>
            <c:backward val="5"/>
            <c:dispRSqr val="1"/>
            <c:dispEq val="1"/>
            <c:trendlineLbl>
              <c:layout>
                <c:manualLayout>
                  <c:x val="3.0879644379712651E-2"/>
                  <c:y val="0.13631359687713529"/>
                </c:manualLayout>
              </c:layout>
              <c:numFmt formatCode="General" sourceLinked="0"/>
            </c:trendlineLbl>
          </c:trendline>
          <c:xVal>
            <c:numRef>
              <c:f>Sheet1!$A$2:$A$18</c:f>
              <c:numCache>
                <c:formatCode>General</c:formatCode>
                <c:ptCount val="17"/>
                <c:pt idx="1">
                  <c:v>8</c:v>
                </c:pt>
                <c:pt idx="2">
                  <c:v>9.8000000000000007</c:v>
                </c:pt>
                <c:pt idx="3">
                  <c:v>11.6</c:v>
                </c:pt>
                <c:pt idx="4">
                  <c:v>13</c:v>
                </c:pt>
                <c:pt idx="5">
                  <c:v>17</c:v>
                </c:pt>
                <c:pt idx="6">
                  <c:v>20</c:v>
                </c:pt>
                <c:pt idx="7">
                  <c:v>23</c:v>
                </c:pt>
                <c:pt idx="8">
                  <c:v>25.2</c:v>
                </c:pt>
                <c:pt idx="9">
                  <c:v>28</c:v>
                </c:pt>
                <c:pt idx="10">
                  <c:v>30.5</c:v>
                </c:pt>
                <c:pt idx="11">
                  <c:v>33.1</c:v>
                </c:pt>
                <c:pt idx="12">
                  <c:v>35.700000000000003</c:v>
                </c:pt>
                <c:pt idx="13">
                  <c:v>38.5</c:v>
                </c:pt>
                <c:pt idx="14">
                  <c:v>40.700000000000003</c:v>
                </c:pt>
              </c:numCache>
            </c:numRef>
          </c:xVal>
          <c:yVal>
            <c:numRef>
              <c:f>Sheet1!$D$2:$D$18</c:f>
              <c:numCache>
                <c:formatCode>General</c:formatCode>
                <c:ptCount val="17"/>
                <c:pt idx="1">
                  <c:v>0.28000000000000008</c:v>
                </c:pt>
                <c:pt idx="2">
                  <c:v>0.34</c:v>
                </c:pt>
                <c:pt idx="3">
                  <c:v>0.52</c:v>
                </c:pt>
                <c:pt idx="4">
                  <c:v>0.7300000000000002</c:v>
                </c:pt>
                <c:pt idx="5">
                  <c:v>0.95000000000000018</c:v>
                </c:pt>
                <c:pt idx="6">
                  <c:v>1.1599999999999995</c:v>
                </c:pt>
                <c:pt idx="7">
                  <c:v>1.43</c:v>
                </c:pt>
                <c:pt idx="8">
                  <c:v>1.61</c:v>
                </c:pt>
                <c:pt idx="9">
                  <c:v>1.87</c:v>
                </c:pt>
                <c:pt idx="10">
                  <c:v>2.06</c:v>
                </c:pt>
                <c:pt idx="11">
                  <c:v>2.3099999999999992</c:v>
                </c:pt>
                <c:pt idx="12">
                  <c:v>2.5099999999999998</c:v>
                </c:pt>
                <c:pt idx="13">
                  <c:v>2.72</c:v>
                </c:pt>
                <c:pt idx="14">
                  <c:v>2.94</c:v>
                </c:pt>
              </c:numCache>
            </c:numRef>
          </c:yVal>
        </c:ser>
        <c:axId val="100213120"/>
        <c:axId val="100214656"/>
      </c:scatterChart>
      <c:valAx>
        <c:axId val="100213120"/>
        <c:scaling>
          <c:orientation val="minMax"/>
        </c:scaling>
        <c:axPos val="b"/>
        <c:numFmt formatCode="General" sourceLinked="1"/>
        <c:tickLblPos val="nextTo"/>
        <c:crossAx val="100214656"/>
        <c:crosses val="autoZero"/>
        <c:crossBetween val="midCat"/>
      </c:valAx>
      <c:valAx>
        <c:axId val="100214656"/>
        <c:scaling>
          <c:orientation val="minMax"/>
        </c:scaling>
        <c:axPos val="l"/>
        <c:majorGridlines/>
        <c:numFmt formatCode="General" sourceLinked="1"/>
        <c:tickLblPos val="nextTo"/>
        <c:crossAx val="100213120"/>
        <c:crosses val="autoZero"/>
        <c:crossBetween val="midCat"/>
      </c:valAx>
    </c:plotArea>
    <c:legend>
      <c:legendPos val="r"/>
      <c:legendEntry>
        <c:idx val="3"/>
        <c:delete val="1"/>
      </c:legendEntry>
      <c:legendEntry>
        <c:idx val="4"/>
        <c:delete val="1"/>
      </c:legendEntry>
      <c:legendEntry>
        <c:idx val="5"/>
        <c:delete val="1"/>
      </c:legendEntry>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spPr>
            <a:ln w="28575">
              <a:noFill/>
            </a:ln>
          </c:spPr>
          <c:trendline>
            <c:trendlineType val="linear"/>
            <c:dispRSqr val="1"/>
            <c:dispEq val="1"/>
            <c:trendlineLbl>
              <c:layout>
                <c:manualLayout>
                  <c:x val="-0.22317867046280232"/>
                  <c:y val="0.12831985814105676"/>
                </c:manualLayout>
              </c:layout>
              <c:numFmt formatCode="General" sourceLinked="0"/>
            </c:trendlineLbl>
          </c:trendline>
          <c:xVal>
            <c:numRef>
              <c:f>Sheet1!$A$1:$A$20</c:f>
              <c:numCache>
                <c:formatCode>General</c:formatCode>
                <c:ptCount val="20"/>
                <c:pt idx="0">
                  <c:v>7.5</c:v>
                </c:pt>
                <c:pt idx="1">
                  <c:v>9</c:v>
                </c:pt>
                <c:pt idx="2">
                  <c:v>11.8</c:v>
                </c:pt>
                <c:pt idx="3">
                  <c:v>14.7</c:v>
                </c:pt>
                <c:pt idx="4">
                  <c:v>17.2</c:v>
                </c:pt>
                <c:pt idx="5">
                  <c:v>19.5</c:v>
                </c:pt>
                <c:pt idx="6">
                  <c:v>25</c:v>
                </c:pt>
                <c:pt idx="7">
                  <c:v>27.5</c:v>
                </c:pt>
                <c:pt idx="8">
                  <c:v>30</c:v>
                </c:pt>
                <c:pt idx="9">
                  <c:v>32.700000000000003</c:v>
                </c:pt>
                <c:pt idx="10">
                  <c:v>34.800000000000011</c:v>
                </c:pt>
                <c:pt idx="11">
                  <c:v>38</c:v>
                </c:pt>
                <c:pt idx="12">
                  <c:v>40.5</c:v>
                </c:pt>
                <c:pt idx="13">
                  <c:v>43.5</c:v>
                </c:pt>
                <c:pt idx="14">
                  <c:v>45.6</c:v>
                </c:pt>
                <c:pt idx="15">
                  <c:v>48.2</c:v>
                </c:pt>
                <c:pt idx="16">
                  <c:v>50.9</c:v>
                </c:pt>
                <c:pt idx="17">
                  <c:v>53.4</c:v>
                </c:pt>
                <c:pt idx="18">
                  <c:v>58</c:v>
                </c:pt>
                <c:pt idx="19">
                  <c:v>61.1</c:v>
                </c:pt>
              </c:numCache>
            </c:numRef>
          </c:xVal>
          <c:yVal>
            <c:numRef>
              <c:f>Sheet1!$B$1:$B$20</c:f>
              <c:numCache>
                <c:formatCode>General</c:formatCode>
                <c:ptCount val="20"/>
                <c:pt idx="0">
                  <c:v>0.93230000000000002</c:v>
                </c:pt>
                <c:pt idx="1">
                  <c:v>1.0655999999999999</c:v>
                </c:pt>
                <c:pt idx="2">
                  <c:v>1.2851999999999997</c:v>
                </c:pt>
                <c:pt idx="3">
                  <c:v>1.5574999999999999</c:v>
                </c:pt>
                <c:pt idx="4">
                  <c:v>1.7722</c:v>
                </c:pt>
                <c:pt idx="5">
                  <c:v>1.9680000000000002</c:v>
                </c:pt>
                <c:pt idx="6">
                  <c:v>2.4344999999999994</c:v>
                </c:pt>
                <c:pt idx="7">
                  <c:v>2.6516999999999995</c:v>
                </c:pt>
                <c:pt idx="8">
                  <c:v>2.8651999999999997</c:v>
                </c:pt>
                <c:pt idx="9">
                  <c:v>3.1547000000000001</c:v>
                </c:pt>
                <c:pt idx="10">
                  <c:v>3.3097999999999996</c:v>
                </c:pt>
                <c:pt idx="11">
                  <c:v>3.5872000000000002</c:v>
                </c:pt>
                <c:pt idx="12">
                  <c:v>3.8425999999999996</c:v>
                </c:pt>
                <c:pt idx="13">
                  <c:v>4.0827</c:v>
                </c:pt>
                <c:pt idx="14">
                  <c:v>4.2506000000000004</c:v>
                </c:pt>
                <c:pt idx="15">
                  <c:v>4.4811000000000005</c:v>
                </c:pt>
                <c:pt idx="16">
                  <c:v>4.7560000000000002</c:v>
                </c:pt>
                <c:pt idx="17">
                  <c:v>4.9332000000000011</c:v>
                </c:pt>
                <c:pt idx="18">
                  <c:v>5.4109999999999996</c:v>
                </c:pt>
                <c:pt idx="19">
                  <c:v>5.6406000000000001</c:v>
                </c:pt>
              </c:numCache>
            </c:numRef>
          </c:yVal>
        </c:ser>
        <c:axId val="100228096"/>
        <c:axId val="100254464"/>
      </c:scatterChart>
      <c:valAx>
        <c:axId val="100228096"/>
        <c:scaling>
          <c:orientation val="minMax"/>
        </c:scaling>
        <c:axPos val="b"/>
        <c:numFmt formatCode="General" sourceLinked="1"/>
        <c:tickLblPos val="nextTo"/>
        <c:crossAx val="100254464"/>
        <c:crosses val="autoZero"/>
        <c:crossBetween val="midCat"/>
      </c:valAx>
      <c:valAx>
        <c:axId val="100254464"/>
        <c:scaling>
          <c:orientation val="minMax"/>
        </c:scaling>
        <c:axPos val="l"/>
        <c:majorGridlines/>
        <c:numFmt formatCode="General" sourceLinked="1"/>
        <c:tickLblPos val="nextTo"/>
        <c:crossAx val="100228096"/>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spPr>
            <a:ln w="28575">
              <a:noFill/>
            </a:ln>
          </c:spPr>
          <c:trendline>
            <c:trendlineType val="linear"/>
            <c:dispRSqr val="1"/>
            <c:dispEq val="1"/>
            <c:trendlineLbl>
              <c:layout/>
              <c:numFmt formatCode="General" sourceLinked="0"/>
            </c:trendlineLbl>
          </c:trendline>
          <c:xVal>
            <c:numRef>
              <c:f>Sheet1!$A$2:$A$22</c:f>
              <c:numCache>
                <c:formatCode>General</c:formatCode>
                <c:ptCount val="21"/>
                <c:pt idx="0">
                  <c:v>8.5</c:v>
                </c:pt>
                <c:pt idx="1">
                  <c:v>10</c:v>
                </c:pt>
                <c:pt idx="2">
                  <c:v>12</c:v>
                </c:pt>
                <c:pt idx="3">
                  <c:v>15.2</c:v>
                </c:pt>
                <c:pt idx="4">
                  <c:v>16.899999999999999</c:v>
                </c:pt>
                <c:pt idx="5">
                  <c:v>19.399999999999999</c:v>
                </c:pt>
                <c:pt idx="6">
                  <c:v>22.2</c:v>
                </c:pt>
                <c:pt idx="7">
                  <c:v>25</c:v>
                </c:pt>
                <c:pt idx="8">
                  <c:v>27.5</c:v>
                </c:pt>
                <c:pt idx="9">
                  <c:v>30</c:v>
                </c:pt>
                <c:pt idx="10">
                  <c:v>32.700000000000003</c:v>
                </c:pt>
                <c:pt idx="11">
                  <c:v>35</c:v>
                </c:pt>
                <c:pt idx="12">
                  <c:v>38.1</c:v>
                </c:pt>
                <c:pt idx="13">
                  <c:v>40</c:v>
                </c:pt>
                <c:pt idx="14">
                  <c:v>42.8</c:v>
                </c:pt>
                <c:pt idx="15">
                  <c:v>45.3</c:v>
                </c:pt>
                <c:pt idx="16">
                  <c:v>48.5</c:v>
                </c:pt>
                <c:pt idx="17">
                  <c:v>50</c:v>
                </c:pt>
                <c:pt idx="18">
                  <c:v>53.2</c:v>
                </c:pt>
                <c:pt idx="19">
                  <c:v>55.4</c:v>
                </c:pt>
                <c:pt idx="20">
                  <c:v>60.7</c:v>
                </c:pt>
              </c:numCache>
            </c:numRef>
          </c:xVal>
          <c:yVal>
            <c:numRef>
              <c:f>Sheet1!$B$2:$B$22</c:f>
              <c:numCache>
                <c:formatCode>General</c:formatCode>
                <c:ptCount val="21"/>
                <c:pt idx="0">
                  <c:v>1.0015000000000001</c:v>
                </c:pt>
                <c:pt idx="1">
                  <c:v>1.1423000000000001</c:v>
                </c:pt>
                <c:pt idx="2">
                  <c:v>1.3442000000000001</c:v>
                </c:pt>
                <c:pt idx="3">
                  <c:v>1.6176999999999999</c:v>
                </c:pt>
                <c:pt idx="4">
                  <c:v>1.7494000000000001</c:v>
                </c:pt>
                <c:pt idx="5">
                  <c:v>1.9581</c:v>
                </c:pt>
                <c:pt idx="6">
                  <c:v>2.1943999999999999</c:v>
                </c:pt>
                <c:pt idx="7">
                  <c:v>2.4416000000000002</c:v>
                </c:pt>
                <c:pt idx="8">
                  <c:v>2.6573000000000002</c:v>
                </c:pt>
                <c:pt idx="9">
                  <c:v>2.8536999999999999</c:v>
                </c:pt>
                <c:pt idx="10">
                  <c:v>3.1053999999999999</c:v>
                </c:pt>
                <c:pt idx="11">
                  <c:v>3.2955000000000001</c:v>
                </c:pt>
                <c:pt idx="12">
                  <c:v>3.5846</c:v>
                </c:pt>
                <c:pt idx="13">
                  <c:v>3.7452000000000001</c:v>
                </c:pt>
                <c:pt idx="14">
                  <c:v>3.9561000000000002</c:v>
                </c:pt>
                <c:pt idx="15">
                  <c:v>4.2164999999999999</c:v>
                </c:pt>
                <c:pt idx="16">
                  <c:v>4.4935</c:v>
                </c:pt>
                <c:pt idx="17">
                  <c:v>4.6211000000000002</c:v>
                </c:pt>
                <c:pt idx="18">
                  <c:v>4.9253999999999998</c:v>
                </c:pt>
                <c:pt idx="19">
                  <c:v>5.1013000000000002</c:v>
                </c:pt>
                <c:pt idx="20">
                  <c:v>5.5970000000000004</c:v>
                </c:pt>
              </c:numCache>
            </c:numRef>
          </c:yVal>
        </c:ser>
        <c:axId val="82330368"/>
        <c:axId val="82331904"/>
      </c:scatterChart>
      <c:valAx>
        <c:axId val="82330368"/>
        <c:scaling>
          <c:orientation val="minMax"/>
        </c:scaling>
        <c:axPos val="b"/>
        <c:numFmt formatCode="General" sourceLinked="1"/>
        <c:tickLblPos val="nextTo"/>
        <c:crossAx val="82331904"/>
        <c:crosses val="autoZero"/>
        <c:crossBetween val="midCat"/>
      </c:valAx>
      <c:valAx>
        <c:axId val="82331904"/>
        <c:scaling>
          <c:orientation val="minMax"/>
        </c:scaling>
        <c:axPos val="l"/>
        <c:majorGridlines/>
        <c:numFmt formatCode="General" sourceLinked="1"/>
        <c:tickLblPos val="nextTo"/>
        <c:crossAx val="8233036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4888</TotalTime>
  <Pages>9</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dc:creator>
  <cp:keywords/>
  <dc:description/>
  <cp:lastModifiedBy>AUG</cp:lastModifiedBy>
  <cp:revision>50</cp:revision>
  <dcterms:created xsi:type="dcterms:W3CDTF">2013-06-11T20:05:00Z</dcterms:created>
  <dcterms:modified xsi:type="dcterms:W3CDTF">2013-08-01T20:25:00Z</dcterms:modified>
</cp:coreProperties>
</file>