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223"/>
        <w:gridCol w:w="3095"/>
      </w:tblGrid>
      <w:tr>
        <w:tc>
          <w:tcPr>
            <w:tcW w:type="dxa" w:w="7223"/>
            <w:tcMar>
              <w:top w:type="dxa" w:w="40"/>
              <w:left w:type="dxa" w:w="0"/>
              <w:bottom w:type="dxa" w:w="40"/>
              <w:right w:type="dxa" w:w="90"/>
            </w:tcMar>
            <w:vAlign w:val="top"/>
          </w:tcPr>
          <w:p>
            <w:pPr>
              <w:spacing w:after="20" w:before="0" w:line="252" w:lineRule="auto"/>
            </w:pPr>
            <w:r>
              <w:rPr>
                <w:rFonts w:ascii="Arial" w:cs="Arial" w:eastAsia="Arial" w:hAnsi="Arial"/>
                <w:b/>
                <w:bCs/>
                <w:color w:val="9A6400"/>
                <w:sz w:val="15"/>
                <w:szCs w:val="15"/>
              </w:rPr>
              <w:t xml:space="preserve">HANDOUT · REFERAT KUNSTEPOCHEN</w:t>
            </w:r>
          </w:p>
          <w:p>
            <w:pPr>
              <w:spacing w:after="0" w:before="0" w:line="240" w:lineRule="auto"/>
            </w:pPr>
            <w:r>
              <w:rPr>
                <w:rFonts w:ascii="Georgia" w:cs="Georgia" w:eastAsia="Georgia" w:hAnsi="Georgia"/>
                <w:b/>
                <w:bCs/>
                <w:color w:val="1A1A1A"/>
                <w:sz w:val="34"/>
                <w:szCs w:val="34"/>
              </w:rPr>
              <w:t xml:space="preserve">Fotorealismus &amp; Hyperrealismus</w:t>
            </w:r>
          </w:p>
        </w:tc>
        <w:tc>
          <w:tcPr>
            <w:tcW w:type="dxa" w:w="3095"/>
            <w:tcMar>
              <w:top w:type="dxa" w:w="40"/>
              <w:left w:type="dxa" w:w="90"/>
              <w:bottom w:type="dxa" w:w="40"/>
              <w:right w:type="dxa" w:w="0"/>
            </w:tcMar>
            <w:vAlign w:val="bottom"/>
          </w:tcPr>
          <w:p>
            <w:pPr>
              <w:spacing w:after="40" w:before="0" w:line="252" w:lineRule="auto"/>
              <w:jc w:val="right"/>
            </w:pPr>
            <w:r>
              <w:rPr>
                <w:rFonts w:ascii="Arial" w:cs="Arial" w:eastAsia="Arial" w:hAnsi="Arial"/>
                <w:color w:val="555555"/>
                <w:sz w:val="17"/>
                <w:szCs w:val="17"/>
              </w:rPr>
              <w:t xml:space="preserve">Referat von [Vorname Nachname]</w:t>
            </w:r>
          </w:p>
          <w:p>
            <w:pPr>
              <w:spacing w:after="0" w:before="0" w:line="252" w:lineRule="auto"/>
              <w:jc w:val="right"/>
            </w:pPr>
            <w:r>
              <w:rPr>
                <w:rFonts w:ascii="Arial" w:cs="Arial" w:eastAsia="Arial" w:hAnsi="Arial"/>
                <w:color w:val="555555"/>
                <w:sz w:val="17"/>
                <w:szCs w:val="17"/>
              </w:rPr>
              <w:t xml:space="preserve">[Kurs] · [Datum]</w:t>
            </w:r>
          </w:p>
        </w:tc>
      </w:tr>
    </w:tbl>
    <w:p>
      <w:pPr>
        <w:spacing w:after="0" w:before="60" w:line="252" w:lineRule="auto"/>
      </w:pPr>
      <w:r>
        <w:rPr>
          <w:rFonts w:ascii="Arial" w:cs="Arial" w:eastAsia="Arial" w:hAnsi="Arial"/>
          <w:i/>
          <w:iCs/>
          <w:color w:val="555555"/>
          <w:sz w:val="18"/>
          <w:szCs w:val="18"/>
        </w:rPr>
        <w:t xml:space="preserve">Leitfrage: Wirklicher als die Wirklichkeit? – Malerei und Skulptur, die man für Fotos oder echte Menschen halten kann.</w:t>
      </w:r>
    </w:p>
    <w:p>
      <w:pPr>
        <w:keepNext/>
        <w:pBdr>
          <w:bottom w:val="single" w:color="BFBFBF" w:sz="4" w:space="2"/>
        </w:pBdr>
        <w:spacing w:after="70" w:before="150"/>
      </w:pPr>
      <w:r>
        <w:rPr>
          <w:rFonts w:ascii="Georgia" w:cs="Georgia" w:eastAsia="Georgia" w:hAnsi="Georgia"/>
          <w:b/>
          <w:bCs/>
          <w:color w:val="9A6400"/>
          <w:sz w:val="24"/>
          <w:szCs w:val="24"/>
        </w:rPr>
        <w:t xml:space="preserve">1  </w:t>
      </w:r>
      <w:r>
        <w:rPr>
          <w:rFonts w:ascii="Georgia" w:cs="Georgia" w:eastAsia="Georgia" w:hAnsi="Georgia"/>
          <w:b/>
          <w:bCs/>
          <w:color w:val="1A1A1A"/>
          <w:sz w:val="24"/>
          <w:szCs w:val="24"/>
        </w:rPr>
        <w:t xml:space="preserve">Zeitliche Einordnung und Entwicklung</w:t>
      </w:r>
    </w:p>
    <w:p>
      <w:pPr>
        <w:spacing w:after="70" w:before="0" w:line="252" w:lineRule="auto"/>
      </w:pPr>
      <w:r>
        <w:rPr>
          <w:rFonts w:ascii="Arial" w:cs="Arial" w:eastAsia="Arial" w:hAnsi="Arial"/>
          <w:color w:val="1A1A1A"/>
          <w:sz w:val="20"/>
          <w:szCs w:val="20"/>
        </w:rPr>
        <w:t xml:space="preserve">Der Fotorealismus entsteht Ende der 1960er-Jahre in den USA (v. a. New York und Kalifornien) als Gegenbewegung zum Abstrakten Expressionismus mit seinem sichtbaren Pinselgestus; von der Pop Art übernimmt er den Blick auf Werbung, Konsum und Alltag. „Hyper“ heißt „über“: Hyperrealismus meint heute vor allem Werke, die das Foto übertreffen wollen – schon Hansons Skulpturen ab ca. 1970, besonders aber Künstler seit ca. 2000.</w:t>
      </w:r>
    </w:p>
    <w:tbl>
      <w:tblPr>
        <w:tblW w:type="dxa" w:w="10318"/>
        <w:tblBorders>
          <w:top w:val="single" w:color="BFBFBF" w:sz="4"/>
          <w:left w:val="none" w:color="FFFFFF" w:sz="0"/>
          <w:bottom w:val="single" w:color="BFBFBF" w:sz="4"/>
          <w:right w:val="none" w:color="FFFFFF" w:sz="0"/>
          <w:insideH w:val="single" w:color="BFBFBF" w:sz="4"/>
          <w:insideV w:val="none" w:color="FFFFFF" w:sz="0"/>
        </w:tblBorders>
        <w:tblLayout w:type="fixed"/>
      </w:tblPr>
      <w:tblGrid>
        <w:gridCol w:w="1250"/>
        <w:gridCol w:w="9068"/>
      </w:tblGrid>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555555"/>
                <w:sz w:val="20"/>
                <w:szCs w:val="20"/>
              </w:rPr>
              <w:t xml:space="preserve">1960er</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Pop Art (Warhol, Lichtenstein) macht Werbung und Konsum kunstwürdig – Gegenpol zur Abstraktion.</w:t>
            </w:r>
          </w:p>
        </w:tc>
      </w:tr>
      <w:tr>
        <w:tc>
          <w:tcPr>
            <w:tcW w:type="dxa" w:w="1250"/>
            <w:tcMar>
              <w:top w:type="dxa" w:w="25"/>
              <w:left w:type="dxa" w:w="90"/>
              <w:bottom w:type="dxa" w:w="25"/>
              <w:right w:type="dxa" w:w="90"/>
            </w:tcMar>
            <w:vAlign w:val="top"/>
          </w:tcPr>
          <w:p>
            <w:pPr>
              <w:spacing w:after="0" w:before="0" w:line="252" w:lineRule="auto"/>
            </w:pPr>
            <w:r>
              <w:rPr>
                <w:rFonts w:ascii="Arial" w:cs="Arial" w:eastAsia="Arial" w:hAnsi="Arial"/>
                <w:b/>
                <w:bCs/>
                <w:color w:val="9A6400"/>
                <w:sz w:val="20"/>
                <w:szCs w:val="20"/>
              </w:rPr>
              <w:t xml:space="preserve">1966</w:t>
            </w:r>
          </w:p>
        </w:tc>
        <w:tc>
          <w:tcPr>
            <w:tcW w:type="dxa" w:w="9068"/>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Malcolm Morley malt ein Passagierschiff nach einem Werbebild – ein frühes Schlüsselwerk.</w:t>
            </w:r>
          </w:p>
        </w:tc>
      </w:tr>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9A6400"/>
                <w:sz w:val="20"/>
                <w:szCs w:val="20"/>
              </w:rPr>
              <w:t xml:space="preserve">1969</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Galerist Louis K. Meisel prägt „Photo-Realism“; 1970 erstmals gedruckt (Whitney Museum, New York).</w:t>
            </w:r>
          </w:p>
        </w:tc>
      </w:tr>
      <w:tr>
        <w:tc>
          <w:tcPr>
            <w:tcW w:type="dxa" w:w="1250"/>
            <w:tcMar>
              <w:top w:type="dxa" w:w="25"/>
              <w:left w:type="dxa" w:w="90"/>
              <w:bottom w:type="dxa" w:w="25"/>
              <w:right w:type="dxa" w:w="90"/>
            </w:tcMar>
            <w:vAlign w:val="top"/>
          </w:tcPr>
          <w:p>
            <w:pPr>
              <w:spacing w:after="0" w:before="0" w:line="252" w:lineRule="auto"/>
            </w:pPr>
            <w:r>
              <w:rPr>
                <w:rFonts w:ascii="Arial" w:cs="Arial" w:eastAsia="Arial" w:hAnsi="Arial"/>
                <w:b/>
                <w:bCs/>
                <w:color w:val="9A6400"/>
                <w:sz w:val="20"/>
                <w:szCs w:val="20"/>
              </w:rPr>
              <w:t xml:space="preserve">1972</w:t>
            </w:r>
          </w:p>
        </w:tc>
        <w:tc>
          <w:tcPr>
            <w:tcW w:type="dxa" w:w="9068"/>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documenta 5 in Kassel: erster großer Auftritt in Europa; Meisel formuliert seine fünf Kriterien.</w:t>
            </w:r>
          </w:p>
        </w:tc>
      </w:tr>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1F6F8B"/>
                <w:sz w:val="20"/>
                <w:szCs w:val="20"/>
              </w:rPr>
              <w:t xml:space="preserve">1973</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Ausstellung „Hyperréalisme“ der Galerie Isy Brachot (Brüssel) macht den Begriff bekannt.</w:t>
            </w:r>
          </w:p>
        </w:tc>
      </w:tr>
      <w:tr>
        <w:tc>
          <w:tcPr>
            <w:tcW w:type="dxa" w:w="1250"/>
            <w:tcMar>
              <w:top w:type="dxa" w:w="25"/>
              <w:left w:type="dxa" w:w="90"/>
              <w:bottom w:type="dxa" w:w="25"/>
              <w:right w:type="dxa" w:w="90"/>
            </w:tcMar>
            <w:vAlign w:val="top"/>
          </w:tcPr>
          <w:p>
            <w:pPr>
              <w:spacing w:after="0" w:before="0" w:line="252" w:lineRule="auto"/>
            </w:pPr>
            <w:r>
              <w:rPr>
                <w:rFonts w:ascii="Arial" w:cs="Arial" w:eastAsia="Arial" w:hAnsi="Arial"/>
                <w:b/>
                <w:bCs/>
                <w:color w:val="9A6400"/>
                <w:sz w:val="20"/>
                <w:szCs w:val="20"/>
              </w:rPr>
              <w:t xml:space="preserve">1980</w:t>
            </w:r>
          </w:p>
        </w:tc>
        <w:tc>
          <w:tcPr>
            <w:tcW w:type="dxa" w:w="9068"/>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Meisels Standardwerk „Photo-Realism“ fasst die erste Generation zusammen.</w:t>
            </w:r>
          </w:p>
        </w:tc>
      </w:tr>
      <w:tr>
        <w:tc>
          <w:tcPr>
            <w:tcW w:type="dxa" w:w="1250"/>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b/>
                <w:bCs/>
                <w:color w:val="1F6F8B"/>
                <w:sz w:val="20"/>
                <w:szCs w:val="20"/>
              </w:rPr>
              <w:t xml:space="preserve">ab 2000</w:t>
            </w:r>
          </w:p>
        </w:tc>
        <w:tc>
          <w:tcPr>
            <w:tcW w:type="dxa" w:w="9068"/>
            <w:shd w:fill="F3F3F3" w:color="auto" w:val="clear"/>
            <w:tcMar>
              <w:top w:type="dxa" w:w="25"/>
              <w:left w:type="dxa" w:w="90"/>
              <w:bottom w:type="dxa" w:w="25"/>
              <w:right w:type="dxa" w:w="90"/>
            </w:tcMar>
            <w:vAlign w:val="top"/>
          </w:tcPr>
          <w:p>
            <w:pPr>
              <w:spacing w:after="0" w:before="0" w:line="252" w:lineRule="auto"/>
            </w:pPr>
            <w:r>
              <w:rPr>
                <w:rFonts w:ascii="Arial" w:cs="Arial" w:eastAsia="Arial" w:hAnsi="Arial"/>
                <w:color w:val="1A1A1A"/>
                <w:sz w:val="20"/>
                <w:szCs w:val="20"/>
              </w:rPr>
              <w:t xml:space="preserve">Neuer Aufschwung: Digitalfotografie, extreme Detailtreue, Skulpturen aus Silikon (Ron Mueck).</w:t>
            </w:r>
          </w:p>
        </w:tc>
      </w:tr>
    </w:tbl>
    <w:p>
      <w:pPr>
        <w:keepNext/>
        <w:spacing w:after="50" w:before="110" w:line="252" w:lineRule="auto"/>
      </w:pPr>
      <w:r>
        <w:rPr>
          <w:rFonts w:ascii="Arial" w:cs="Arial" w:eastAsia="Arial" w:hAnsi="Arial"/>
          <w:b/>
          <w:bCs/>
          <w:color w:val="9A6400"/>
          <w:sz w:val="20"/>
          <w:szCs w:val="20"/>
        </w:rPr>
        <w:t xml:space="preserve">Entwicklung: vom Fotorealismus zum Hyperrealismus</w:t>
      </w:r>
    </w:p>
    <w:tbl>
      <w:tblPr>
        <w:tblW w:type="dxa" w:w="10318"/>
        <w:tblBorders>
          <w:top w:val="single" w:color="BFBFBF" w:sz="4"/>
          <w:left w:val="none" w:color="FFFFFF" w:sz="0"/>
          <w:bottom w:val="single" w:color="BFBFBF" w:sz="4"/>
          <w:right w:val="none" w:color="FFFFFF" w:sz="0"/>
          <w:insideH w:val="single" w:color="BFBFBF" w:sz="4"/>
          <w:insideV w:val="none" w:color="FFFFFF" w:sz="0"/>
        </w:tblBorders>
        <w:tblLayout w:type="fixed"/>
      </w:tblPr>
      <w:tblGrid>
        <w:gridCol w:w="1900"/>
        <w:gridCol w:w="4209"/>
        <w:gridCol w:w="4209"/>
      </w:tblGrid>
      <w:tr>
        <w:trPr>
          <w:tblHeader/>
        </w:trPr>
        <w:tc>
          <w:tcPr>
            <w:tcW w:type="dxa" w:w="190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4209"/>
            <w:shd w:fill="FDF0CC"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Fotorealismus</w:t>
            </w:r>
            <w:r>
              <w:rPr>
                <w:rFonts w:ascii="Arial" w:cs="Arial" w:eastAsia="Arial" w:hAnsi="Arial"/>
                <w:color w:val="555555"/>
                <w:sz w:val="15"/>
                <w:szCs w:val="15"/>
              </w:rPr>
              <w:t xml:space="preserve">  Kernphase Ende 1960er bis ca. 1980</w:t>
            </w:r>
          </w:p>
        </w:tc>
        <w:tc>
          <w:tcPr>
            <w:tcW w:type="dxa" w:w="4209"/>
            <w:shd w:fill="DDF0F6"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Hyperrealismus</w:t>
            </w:r>
            <w:r>
              <w:rPr>
                <w:rFonts w:ascii="Arial" w:cs="Arial" w:eastAsia="Arial" w:hAnsi="Arial"/>
                <w:color w:val="555555"/>
                <w:sz w:val="15"/>
                <w:szCs w:val="15"/>
              </w:rPr>
              <w:t xml:space="preserve">  Begriff seit 1973 · Skulptur ab ca. 1970 · Aufschwung ab ca. 2000</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55555"/>
                <w:sz w:val="18"/>
                <w:szCs w:val="18"/>
              </w:rPr>
              <w:t xml:space="preserve">Haltung</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kühl, neutral, dokumentarisch – ohne Wertung</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oft emotional, erzählerisch oder gesellschaftskritisch</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55555"/>
                <w:sz w:val="18"/>
                <w:szCs w:val="18"/>
              </w:rPr>
              <w:t xml:space="preserve">Umgang mit dem Foto</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überträgt das Foto genau – teils samt Unschärfe</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will das Foto übertreffen: noch detailreicher, oft größer</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55555"/>
                <w:sz w:val="18"/>
                <w:szCs w:val="18"/>
              </w:rPr>
              <w:t xml:space="preserve">Medien</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Malerei in Acryl und Öl, mit Pinsel oder Airbrush</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Malerei, Zeichnung, Skulptur (Kunstharz, Silikon, Kunsthaar)</w:t>
            </w:r>
          </w:p>
        </w:tc>
      </w:tr>
      <w:tr>
        <w:tc>
          <w:tcPr>
            <w:tcW w:type="dxa" w:w="1900"/>
            <w:tcMar>
              <w:top w:type="dxa" w:w="30"/>
              <w:left w:type="dxa" w:w="90"/>
              <w:bottom w:type="dxa" w:w="30"/>
              <w:right w:type="dxa" w:w="90"/>
            </w:tcMar>
            <w:vAlign w:val="top"/>
          </w:tcPr>
          <w:p>
            <w:pPr>
              <w:spacing w:after="0" w:before="0" w:line="252" w:lineRule="auto"/>
            </w:pPr>
            <w:r>
              <w:rPr>
                <w:rFonts w:ascii="Arial" w:cs="Arial" w:eastAsia="Arial" w:hAnsi="Arial"/>
                <w:b/>
                <w:bCs/>
                <w:color w:val="555555"/>
                <w:sz w:val="18"/>
                <w:szCs w:val="18"/>
              </w:rPr>
              <w:t xml:space="preserve">Motive</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amerikanischer Alltag: Stadt, Autos, Diners, Konsum</w:t>
            </w:r>
          </w:p>
        </w:tc>
        <w:tc>
          <w:tcPr>
            <w:tcW w:type="dxa" w:w="4209"/>
            <w:tcMar>
              <w:top w:type="dxa" w:w="30"/>
              <w:left w:type="dxa" w:w="90"/>
              <w:bottom w:type="dxa" w:w="30"/>
              <w:right w:type="dxa" w:w="90"/>
            </w:tcMar>
            <w:vAlign w:val="top"/>
          </w:tcPr>
          <w:p>
            <w:pPr>
              <w:spacing w:after="0" w:before="0" w:line="252" w:lineRule="auto"/>
            </w:pPr>
            <w:r>
              <w:rPr>
                <w:rFonts w:ascii="Arial" w:cs="Arial" w:eastAsia="Arial" w:hAnsi="Arial"/>
                <w:color w:val="1A1A1A"/>
                <w:sz w:val="18"/>
                <w:szCs w:val="18"/>
              </w:rPr>
              <w:t xml:space="preserve">Menschen, Haut, Wasser, Glas – oft überhöht oder rätselhaft</w:t>
            </w:r>
          </w:p>
        </w:tc>
      </w:tr>
    </w:tbl>
    <w:p>
      <w:pPr>
        <w:keepNext/>
        <w:spacing w:after="40" w:before="110" w:line="252" w:lineRule="auto"/>
      </w:pPr>
      <w:r>
        <w:rPr>
          <w:rFonts w:ascii="Arial" w:cs="Arial" w:eastAsia="Arial" w:hAnsi="Arial"/>
          <w:b/>
          <w:bCs/>
          <w:color w:val="9A6400"/>
          <w:sz w:val="20"/>
          <w:szCs w:val="20"/>
        </w:rPr>
        <w:t xml:space="preserve">Abgrenzung</w:t>
      </w:r>
    </w:p>
    <w:p>
      <w:pPr>
        <w:pStyle w:val="ListParagraph"/>
        <w:numPr>
          <w:ilvl w:val="0"/>
          <w:numId w:val="2"/>
        </w:numPr>
        <w:spacing w:after="30" w:line="256" w:lineRule="auto"/>
      </w:pPr>
      <w:r>
        <w:rPr>
          <w:rFonts w:ascii="Arial" w:cs="Arial" w:eastAsia="Arial" w:hAnsi="Arial"/>
          <w:b/>
          <w:bCs/>
          <w:color w:val="1A1A1A"/>
          <w:sz w:val="20"/>
          <w:szCs w:val="20"/>
        </w:rPr>
        <w:t xml:space="preserve">Realismus (Mitte 19. Jh., z. B. Courbet): </w:t>
      </w:r>
      <w:r>
        <w:rPr>
          <w:rFonts w:ascii="Arial" w:cs="Arial" w:eastAsia="Arial" w:hAnsi="Arial"/>
          <w:color w:val="1A1A1A"/>
          <w:sz w:val="20"/>
          <w:szCs w:val="20"/>
        </w:rPr>
        <w:t xml:space="preserve">zeigt die Wirklichkeit ungeschönt, aber mit sichtbarem Pinselstrich und ohne Fotovorlage.</w:t>
      </w:r>
    </w:p>
    <w:p>
      <w:pPr>
        <w:pStyle w:val="ListParagraph"/>
        <w:numPr>
          <w:ilvl w:val="0"/>
          <w:numId w:val="2"/>
        </w:numPr>
        <w:spacing w:after="30" w:line="256" w:lineRule="auto"/>
      </w:pPr>
      <w:r>
        <w:rPr>
          <w:rFonts w:ascii="Arial" w:cs="Arial" w:eastAsia="Arial" w:hAnsi="Arial"/>
          <w:b/>
          <w:bCs/>
          <w:color w:val="1A1A1A"/>
          <w:sz w:val="20"/>
          <w:szCs w:val="20"/>
        </w:rPr>
        <w:t xml:space="preserve">Pop Art (ab ca. 1960, Warhol, Lichtenstein): </w:t>
      </w:r>
      <w:r>
        <w:rPr>
          <w:rFonts w:ascii="Arial" w:cs="Arial" w:eastAsia="Arial" w:hAnsi="Arial"/>
          <w:color w:val="1A1A1A"/>
          <w:sz w:val="20"/>
          <w:szCs w:val="20"/>
        </w:rPr>
        <w:t xml:space="preserve">zitiert Medienbilder flach und plakativ (Siebdruck, Comic) – keine Illusion.</w:t>
      </w:r>
    </w:p>
    <w:p>
      <w:pPr>
        <w:pStyle w:val="ListParagraph"/>
        <w:numPr>
          <w:ilvl w:val="0"/>
          <w:numId w:val="2"/>
        </w:numPr>
        <w:spacing w:after="30" w:line="256" w:lineRule="auto"/>
      </w:pPr>
      <w:r>
        <w:rPr>
          <w:rFonts w:ascii="Arial" w:cs="Arial" w:eastAsia="Arial" w:hAnsi="Arial"/>
          <w:b/>
          <w:bCs/>
          <w:color w:val="1A1A1A"/>
          <w:sz w:val="20"/>
          <w:szCs w:val="20"/>
        </w:rPr>
        <w:t xml:space="preserve">Fotomalerei (ab 1962, Gerhard Richter): </w:t>
      </w:r>
      <w:r>
        <w:rPr>
          <w:rFonts w:ascii="Arial" w:cs="Arial" w:eastAsia="Arial" w:hAnsi="Arial"/>
          <w:color w:val="1A1A1A"/>
          <w:sz w:val="20"/>
          <w:szCs w:val="20"/>
        </w:rPr>
        <w:t xml:space="preserve">malt nach Fotos, verwischt sie aber bewusst, z. B. „Ema (Akt auf einer Treppe)“, 1966.</w:t>
      </w:r>
    </w:p>
    <w:p>
      <w:pPr>
        <w:keepNext/>
        <w:pBdr>
          <w:bottom w:val="single" w:color="BFBFBF" w:sz="4" w:space="2"/>
        </w:pBdr>
        <w:spacing w:after="70" w:before="150"/>
      </w:pPr>
      <w:r>
        <w:rPr>
          <w:rFonts w:ascii="Georgia" w:cs="Georgia" w:eastAsia="Georgia" w:hAnsi="Georgia"/>
          <w:b/>
          <w:bCs/>
          <w:color w:val="9A6400"/>
          <w:sz w:val="24"/>
          <w:szCs w:val="24"/>
        </w:rPr>
        <w:t xml:space="preserve">2  </w:t>
      </w:r>
      <w:r>
        <w:rPr>
          <w:rFonts w:ascii="Georgia" w:cs="Georgia" w:eastAsia="Georgia" w:hAnsi="Georgia"/>
          <w:b/>
          <w:bCs/>
          <w:color w:val="1A1A1A"/>
          <w:sz w:val="24"/>
          <w:szCs w:val="24"/>
        </w:rPr>
        <w:t xml:space="preserve">Zusammenfassende Merkmale</w:t>
      </w:r>
    </w:p>
    <w:p>
      <w:pPr>
        <w:pStyle w:val="ListParagraph"/>
        <w:numPr>
          <w:ilvl w:val="0"/>
          <w:numId w:val="2"/>
        </w:numPr>
        <w:spacing w:after="30" w:line="256" w:lineRule="auto"/>
      </w:pPr>
      <w:r>
        <w:rPr>
          <w:rFonts w:ascii="Arial" w:cs="Arial" w:eastAsia="Arial" w:hAnsi="Arial"/>
          <w:b/>
          <w:bCs/>
          <w:color w:val="1A1A1A"/>
          <w:sz w:val="20"/>
          <w:szCs w:val="20"/>
        </w:rPr>
        <w:t xml:space="preserve">Foto als Vorlage: </w:t>
      </w:r>
      <w:r>
        <w:rPr>
          <w:rFonts w:ascii="Arial" w:cs="Arial" w:eastAsia="Arial" w:hAnsi="Arial"/>
          <w:color w:val="1A1A1A"/>
          <w:sz w:val="20"/>
          <w:szCs w:val="20"/>
        </w:rPr>
        <w:t xml:space="preserve">Kamera statt Skizzenbuch: Gemalt wird nach Fotos oder Dias, nicht vor dem Motiv (Abb. 1, 2).</w:t>
      </w:r>
    </w:p>
    <w:p>
      <w:pPr>
        <w:pStyle w:val="ListParagraph"/>
        <w:numPr>
          <w:ilvl w:val="0"/>
          <w:numId w:val="2"/>
        </w:numPr>
        <w:spacing w:after="30" w:line="256" w:lineRule="auto"/>
      </w:pPr>
      <w:r>
        <w:rPr>
          <w:rFonts w:ascii="Arial" w:cs="Arial" w:eastAsia="Arial" w:hAnsi="Arial"/>
          <w:b/>
          <w:bCs/>
          <w:color w:val="1A1A1A"/>
          <w:sz w:val="20"/>
          <w:szCs w:val="20"/>
        </w:rPr>
        <w:t xml:space="preserve">Mechanische Übertragung: </w:t>
      </w:r>
      <w:r>
        <w:rPr>
          <w:rFonts w:ascii="Arial" w:cs="Arial" w:eastAsia="Arial" w:hAnsi="Arial"/>
          <w:color w:val="1A1A1A"/>
          <w:sz w:val="20"/>
          <w:szCs w:val="20"/>
        </w:rPr>
        <w:t xml:space="preserve">Das Foto wird mit Rasternetz oder Diaprojektor genau auf die Leinwand übertragen (Abb. 2).</w:t>
      </w:r>
    </w:p>
    <w:p>
      <w:pPr>
        <w:pStyle w:val="ListParagraph"/>
        <w:numPr>
          <w:ilvl w:val="0"/>
          <w:numId w:val="2"/>
        </w:numPr>
        <w:spacing w:after="30" w:line="256" w:lineRule="auto"/>
      </w:pPr>
      <w:r>
        <w:rPr>
          <w:rFonts w:ascii="Arial" w:cs="Arial" w:eastAsia="Arial" w:hAnsi="Arial"/>
          <w:b/>
          <w:bCs/>
          <w:color w:val="1A1A1A"/>
          <w:sz w:val="20"/>
          <w:szCs w:val="20"/>
        </w:rPr>
        <w:t xml:space="preserve">Keine Handschrift: </w:t>
      </w:r>
      <w:r>
        <w:rPr>
          <w:rFonts w:ascii="Arial" w:cs="Arial" w:eastAsia="Arial" w:hAnsi="Arial"/>
          <w:color w:val="1A1A1A"/>
          <w:sz w:val="20"/>
          <w:szCs w:val="20"/>
        </w:rPr>
        <w:t xml:space="preserve">Glatte Oberfläche ohne sichtbare Pinselspuren – mit feinem Pinsel oder Airbrush (Abb. 1, 2).</w:t>
      </w:r>
    </w:p>
    <w:p>
      <w:pPr>
        <w:pStyle w:val="ListParagraph"/>
        <w:numPr>
          <w:ilvl w:val="0"/>
          <w:numId w:val="2"/>
        </w:numPr>
        <w:spacing w:after="30" w:line="256" w:lineRule="auto"/>
      </w:pPr>
      <w:r>
        <w:rPr>
          <w:rFonts w:ascii="Arial" w:cs="Arial" w:eastAsia="Arial" w:hAnsi="Arial"/>
          <w:b/>
          <w:bCs/>
          <w:color w:val="1A1A1A"/>
          <w:sz w:val="20"/>
          <w:szCs w:val="20"/>
        </w:rPr>
        <w:t xml:space="preserve">Fotografischer Blick: </w:t>
      </w:r>
      <w:r>
        <w:rPr>
          <w:rFonts w:ascii="Arial" w:cs="Arial" w:eastAsia="Arial" w:hAnsi="Arial"/>
          <w:color w:val="1A1A1A"/>
          <w:sz w:val="20"/>
          <w:szCs w:val="20"/>
        </w:rPr>
        <w:t xml:space="preserve">Bildausschnitt, Licht und Spiegelungen stammen aus dem Foto (Abb. 1) – Close malt sogar die Unschärfe der Kamera mit (Abb. 2).</w:t>
      </w:r>
    </w:p>
    <w:p>
      <w:pPr>
        <w:pStyle w:val="ListParagraph"/>
        <w:numPr>
          <w:ilvl w:val="0"/>
          <w:numId w:val="2"/>
        </w:numPr>
        <w:spacing w:after="30" w:line="256" w:lineRule="auto"/>
      </w:pPr>
      <w:r>
        <w:rPr>
          <w:rFonts w:ascii="Arial" w:cs="Arial" w:eastAsia="Arial" w:hAnsi="Arial"/>
          <w:b/>
          <w:bCs/>
          <w:color w:val="1A1A1A"/>
          <w:sz w:val="20"/>
          <w:szCs w:val="20"/>
        </w:rPr>
        <w:t xml:space="preserve">Großformat: </w:t>
      </w:r>
      <w:r>
        <w:rPr>
          <w:rFonts w:ascii="Arial" w:cs="Arial" w:eastAsia="Arial" w:hAnsi="Arial"/>
          <w:color w:val="1A1A1A"/>
          <w:sz w:val="20"/>
          <w:szCs w:val="20"/>
        </w:rPr>
        <w:t xml:space="preserve">Oft über 1,5 m groß, manche mehrere Meter; die Fülle an Details überwältigt (Abb. 2: 2,73 m hoch).</w:t>
      </w:r>
    </w:p>
    <w:p>
      <w:pPr>
        <w:pStyle w:val="ListParagraph"/>
        <w:numPr>
          <w:ilvl w:val="0"/>
          <w:numId w:val="2"/>
        </w:numPr>
        <w:spacing w:after="30" w:line="256" w:lineRule="auto"/>
      </w:pPr>
      <w:r>
        <w:rPr>
          <w:rFonts w:ascii="Arial" w:cs="Arial" w:eastAsia="Arial" w:hAnsi="Arial"/>
          <w:b/>
          <w:bCs/>
          <w:color w:val="1A1A1A"/>
          <w:sz w:val="20"/>
          <w:szCs w:val="20"/>
        </w:rPr>
        <w:t xml:space="preserve">Alltag und Neutralität: </w:t>
      </w:r>
      <w:r>
        <w:rPr>
          <w:rFonts w:ascii="Arial" w:cs="Arial" w:eastAsia="Arial" w:hAnsi="Arial"/>
          <w:color w:val="1A1A1A"/>
          <w:sz w:val="20"/>
          <w:szCs w:val="20"/>
        </w:rPr>
        <w:t xml:space="preserve">Banale Motive aus dem Alltag, kühl und ohne erkennbare Wertung dargestellt (Abb. 1).</w:t>
      </w:r>
    </w:p>
    <w:p>
      <w:pPr>
        <w:pStyle w:val="ListParagraph"/>
        <w:numPr>
          <w:ilvl w:val="0"/>
          <w:numId w:val="2"/>
        </w:numPr>
        <w:spacing w:after="30" w:line="256" w:lineRule="auto"/>
      </w:pPr>
      <w:r>
        <w:rPr>
          <w:rFonts w:ascii="Arial" w:cs="Arial" w:eastAsia="Arial" w:hAnsi="Arial"/>
          <w:b/>
          <w:bCs/>
          <w:color w:val="1A1A1A"/>
          <w:sz w:val="20"/>
          <w:szCs w:val="20"/>
        </w:rPr>
        <w:t xml:space="preserve">Im Hyperrealismus zusätzlich: </w:t>
      </w:r>
      <w:r>
        <w:rPr>
          <w:rFonts w:ascii="Arial" w:cs="Arial" w:eastAsia="Arial" w:hAnsi="Arial"/>
          <w:color w:val="1A1A1A"/>
          <w:sz w:val="20"/>
          <w:szCs w:val="20"/>
        </w:rPr>
        <w:t xml:space="preserve">Steigerung über das Foto hinaus, Gefühl, Erzählung oder Kritik; lebensechte Skulpturen (Abb. 3).</w:t>
      </w:r>
    </w:p>
    <w:p>
      <w:pPr>
        <w:spacing w:after="0" w:before="70" w:line="252" w:lineRule="auto"/>
      </w:pPr>
      <w:r>
        <w:rPr>
          <w:rFonts w:ascii="Arial" w:cs="Arial" w:eastAsia="Arial" w:hAnsi="Arial"/>
          <w:b/>
          <w:bCs/>
          <w:color w:val="1A1A1A"/>
          <w:sz w:val="20"/>
          <w:szCs w:val="20"/>
        </w:rPr>
        <w:t xml:space="preserve">Definition nach Louis K. Meisel (1972): </w:t>
      </w:r>
      <w:r>
        <w:rPr>
          <w:rFonts w:ascii="Arial" w:cs="Arial" w:eastAsia="Arial" w:hAnsi="Arial"/>
          <w:color w:val="1A1A1A"/>
          <w:sz w:val="20"/>
          <w:szCs w:val="20"/>
        </w:rPr>
        <w:t xml:space="preserve">Ein Fotorealist (1) nutzt Kamera und Foto, um Informationen zu sammeln, (2) überträgt sie mechanisch oder halbmechanisch auf die Leinwand, (3) hat das technische Können, das Werk fotografisch wirken zu lassen, (4) hat bis 1972 als Fotorealist ausgestellt und (5) mindestens fünf Jahre fotorealistisch gearbeitet.</w:t>
      </w:r>
    </w:p>
    <w:p>
      <w:pPr>
        <w:keepNext/>
        <w:pageBreakBefore/>
        <w:pBdr>
          <w:bottom w:val="single" w:color="BFBFBF" w:sz="4" w:space="2"/>
        </w:pBdr>
        <w:spacing w:after="70" w:before="150"/>
      </w:pPr>
      <w:r>
        <w:rPr>
          <w:rFonts w:ascii="Georgia" w:cs="Georgia" w:eastAsia="Georgia" w:hAnsi="Georgia"/>
          <w:b/>
          <w:bCs/>
          <w:color w:val="9A6400"/>
          <w:sz w:val="24"/>
          <w:szCs w:val="24"/>
        </w:rPr>
        <w:t xml:space="preserve">3  </w:t>
      </w:r>
      <w:r>
        <w:rPr>
          <w:rFonts w:ascii="Georgia" w:cs="Georgia" w:eastAsia="Georgia" w:hAnsi="Georgia"/>
          <w:b/>
          <w:bCs/>
          <w:color w:val="1A1A1A"/>
          <w:sz w:val="24"/>
          <w:szCs w:val="24"/>
        </w:rPr>
        <w:t xml:space="preserve">Motive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9"/>
        <w:gridCol w:w="5159"/>
      </w:tblGrid>
      <w:tr>
        <w:tc>
          <w:tcPr>
            <w:tcW w:type="dxa" w:w="5159"/>
            <w:tcMar>
              <w:top w:type="dxa" w:w="40"/>
              <w:left w:type="dxa" w:w="0"/>
              <w:bottom w:type="dxa" w:w="40"/>
              <w:right w:type="dxa" w:w="90"/>
            </w:tcMar>
            <w:vAlign w:val="top"/>
          </w:tcPr>
          <w:p>
            <w:pPr>
              <w:pStyle w:val="ListParagraph"/>
              <w:numPr>
                <w:ilvl w:val="0"/>
                <w:numId w:val="2"/>
              </w:numPr>
              <w:spacing w:after="30" w:line="256" w:lineRule="auto"/>
            </w:pPr>
            <w:r>
              <w:rPr>
                <w:rFonts w:ascii="Arial" w:cs="Arial" w:eastAsia="Arial" w:hAnsi="Arial"/>
                <w:b/>
                <w:bCs/>
                <w:color w:val="1A1A1A"/>
                <w:sz w:val="20"/>
                <w:szCs w:val="20"/>
              </w:rPr>
              <w:t xml:space="preserve">Stadt und Schaufenster: </w:t>
            </w:r>
            <w:r>
              <w:rPr>
                <w:rFonts w:ascii="Arial" w:cs="Arial" w:eastAsia="Arial" w:hAnsi="Arial"/>
                <w:color w:val="1A1A1A"/>
                <w:sz w:val="20"/>
                <w:szCs w:val="20"/>
              </w:rPr>
              <w:t xml:space="preserve">Spiegelungen, Reklame, Leuchtschrift (Estes, Eddy, Cottingham)</w:t>
            </w:r>
          </w:p>
          <w:p>
            <w:pPr>
              <w:pStyle w:val="ListParagraph"/>
              <w:numPr>
                <w:ilvl w:val="0"/>
                <w:numId w:val="2"/>
              </w:numPr>
              <w:spacing w:after="30" w:line="256" w:lineRule="auto"/>
            </w:pPr>
            <w:r>
              <w:rPr>
                <w:rFonts w:ascii="Arial" w:cs="Arial" w:eastAsia="Arial" w:hAnsi="Arial"/>
                <w:b/>
                <w:bCs/>
                <w:color w:val="1A1A1A"/>
                <w:sz w:val="20"/>
                <w:szCs w:val="20"/>
              </w:rPr>
              <w:t xml:space="preserve">Autos und Wohnwagen: </w:t>
            </w:r>
            <w:r>
              <w:rPr>
                <w:rFonts w:ascii="Arial" w:cs="Arial" w:eastAsia="Arial" w:hAnsi="Arial"/>
                <w:color w:val="1A1A1A"/>
                <w:sz w:val="20"/>
                <w:szCs w:val="20"/>
              </w:rPr>
              <w:t xml:space="preserve">Chrom und Lack als Symbole des American Way of Life (Bechtle, Goings, Blackwell)</w:t>
            </w:r>
          </w:p>
          <w:p>
            <w:pPr>
              <w:pStyle w:val="ListParagraph"/>
              <w:numPr>
                <w:ilvl w:val="0"/>
                <w:numId w:val="2"/>
              </w:numPr>
              <w:spacing w:after="30" w:line="256" w:lineRule="auto"/>
            </w:pPr>
            <w:r>
              <w:rPr>
                <w:rFonts w:ascii="Arial" w:cs="Arial" w:eastAsia="Arial" w:hAnsi="Arial"/>
                <w:b/>
                <w:bCs/>
                <w:color w:val="1A1A1A"/>
                <w:sz w:val="20"/>
                <w:szCs w:val="20"/>
              </w:rPr>
              <w:t xml:space="preserve">Diner und Imbiss: </w:t>
            </w:r>
            <w:r>
              <w:rPr>
                <w:rFonts w:ascii="Arial" w:cs="Arial" w:eastAsia="Arial" w:hAnsi="Arial"/>
                <w:color w:val="1A1A1A"/>
                <w:sz w:val="20"/>
                <w:szCs w:val="20"/>
              </w:rPr>
              <w:t xml:space="preserve">Theken, Ketchup, Kaffeetassen (Goings)</w:t>
            </w:r>
          </w:p>
        </w:tc>
        <w:tc>
          <w:tcPr>
            <w:tcW w:type="dxa" w:w="5159"/>
            <w:tcMar>
              <w:top w:type="dxa" w:w="40"/>
              <w:left w:type="dxa" w:w="90"/>
              <w:bottom w:type="dxa" w:w="40"/>
              <w:right w:type="dxa" w:w="90"/>
            </w:tcMar>
            <w:vAlign w:val="top"/>
          </w:tcPr>
          <w:p>
            <w:pPr>
              <w:pStyle w:val="ListParagraph"/>
              <w:numPr>
                <w:ilvl w:val="0"/>
                <w:numId w:val="2"/>
              </w:numPr>
              <w:spacing w:after="30" w:line="256" w:lineRule="auto"/>
            </w:pPr>
            <w:r>
              <w:rPr>
                <w:rFonts w:ascii="Arial" w:cs="Arial" w:eastAsia="Arial" w:hAnsi="Arial"/>
                <w:b/>
                <w:bCs/>
                <w:color w:val="1A1A1A"/>
                <w:sz w:val="20"/>
                <w:szCs w:val="20"/>
              </w:rPr>
              <w:t xml:space="preserve">Porträts: </w:t>
            </w:r>
            <w:r>
              <w:rPr>
                <w:rFonts w:ascii="Arial" w:cs="Arial" w:eastAsia="Arial" w:hAnsi="Arial"/>
                <w:color w:val="1A1A1A"/>
                <w:sz w:val="20"/>
                <w:szCs w:val="20"/>
              </w:rPr>
              <w:t xml:space="preserve">Gesichter im Riesenformat (Close, Gertsch)</w:t>
            </w:r>
          </w:p>
          <w:p>
            <w:pPr>
              <w:pStyle w:val="ListParagraph"/>
              <w:numPr>
                <w:ilvl w:val="0"/>
                <w:numId w:val="2"/>
              </w:numPr>
              <w:spacing w:after="30" w:line="256" w:lineRule="auto"/>
            </w:pPr>
            <w:r>
              <w:rPr>
                <w:rFonts w:ascii="Arial" w:cs="Arial" w:eastAsia="Arial" w:hAnsi="Arial"/>
                <w:b/>
                <w:bCs/>
                <w:color w:val="1A1A1A"/>
                <w:sz w:val="20"/>
                <w:szCs w:val="20"/>
              </w:rPr>
              <w:t xml:space="preserve">Konsum und Stillleben: </w:t>
            </w:r>
            <w:r>
              <w:rPr>
                <w:rFonts w:ascii="Arial" w:cs="Arial" w:eastAsia="Arial" w:hAnsi="Arial"/>
                <w:color w:val="1A1A1A"/>
                <w:sz w:val="20"/>
                <w:szCs w:val="20"/>
              </w:rPr>
              <w:t xml:space="preserve">Kaugummiautomaten, Spielzeug, Vanitas-Symbole (Bell, Flack)</w:t>
            </w:r>
          </w:p>
          <w:p>
            <w:pPr>
              <w:pStyle w:val="ListParagraph"/>
              <w:numPr>
                <w:ilvl w:val="0"/>
                <w:numId w:val="2"/>
              </w:numPr>
              <w:spacing w:after="30" w:line="256" w:lineRule="auto"/>
            </w:pPr>
            <w:r>
              <w:rPr>
                <w:rFonts w:ascii="Arial" w:cs="Arial" w:eastAsia="Arial" w:hAnsi="Arial"/>
                <w:b/>
                <w:bCs/>
                <w:color w:val="1A1A1A"/>
                <w:sz w:val="20"/>
                <w:szCs w:val="20"/>
              </w:rPr>
              <w:t xml:space="preserve">Mensch und Körper: </w:t>
            </w:r>
            <w:r>
              <w:rPr>
                <w:rFonts w:ascii="Arial" w:cs="Arial" w:eastAsia="Arial" w:hAnsi="Arial"/>
                <w:color w:val="1A1A1A"/>
                <w:sz w:val="20"/>
                <w:szCs w:val="20"/>
              </w:rPr>
              <w:t xml:space="preserve">lebensechte Figuren, Haut, Wasser (Hanson, Mueck)</w:t>
            </w:r>
          </w:p>
        </w:tc>
      </w:tr>
    </w:tbl>
    <w:p>
      <w:pPr>
        <w:keepNext/>
        <w:pBdr>
          <w:bottom w:val="single" w:color="BFBFBF" w:sz="4" w:space="2"/>
        </w:pBdr>
        <w:spacing w:after="70" w:before="150"/>
      </w:pPr>
      <w:r>
        <w:rPr>
          <w:rFonts w:ascii="Georgia" w:cs="Georgia" w:eastAsia="Georgia" w:hAnsi="Georgia"/>
          <w:b/>
          <w:bCs/>
          <w:color w:val="9A6400"/>
          <w:sz w:val="24"/>
          <w:szCs w:val="24"/>
        </w:rPr>
        <w:t xml:space="preserve">4  </w:t>
      </w:r>
      <w:r>
        <w:rPr>
          <w:rFonts w:ascii="Georgia" w:cs="Georgia" w:eastAsia="Georgia" w:hAnsi="Georgia"/>
          <w:b/>
          <w:bCs/>
          <w:color w:val="1A1A1A"/>
          <w:sz w:val="24"/>
          <w:szCs w:val="24"/>
        </w:rPr>
        <w:t xml:space="preserve">Hauptvertreter</w:t>
      </w:r>
    </w:p>
    <w:tbl>
      <w:tblPr>
        <w:tblW w:type="dxa" w:w="10318"/>
        <w:tblBorders>
          <w:top w:val="single" w:color="BFBFBF" w:sz="4"/>
          <w:left w:val="none" w:color="FFFFFF" w:sz="0"/>
          <w:bottom w:val="single" w:color="BFBFBF" w:sz="4"/>
          <w:right w:val="none" w:color="FFFFFF" w:sz="0"/>
          <w:insideH w:val="single" w:color="BFBFBF" w:sz="4"/>
          <w:insideV w:val="none" w:color="FFFFFF" w:sz="0"/>
        </w:tblBorders>
        <w:tblLayout w:type="fixed"/>
      </w:tblPr>
      <w:tblGrid>
        <w:gridCol w:w="5099"/>
        <w:gridCol w:w="120"/>
        <w:gridCol w:w="5099"/>
      </w:tblGrid>
      <w:tr>
        <w:tc>
          <w:tcPr>
            <w:tcW w:type="dxa" w:w="5099"/>
            <w:shd w:fill="FDF0CC"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Fotorealismus</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shd w:fill="DDF0F6" w:color="auto" w:val="clear"/>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Hyperrealismus</w:t>
            </w:r>
          </w:p>
        </w:tc>
      </w:tr>
      <w:tr>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Richard Estes</w:t>
            </w:r>
            <w:r>
              <w:rPr>
                <w:rFonts w:ascii="Arial" w:cs="Arial" w:eastAsia="Arial" w:hAnsi="Arial"/>
                <w:color w:val="555555"/>
                <w:sz w:val="16"/>
                <w:szCs w:val="16"/>
              </w:rPr>
              <w:t xml:space="preserve">  * 1932 · USA</w:t>
            </w:r>
          </w:p>
          <w:p>
            <w:pPr>
              <w:spacing w:after="0" w:before="0" w:line="252" w:lineRule="auto"/>
            </w:pPr>
            <w:r>
              <w:rPr>
                <w:rFonts w:ascii="Arial" w:cs="Arial" w:eastAsia="Arial" w:hAnsi="Arial"/>
                <w:color w:val="1A1A1A"/>
                <w:sz w:val="18"/>
                <w:szCs w:val="18"/>
              </w:rPr>
              <w:t xml:space="preserve">Mitbegründer; New Yorker Stadtansichten voller Spiegelungen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Duane Hanson</w:t>
            </w:r>
            <w:r>
              <w:rPr>
                <w:rFonts w:ascii="Arial" w:cs="Arial" w:eastAsia="Arial" w:hAnsi="Arial"/>
                <w:color w:val="555555"/>
                <w:sz w:val="16"/>
                <w:szCs w:val="16"/>
              </w:rPr>
              <w:t xml:space="preserve">  1925–1996 · USA</w:t>
            </w:r>
          </w:p>
          <w:p>
            <w:pPr>
              <w:spacing w:after="0" w:before="0" w:line="252" w:lineRule="auto"/>
            </w:pPr>
            <w:r>
              <w:rPr>
                <w:rFonts w:ascii="Arial" w:cs="Arial" w:eastAsia="Arial" w:hAnsi="Arial"/>
                <w:color w:val="1A1A1A"/>
                <w:sz w:val="18"/>
                <w:szCs w:val="18"/>
              </w:rPr>
              <w:t xml:space="preserve">Lebensgroße Figuren aus Kunstharz mit echter Kleidung</w:t>
            </w:r>
          </w:p>
        </w:tc>
      </w:tr>
      <w:tr>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Chuck Close</w:t>
            </w:r>
            <w:r>
              <w:rPr>
                <w:rFonts w:ascii="Arial" w:cs="Arial" w:eastAsia="Arial" w:hAnsi="Arial"/>
                <w:color w:val="555555"/>
                <w:sz w:val="16"/>
                <w:szCs w:val="16"/>
              </w:rPr>
              <w:t xml:space="preserve">  1940–2021 · USA</w:t>
            </w:r>
          </w:p>
          <w:p>
            <w:pPr>
              <w:spacing w:after="0" w:before="0" w:line="252" w:lineRule="auto"/>
            </w:pPr>
            <w:r>
              <w:rPr>
                <w:rFonts w:ascii="Arial" w:cs="Arial" w:eastAsia="Arial" w:hAnsi="Arial"/>
                <w:color w:val="1A1A1A"/>
                <w:sz w:val="18"/>
                <w:szCs w:val="18"/>
              </w:rPr>
              <w:t xml:space="preserve">Monumentale Porträts, im Raster übertragen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John De Andrea</w:t>
            </w:r>
            <w:r>
              <w:rPr>
                <w:rFonts w:ascii="Arial" w:cs="Arial" w:eastAsia="Arial" w:hAnsi="Arial"/>
                <w:color w:val="555555"/>
                <w:sz w:val="16"/>
                <w:szCs w:val="16"/>
              </w:rPr>
              <w:t xml:space="preserve">  * 1941 · USA</w:t>
            </w:r>
          </w:p>
          <w:p>
            <w:pPr>
              <w:spacing w:after="0" w:before="0" w:line="252" w:lineRule="auto"/>
            </w:pPr>
            <w:r>
              <w:rPr>
                <w:rFonts w:ascii="Arial" w:cs="Arial" w:eastAsia="Arial" w:hAnsi="Arial"/>
                <w:color w:val="1A1A1A"/>
                <w:sz w:val="18"/>
                <w:szCs w:val="18"/>
              </w:rPr>
              <w:t xml:space="preserve">Lebensechte Aktfiguren aus bemaltem Kunststoff</w:t>
            </w:r>
          </w:p>
        </w:tc>
      </w:tr>
      <w:tr>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Ralph Goings</w:t>
            </w:r>
            <w:r>
              <w:rPr>
                <w:rFonts w:ascii="Arial" w:cs="Arial" w:eastAsia="Arial" w:hAnsi="Arial"/>
                <w:color w:val="555555"/>
                <w:sz w:val="16"/>
                <w:szCs w:val="16"/>
              </w:rPr>
              <w:t xml:space="preserve">  1928–2016 · USA</w:t>
            </w:r>
          </w:p>
          <w:p>
            <w:pPr>
              <w:spacing w:after="0" w:before="0" w:line="252" w:lineRule="auto"/>
            </w:pPr>
            <w:r>
              <w:rPr>
                <w:rFonts w:ascii="Arial" w:cs="Arial" w:eastAsia="Arial" w:hAnsi="Arial"/>
                <w:color w:val="1A1A1A"/>
                <w:sz w:val="18"/>
                <w:szCs w:val="18"/>
              </w:rPr>
              <w:t xml:space="preserve">Diners, Pick-ups und Wohnwagen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Ron Mueck</w:t>
            </w:r>
            <w:r>
              <w:rPr>
                <w:rFonts w:ascii="Arial" w:cs="Arial" w:eastAsia="Arial" w:hAnsi="Arial"/>
                <w:color w:val="555555"/>
                <w:sz w:val="16"/>
                <w:szCs w:val="16"/>
              </w:rPr>
              <w:t xml:space="preserve">  * 1958 · Australien, lebt in London</w:t>
            </w:r>
          </w:p>
          <w:p>
            <w:pPr>
              <w:spacing w:after="0" w:before="0" w:line="252" w:lineRule="auto"/>
            </w:pPr>
            <w:r>
              <w:rPr>
                <w:rFonts w:ascii="Arial" w:cs="Arial" w:eastAsia="Arial" w:hAnsi="Arial"/>
                <w:color w:val="1A1A1A"/>
                <w:sz w:val="18"/>
                <w:szCs w:val="18"/>
              </w:rPr>
              <w:t xml:space="preserve">Silikonskulpturen mit verändertem Maßstab</w:t>
            </w:r>
          </w:p>
        </w:tc>
      </w:tr>
      <w:tr>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Audrey Flack</w:t>
            </w:r>
            <w:r>
              <w:rPr>
                <w:rFonts w:ascii="Arial" w:cs="Arial" w:eastAsia="Arial" w:hAnsi="Arial"/>
                <w:color w:val="555555"/>
                <w:sz w:val="16"/>
                <w:szCs w:val="16"/>
              </w:rPr>
              <w:t xml:space="preserve">  1931–2024 · USA</w:t>
            </w:r>
          </w:p>
          <w:p>
            <w:pPr>
              <w:spacing w:after="0" w:before="0" w:line="252" w:lineRule="auto"/>
            </w:pPr>
            <w:r>
              <w:rPr>
                <w:rFonts w:ascii="Arial" w:cs="Arial" w:eastAsia="Arial" w:hAnsi="Arial"/>
                <w:color w:val="1A1A1A"/>
                <w:sz w:val="18"/>
                <w:szCs w:val="18"/>
              </w:rPr>
              <w:t xml:space="preserve">Wichtigste Künstlerin der ersten Generation; Vanitas-Stillleben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Gottfried Helnwein</w:t>
            </w:r>
            <w:r>
              <w:rPr>
                <w:rFonts w:ascii="Arial" w:cs="Arial" w:eastAsia="Arial" w:hAnsi="Arial"/>
                <w:color w:val="555555"/>
                <w:sz w:val="16"/>
                <w:szCs w:val="16"/>
              </w:rPr>
              <w:t xml:space="preserve">  * 1948 · Österreich/Irland</w:t>
            </w:r>
          </w:p>
          <w:p>
            <w:pPr>
              <w:spacing w:after="0" w:before="0" w:line="252" w:lineRule="auto"/>
            </w:pPr>
            <w:r>
              <w:rPr>
                <w:rFonts w:ascii="Arial" w:cs="Arial" w:eastAsia="Arial" w:hAnsi="Arial"/>
                <w:color w:val="1A1A1A"/>
                <w:sz w:val="18"/>
                <w:szCs w:val="18"/>
              </w:rPr>
              <w:t xml:space="preserve">Verletzte Kinder, NS-Geschichte – Malerei als Provokation</w:t>
            </w:r>
          </w:p>
        </w:tc>
      </w:tr>
      <w:tr>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Robert Bechtle</w:t>
            </w:r>
            <w:r>
              <w:rPr>
                <w:rFonts w:ascii="Arial" w:cs="Arial" w:eastAsia="Arial" w:hAnsi="Arial"/>
                <w:color w:val="555555"/>
                <w:sz w:val="16"/>
                <w:szCs w:val="16"/>
              </w:rPr>
              <w:t xml:space="preserve">  1932–2020 · USA</w:t>
            </w:r>
          </w:p>
          <w:p>
            <w:pPr>
              <w:spacing w:after="0" w:before="0" w:line="252" w:lineRule="auto"/>
            </w:pPr>
            <w:r>
              <w:rPr>
                <w:rFonts w:ascii="Arial" w:cs="Arial" w:eastAsia="Arial" w:hAnsi="Arial"/>
                <w:color w:val="1A1A1A"/>
                <w:sz w:val="18"/>
                <w:szCs w:val="18"/>
              </w:rPr>
              <w:t xml:space="preserve">Kalifornische Vorstadt: Autos, Häuser, Familien</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Roberto Bernardi</w:t>
            </w:r>
            <w:r>
              <w:rPr>
                <w:rFonts w:ascii="Arial" w:cs="Arial" w:eastAsia="Arial" w:hAnsi="Arial"/>
                <w:color w:val="555555"/>
                <w:sz w:val="16"/>
                <w:szCs w:val="16"/>
              </w:rPr>
              <w:t xml:space="preserve">  * 1974 · Italien</w:t>
            </w:r>
          </w:p>
          <w:p>
            <w:pPr>
              <w:spacing w:after="0" w:before="0" w:line="252" w:lineRule="auto"/>
            </w:pPr>
            <w:r>
              <w:rPr>
                <w:rFonts w:ascii="Arial" w:cs="Arial" w:eastAsia="Arial" w:hAnsi="Arial"/>
                <w:color w:val="1A1A1A"/>
                <w:sz w:val="18"/>
                <w:szCs w:val="18"/>
              </w:rPr>
              <w:t xml:space="preserve">Glas, Süßes und Spiegelungen in Öl</w:t>
            </w:r>
          </w:p>
        </w:tc>
      </w:tr>
      <w:tr>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Franz Gertsch</w:t>
            </w:r>
            <w:r>
              <w:rPr>
                <w:rFonts w:ascii="Arial" w:cs="Arial" w:eastAsia="Arial" w:hAnsi="Arial"/>
                <w:color w:val="555555"/>
                <w:sz w:val="16"/>
                <w:szCs w:val="16"/>
              </w:rPr>
              <w:t xml:space="preserve">  1930–2022 · Schweiz</w:t>
            </w:r>
          </w:p>
          <w:p>
            <w:pPr>
              <w:spacing w:after="0" w:before="0" w:line="252" w:lineRule="auto"/>
            </w:pPr>
            <w:r>
              <w:rPr>
                <w:rFonts w:ascii="Arial" w:cs="Arial" w:eastAsia="Arial" w:hAnsi="Arial"/>
                <w:color w:val="1A1A1A"/>
                <w:sz w:val="18"/>
                <w:szCs w:val="18"/>
              </w:rPr>
              <w:t xml:space="preserve">Gilt als wichtigster europäischer Fotorealist</w:t>
            </w:r>
          </w:p>
        </w:tc>
        <w:tc>
          <w:tcPr>
            <w:tcW w:type="dxa" w:w="120"/>
            <w:tcMar>
              <w:top w:type="dxa" w:w="40"/>
              <w:left w:type="dxa" w:w="90"/>
              <w:bottom w:type="dxa" w:w="40"/>
              <w:right w:type="dxa" w:w="90"/>
            </w:tcMar>
            <w:vAlign w:val="top"/>
          </w:tcPr>
          <w:p>
            <w:pPr>
              <w:spacing w:after="0" w:before="0" w:line="252" w:lineRule="auto"/>
            </w:pPr>
            <w:r>
              <w:rPr>
                <w:rFonts w:ascii="Arial" w:cs="Arial" w:eastAsia="Arial" w:hAnsi="Arial"/>
                <w:color w:val="1A1A1A"/>
                <w:sz w:val="20"/>
                <w:szCs w:val="20"/>
              </w:rPr>
              <w:t xml:space="preserve"/>
            </w:r>
          </w:p>
        </w:tc>
        <w:tc>
          <w:tcPr>
            <w:tcW w:type="dxa" w:w="5099"/>
            <w:tcMar>
              <w:top w:type="dxa" w:w="40"/>
              <w:left w:type="dxa" w:w="90"/>
              <w:bottom w:type="dxa" w:w="40"/>
              <w:right w:type="dxa" w:w="90"/>
            </w:tcMar>
            <w:vAlign w:val="top"/>
          </w:tcPr>
          <w:p>
            <w:pPr>
              <w:spacing w:after="0" w:before="0" w:line="252" w:lineRule="auto"/>
            </w:pPr>
            <w:r>
              <w:rPr>
                <w:rFonts w:ascii="Arial" w:cs="Arial" w:eastAsia="Arial" w:hAnsi="Arial"/>
                <w:b/>
                <w:bCs/>
                <w:color w:val="1A1A1A"/>
                <w:sz w:val="20"/>
                <w:szCs w:val="20"/>
              </w:rPr>
              <w:t xml:space="preserve">Robin Eley</w:t>
            </w:r>
            <w:r>
              <w:rPr>
                <w:rFonts w:ascii="Arial" w:cs="Arial" w:eastAsia="Arial" w:hAnsi="Arial"/>
                <w:color w:val="555555"/>
                <w:sz w:val="16"/>
                <w:szCs w:val="16"/>
              </w:rPr>
              <w:t xml:space="preserve">  * 1978 · Großbritannien/Australien</w:t>
            </w:r>
          </w:p>
          <w:p>
            <w:pPr>
              <w:spacing w:after="0" w:before="0" w:line="252" w:lineRule="auto"/>
            </w:pPr>
            <w:r>
              <w:rPr>
                <w:rFonts w:ascii="Arial" w:cs="Arial" w:eastAsia="Arial" w:hAnsi="Arial"/>
                <w:color w:val="1A1A1A"/>
                <w:sz w:val="18"/>
                <w:szCs w:val="18"/>
              </w:rPr>
              <w:t xml:space="preserve">Menschen in Plastikfolie – die Folie ist nur gemalt</w:t>
            </w:r>
          </w:p>
        </w:tc>
      </w:tr>
    </w:tbl>
    <w:p>
      <w:pPr>
        <w:keepNext/>
        <w:pBdr>
          <w:bottom w:val="single" w:color="BFBFBF" w:sz="4" w:space="2"/>
        </w:pBdr>
        <w:spacing w:after="70" w:before="150"/>
      </w:pPr>
      <w:r>
        <w:rPr>
          <w:rFonts w:ascii="Georgia" w:cs="Georgia" w:eastAsia="Georgia" w:hAnsi="Georgia"/>
          <w:b/>
          <w:bCs/>
          <w:color w:val="9A6400"/>
          <w:sz w:val="24"/>
          <w:szCs w:val="24"/>
        </w:rPr>
        <w:t xml:space="preserve">5  </w:t>
      </w:r>
      <w:r>
        <w:rPr>
          <w:rFonts w:ascii="Georgia" w:cs="Georgia" w:eastAsia="Georgia" w:hAnsi="Georgia"/>
          <w:b/>
          <w:bCs/>
          <w:color w:val="1A1A1A"/>
          <w:sz w:val="24"/>
          <w:szCs w:val="24"/>
        </w:rPr>
        <w:t xml:space="preserve">Werkbeispiele</w:t>
      </w:r>
    </w:p>
    <w:tbl>
      <w:tblPr>
        <w:tblW w:type="dxa" w:w="1031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40"/>
        <w:gridCol w:w="3212"/>
        <w:gridCol w:w="340"/>
        <w:gridCol w:w="3212"/>
      </w:tblGrid>
      <w:tr>
        <w:tc>
          <w:tcPr>
            <w:tcW w:type="dxa" w:w="3212"/>
            <w:tcMar>
              <w:top w:type="dxa" w:w="40"/>
              <w:left w:type="dxa" w:w="0"/>
              <w:bottom w:type="dxa" w:w="40"/>
              <w:right w:type="dxa" w:w="0"/>
            </w:tcMar>
            <w:vAlign w:val="top"/>
          </w:tcPr>
          <w:tbl>
            <w:tblPr>
              <w:tblW w:type="dxa" w:w="312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22"/>
            </w:tblGrid>
            <w:tr>
              <w:trPr>
                <w:trHeight w:val="2475" w:hRule="exact"/>
              </w:trPr>
              <w:tc>
                <w:tcPr>
                  <w:tcW w:type="dxa" w:w="3122"/>
                  <w:tcMar>
                    <w:top w:type="dxa" w:w="0"/>
                    <w:left w:type="dxa" w:w="0"/>
                    <w:bottom w:type="dxa" w:w="0"/>
                    <w:right w:type="dxa" w:w="0"/>
                  </w:tcMar>
                  <w:vAlign w:val="bottom"/>
                </w:tcPr>
                <w:tbl>
                  <w:tblPr>
                    <w:tblW w:type="dxa" w:w="3122"/>
                    <w:jc w:val="center"/>
                    <w:tblBorders>
                      <w:top w:val="single" w:color="BFBFBF" w:sz="4"/>
                      <w:left w:val="single" w:color="BFBFBF" w:sz="4"/>
                      <w:bottom w:val="single" w:color="BFBFBF" w:sz="4"/>
                      <w:right w:val="single" w:color="BFBFBF" w:sz="4"/>
                      <w:insideH w:val="none" w:color="FFFFFF" w:sz="0"/>
                      <w:insideV w:val="none" w:color="FFFFFF" w:sz="0"/>
                    </w:tblBorders>
                    <w:tblLayout w:type="fixed"/>
                  </w:tblPr>
                  <w:tblGrid>
                    <w:gridCol w:w="3122"/>
                  </w:tblGrid>
                  <w:tr>
                    <w:trPr>
                      <w:trHeight w:val="2173" w:hRule="exact"/>
                    </w:trPr>
                    <w:tc>
                      <w:tcPr>
                        <w:tcW w:type="dxa" w:w="3122"/>
                        <w:shd w:fill="EDEDED" w:color="auto" w:val="clear"/>
                        <w:tcMar>
                          <w:top w:type="dxa" w:w="40"/>
                          <w:left w:type="dxa" w:w="90"/>
                          <w:bottom w:type="dxa" w:w="40"/>
                          <w:right w:type="dxa" w:w="90"/>
                        </w:tcMar>
                        <w:vAlign w:val="center"/>
                      </w:tcPr>
                      <w:p>
                        <w:pPr>
                          <w:spacing w:after="0" w:before="0" w:line="252" w:lineRule="auto"/>
                          <w:jc w:val="center"/>
                        </w:pPr>
                        <w:r>
                          <w:rPr>
                            <w:rFonts w:ascii="Arial" w:cs="Arial" w:eastAsia="Arial" w:hAnsi="Arial"/>
                            <w:b/>
                            <w:bCs/>
                            <w:color w:val="555555"/>
                            <w:sz w:val="14"/>
                            <w:szCs w:val="14"/>
                          </w:rPr>
                          <w:t xml:space="preserve">Abbildung einfügen</w:t>
                        </w:r>
                      </w:p>
                      <w:p>
                        <w:pPr>
                          <w:spacing w:after="0" w:before="0" w:line="252" w:lineRule="auto"/>
                          <w:jc w:val="center"/>
                        </w:pPr>
                        <w:r>
                          <w:rPr>
                            <w:rFonts w:ascii="Arial" w:cs="Arial" w:eastAsia="Arial" w:hAnsi="Arial"/>
                            <w:i/>
                            <w:iCs/>
                            <w:color w:val="555555"/>
                            <w:sz w:val="14"/>
                            <w:szCs w:val="14"/>
                          </w:rPr>
                          <w:t xml:space="preserve">Telephone Booths</w:t>
                        </w:r>
                      </w:p>
                    </w:tc>
                  </w:tr>
                </w:tbl>
                <w:p/>
              </w:tc>
            </w:tr>
          </w:tbl>
          <w:p>
            <w:pPr>
              <w:spacing w:after="60" w:before="0" w:line="120" w:lineRule="auto"/>
            </w:pPr>
            <w:r>
              <w:rPr>
                <w:rFonts w:ascii="Arial" w:cs="Arial" w:eastAsia="Arial" w:hAnsi="Arial"/>
                <w:color w:val="1A1A1A"/>
                <w:sz w:val="20"/>
                <w:szCs w:val="20"/>
              </w:rPr>
              <w:t xml:space="preserve"/>
            </w:r>
          </w:p>
          <w:p>
            <w:pPr>
              <w:spacing w:after="20" w:before="0" w:line="252" w:lineRule="auto"/>
            </w:pPr>
            <w:r>
              <w:rPr>
                <w:rFonts w:ascii="Arial" w:cs="Arial" w:eastAsia="Arial" w:hAnsi="Arial"/>
                <w:b/>
                <w:bCs/>
                <w:color w:val="9A6400"/>
                <w:sz w:val="18"/>
                <w:szCs w:val="18"/>
              </w:rPr>
              <w:t xml:space="preserve">Abb. 1: </w:t>
            </w:r>
            <w:r>
              <w:rPr>
                <w:rFonts w:ascii="Arial" w:cs="Arial" w:eastAsia="Arial" w:hAnsi="Arial"/>
                <w:b/>
                <w:bCs/>
                <w:color w:val="1A1A1A"/>
                <w:sz w:val="18"/>
                <w:szCs w:val="18"/>
              </w:rPr>
              <w:t xml:space="preserve">Richard Estes, </w:t>
            </w:r>
            <w:r>
              <w:rPr>
                <w:rFonts w:ascii="Arial" w:cs="Arial" w:eastAsia="Arial" w:hAnsi="Arial"/>
                <w:b/>
                <w:bCs/>
                <w:i/>
                <w:iCs/>
                <w:color w:val="1A1A1A"/>
                <w:sz w:val="18"/>
                <w:szCs w:val="18"/>
              </w:rPr>
              <w:t xml:space="preserve">Telephone Booths</w:t>
            </w:r>
            <w:r>
              <w:rPr>
                <w:rFonts w:ascii="Arial" w:cs="Arial" w:eastAsia="Arial" w:hAnsi="Arial"/>
                <w:b/>
                <w:bCs/>
                <w:color w:val="1A1A1A"/>
                <w:sz w:val="18"/>
                <w:szCs w:val="18"/>
              </w:rPr>
              <w:t xml:space="preserve">, 1967</w:t>
            </w:r>
          </w:p>
          <w:p>
            <w:pPr>
              <w:spacing w:after="40" w:before="0" w:line="252" w:lineRule="auto"/>
            </w:pPr>
            <w:r>
              <w:rPr>
                <w:rFonts w:ascii="Arial" w:cs="Arial" w:eastAsia="Arial" w:hAnsi="Arial"/>
                <w:color w:val="555555"/>
                <w:sz w:val="15"/>
                <w:szCs w:val="15"/>
              </w:rPr>
              <w:t xml:space="preserve">Acryl auf Masonit, 122 × 175,3 cm; Museo Nacional Thyssen-Bornemisza, Madrid</w:t>
            </w:r>
          </w:p>
          <w:p>
            <w:pPr>
              <w:spacing w:after="0" w:before="0" w:line="252" w:lineRule="auto"/>
            </w:pPr>
            <w:r>
              <w:rPr>
                <w:rFonts w:ascii="Arial" w:cs="Arial" w:eastAsia="Arial" w:hAnsi="Arial"/>
                <w:color w:val="1A1A1A"/>
                <w:sz w:val="18"/>
                <w:szCs w:val="18"/>
              </w:rPr>
              <w:t xml:space="preserve">Telefonzellen in New York: Spiegelungen in Glas und Metall, Nah und Fern gleich scharf (aus mehreren Fotos zusammengesetzt), keine Pinselspur.</w:t>
            </w:r>
          </w:p>
        </w:tc>
        <w:tc>
          <w:tcPr>
            <w:tcW w:type="dxa" w:w="340"/>
            <w:tcMar>
              <w:top w:type="dxa" w:w="40"/>
              <w:left w:type="dxa" w:w="0"/>
              <w:bottom w:type="dxa" w:w="40"/>
              <w:right w:type="dxa" w:w="0"/>
            </w:tcMar>
            <w:vAlign w:val="top"/>
          </w:tcPr>
          <w:p>
            <w:pPr>
              <w:spacing w:after="40" w:before="0" w:line="252" w:lineRule="auto"/>
            </w:pPr>
            <w:r>
              <w:rPr>
                <w:rFonts w:ascii="Arial" w:cs="Arial" w:eastAsia="Arial" w:hAnsi="Arial"/>
                <w:color w:val="1A1A1A"/>
                <w:sz w:val="20"/>
                <w:szCs w:val="20"/>
              </w:rPr>
              <w:t xml:space="preserve"/>
            </w:r>
          </w:p>
        </w:tc>
        <w:tc>
          <w:tcPr>
            <w:tcW w:type="dxa" w:w="3212"/>
            <w:tcMar>
              <w:top w:type="dxa" w:w="40"/>
              <w:left w:type="dxa" w:w="0"/>
              <w:bottom w:type="dxa" w:w="40"/>
              <w:right w:type="dxa" w:w="0"/>
            </w:tcMar>
            <w:vAlign w:val="top"/>
          </w:tcPr>
          <w:tbl>
            <w:tblPr>
              <w:tblW w:type="dxa" w:w="312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22"/>
            </w:tblGrid>
            <w:tr>
              <w:trPr>
                <w:trHeight w:val="2475" w:hRule="exact"/>
              </w:trPr>
              <w:tc>
                <w:tcPr>
                  <w:tcW w:type="dxa" w:w="3122"/>
                  <w:tcMar>
                    <w:top w:type="dxa" w:w="0"/>
                    <w:left w:type="dxa" w:w="0"/>
                    <w:bottom w:type="dxa" w:w="0"/>
                    <w:right w:type="dxa" w:w="0"/>
                  </w:tcMar>
                  <w:vAlign w:val="bottom"/>
                </w:tcPr>
                <w:tbl>
                  <w:tblPr>
                    <w:tblW w:type="dxa" w:w="1923"/>
                    <w:jc w:val="center"/>
                    <w:tblBorders>
                      <w:top w:val="single" w:color="BFBFBF" w:sz="4"/>
                      <w:left w:val="single" w:color="BFBFBF" w:sz="4"/>
                      <w:bottom w:val="single" w:color="BFBFBF" w:sz="4"/>
                      <w:right w:val="single" w:color="BFBFBF" w:sz="4"/>
                      <w:insideH w:val="none" w:color="FFFFFF" w:sz="0"/>
                      <w:insideV w:val="none" w:color="FFFFFF" w:sz="0"/>
                    </w:tblBorders>
                    <w:tblLayout w:type="fixed"/>
                  </w:tblPr>
                  <w:tblGrid>
                    <w:gridCol w:w="1923"/>
                  </w:tblGrid>
                  <w:tr>
                    <w:trPr>
                      <w:trHeight w:val="2475" w:hRule="exact"/>
                    </w:trPr>
                    <w:tc>
                      <w:tcPr>
                        <w:tcW w:type="dxa" w:w="1923"/>
                        <w:shd w:fill="EDEDED" w:color="auto" w:val="clear"/>
                        <w:tcMar>
                          <w:top w:type="dxa" w:w="40"/>
                          <w:left w:type="dxa" w:w="90"/>
                          <w:bottom w:type="dxa" w:w="40"/>
                          <w:right w:type="dxa" w:w="90"/>
                        </w:tcMar>
                        <w:vAlign w:val="center"/>
                      </w:tcPr>
                      <w:p>
                        <w:pPr>
                          <w:spacing w:after="0" w:before="0" w:line="252" w:lineRule="auto"/>
                          <w:jc w:val="center"/>
                        </w:pPr>
                        <w:r>
                          <w:rPr>
                            <w:rFonts w:ascii="Arial" w:cs="Arial" w:eastAsia="Arial" w:hAnsi="Arial"/>
                            <w:b/>
                            <w:bCs/>
                            <w:color w:val="555555"/>
                            <w:sz w:val="14"/>
                            <w:szCs w:val="14"/>
                          </w:rPr>
                          <w:t xml:space="preserve">Abbildung einfügen</w:t>
                        </w:r>
                      </w:p>
                      <w:p>
                        <w:pPr>
                          <w:spacing w:after="0" w:before="0" w:line="252" w:lineRule="auto"/>
                          <w:jc w:val="center"/>
                        </w:pPr>
                        <w:r>
                          <w:rPr>
                            <w:rFonts w:ascii="Arial" w:cs="Arial" w:eastAsia="Arial" w:hAnsi="Arial"/>
                            <w:i/>
                            <w:iCs/>
                            <w:color w:val="555555"/>
                            <w:sz w:val="14"/>
                            <w:szCs w:val="14"/>
                          </w:rPr>
                          <w:t xml:space="preserve">Big Self-Portrait</w:t>
                        </w:r>
                      </w:p>
                    </w:tc>
                  </w:tr>
                </w:tbl>
                <w:p/>
              </w:tc>
            </w:tr>
          </w:tbl>
          <w:p>
            <w:pPr>
              <w:spacing w:after="60" w:before="0" w:line="120" w:lineRule="auto"/>
            </w:pPr>
            <w:r>
              <w:rPr>
                <w:rFonts w:ascii="Arial" w:cs="Arial" w:eastAsia="Arial" w:hAnsi="Arial"/>
                <w:color w:val="1A1A1A"/>
                <w:sz w:val="20"/>
                <w:szCs w:val="20"/>
              </w:rPr>
              <w:t xml:space="preserve"/>
            </w:r>
          </w:p>
          <w:p>
            <w:pPr>
              <w:spacing w:after="20" w:before="0" w:line="252" w:lineRule="auto"/>
            </w:pPr>
            <w:r>
              <w:rPr>
                <w:rFonts w:ascii="Arial" w:cs="Arial" w:eastAsia="Arial" w:hAnsi="Arial"/>
                <w:b/>
                <w:bCs/>
                <w:color w:val="9A6400"/>
                <w:sz w:val="18"/>
                <w:szCs w:val="18"/>
              </w:rPr>
              <w:t xml:space="preserve">Abb. 2: </w:t>
            </w:r>
            <w:r>
              <w:rPr>
                <w:rFonts w:ascii="Arial" w:cs="Arial" w:eastAsia="Arial" w:hAnsi="Arial"/>
                <w:b/>
                <w:bCs/>
                <w:color w:val="1A1A1A"/>
                <w:sz w:val="18"/>
                <w:szCs w:val="18"/>
              </w:rPr>
              <w:t xml:space="preserve">Chuck Close, </w:t>
            </w:r>
            <w:r>
              <w:rPr>
                <w:rFonts w:ascii="Arial" w:cs="Arial" w:eastAsia="Arial" w:hAnsi="Arial"/>
                <w:b/>
                <w:bCs/>
                <w:i/>
                <w:iCs/>
                <w:color w:val="1A1A1A"/>
                <w:sz w:val="18"/>
                <w:szCs w:val="18"/>
              </w:rPr>
              <w:t xml:space="preserve">Big Self-Portrait</w:t>
            </w:r>
            <w:r>
              <w:rPr>
                <w:rFonts w:ascii="Arial" w:cs="Arial" w:eastAsia="Arial" w:hAnsi="Arial"/>
                <w:b/>
                <w:bCs/>
                <w:color w:val="1A1A1A"/>
                <w:sz w:val="18"/>
                <w:szCs w:val="18"/>
              </w:rPr>
              <w:t xml:space="preserve">, 1967–68</w:t>
            </w:r>
          </w:p>
          <w:p>
            <w:pPr>
              <w:spacing w:after="40" w:before="0" w:line="252" w:lineRule="auto"/>
            </w:pPr>
            <w:r>
              <w:rPr>
                <w:rFonts w:ascii="Arial" w:cs="Arial" w:eastAsia="Arial" w:hAnsi="Arial"/>
                <w:color w:val="555555"/>
                <w:sz w:val="15"/>
                <w:szCs w:val="15"/>
              </w:rPr>
              <w:t xml:space="preserve">Acryl auf Leinwand (Airbrush), 273,1 × 212,1 cm; Walker Art Center, Minneapolis</w:t>
            </w:r>
          </w:p>
          <w:p>
            <w:pPr>
              <w:spacing w:after="0" w:before="0" w:line="252" w:lineRule="auto"/>
            </w:pPr>
            <w:r>
              <w:rPr>
                <w:rFonts w:ascii="Arial" w:cs="Arial" w:eastAsia="Arial" w:hAnsi="Arial"/>
                <w:color w:val="1A1A1A"/>
                <w:sz w:val="18"/>
                <w:szCs w:val="18"/>
              </w:rPr>
              <w:t xml:space="preserve">Selbstbildnis, 2,73 m hoch: per Raster vom Foto übertragen, mit Airbrush gemalt; die Unschärfe von Nasenspitze und Ohren ist mitgemalt.</w:t>
            </w:r>
          </w:p>
        </w:tc>
        <w:tc>
          <w:tcPr>
            <w:tcW w:type="dxa" w:w="340"/>
            <w:tcMar>
              <w:top w:type="dxa" w:w="40"/>
              <w:left w:type="dxa" w:w="0"/>
              <w:bottom w:type="dxa" w:w="40"/>
              <w:right w:type="dxa" w:w="0"/>
            </w:tcMar>
            <w:vAlign w:val="top"/>
          </w:tcPr>
          <w:p>
            <w:pPr>
              <w:spacing w:after="40" w:before="0" w:line="252" w:lineRule="auto"/>
            </w:pPr>
            <w:r>
              <w:rPr>
                <w:rFonts w:ascii="Arial" w:cs="Arial" w:eastAsia="Arial" w:hAnsi="Arial"/>
                <w:color w:val="1A1A1A"/>
                <w:sz w:val="20"/>
                <w:szCs w:val="20"/>
              </w:rPr>
              <w:t xml:space="preserve"/>
            </w:r>
          </w:p>
        </w:tc>
        <w:tc>
          <w:tcPr>
            <w:tcW w:type="dxa" w:w="3212"/>
            <w:tcMar>
              <w:top w:type="dxa" w:w="40"/>
              <w:left w:type="dxa" w:w="0"/>
              <w:bottom w:type="dxa" w:w="40"/>
              <w:right w:type="dxa" w:w="0"/>
            </w:tcMar>
            <w:vAlign w:val="top"/>
          </w:tcPr>
          <w:tbl>
            <w:tblPr>
              <w:tblW w:type="dxa" w:w="312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22"/>
            </w:tblGrid>
            <w:tr>
              <w:trPr>
                <w:trHeight w:val="2475" w:hRule="exact"/>
              </w:trPr>
              <w:tc>
                <w:tcPr>
                  <w:tcW w:type="dxa" w:w="3122"/>
                  <w:tcMar>
                    <w:top w:type="dxa" w:w="0"/>
                    <w:left w:type="dxa" w:w="0"/>
                    <w:bottom w:type="dxa" w:w="0"/>
                    <w:right w:type="dxa" w:w="0"/>
                  </w:tcMar>
                  <w:vAlign w:val="bottom"/>
                </w:tcPr>
                <w:tbl>
                  <w:tblPr>
                    <w:tblW w:type="dxa" w:w="1980"/>
                    <w:jc w:val="center"/>
                    <w:tblBorders>
                      <w:top w:val="single" w:color="BFBFBF" w:sz="4"/>
                      <w:left w:val="single" w:color="BFBFBF" w:sz="4"/>
                      <w:bottom w:val="single" w:color="BFBFBF" w:sz="4"/>
                      <w:right w:val="single" w:color="BFBFBF" w:sz="4"/>
                      <w:insideH w:val="none" w:color="FFFFFF" w:sz="0"/>
                      <w:insideV w:val="none" w:color="FFFFFF" w:sz="0"/>
                    </w:tblBorders>
                    <w:tblLayout w:type="fixed"/>
                  </w:tblPr>
                  <w:tblGrid>
                    <w:gridCol w:w="1980"/>
                  </w:tblGrid>
                  <w:tr>
                    <w:trPr>
                      <w:trHeight w:val="2475" w:hRule="exact"/>
                    </w:trPr>
                    <w:tc>
                      <w:tcPr>
                        <w:tcW w:type="dxa" w:w="1980"/>
                        <w:shd w:fill="EDEDED" w:color="auto" w:val="clear"/>
                        <w:tcMar>
                          <w:top w:type="dxa" w:w="40"/>
                          <w:left w:type="dxa" w:w="90"/>
                          <w:bottom w:type="dxa" w:w="40"/>
                          <w:right w:type="dxa" w:w="90"/>
                        </w:tcMar>
                        <w:vAlign w:val="center"/>
                      </w:tcPr>
                      <w:p>
                        <w:pPr>
                          <w:spacing w:after="0" w:before="0" w:line="252" w:lineRule="auto"/>
                          <w:jc w:val="center"/>
                        </w:pPr>
                        <w:r>
                          <w:rPr>
                            <w:rFonts w:ascii="Arial" w:cs="Arial" w:eastAsia="Arial" w:hAnsi="Arial"/>
                            <w:b/>
                            <w:bCs/>
                            <w:color w:val="555555"/>
                            <w:sz w:val="14"/>
                            <w:szCs w:val="14"/>
                          </w:rPr>
                          <w:t xml:space="preserve">Abbildung einfügen</w:t>
                        </w:r>
                      </w:p>
                      <w:p>
                        <w:pPr>
                          <w:spacing w:after="0" w:before="0" w:line="252" w:lineRule="auto"/>
                          <w:jc w:val="center"/>
                        </w:pPr>
                        <w:r>
                          <w:rPr>
                            <w:rFonts w:ascii="Arial" w:cs="Arial" w:eastAsia="Arial" w:hAnsi="Arial"/>
                            <w:i/>
                            <w:iCs/>
                            <w:color w:val="555555"/>
                            <w:sz w:val="14"/>
                            <w:szCs w:val="14"/>
                          </w:rPr>
                          <w:t xml:space="preserve">Supermarket Lady</w:t>
                        </w:r>
                      </w:p>
                    </w:tc>
                  </w:tr>
                </w:tbl>
                <w:p/>
              </w:tc>
            </w:tr>
          </w:tbl>
          <w:p>
            <w:pPr>
              <w:spacing w:after="60" w:before="0" w:line="120" w:lineRule="auto"/>
            </w:pPr>
            <w:r>
              <w:rPr>
                <w:rFonts w:ascii="Arial" w:cs="Arial" w:eastAsia="Arial" w:hAnsi="Arial"/>
                <w:color w:val="1A1A1A"/>
                <w:sz w:val="20"/>
                <w:szCs w:val="20"/>
              </w:rPr>
              <w:t xml:space="preserve"/>
            </w:r>
          </w:p>
          <w:p>
            <w:pPr>
              <w:spacing w:after="20" w:before="0" w:line="252" w:lineRule="auto"/>
            </w:pPr>
            <w:r>
              <w:rPr>
                <w:rFonts w:ascii="Arial" w:cs="Arial" w:eastAsia="Arial" w:hAnsi="Arial"/>
                <w:b/>
                <w:bCs/>
                <w:color w:val="9A6400"/>
                <w:sz w:val="18"/>
                <w:szCs w:val="18"/>
              </w:rPr>
              <w:t xml:space="preserve">Abb. 3: </w:t>
            </w:r>
            <w:r>
              <w:rPr>
                <w:rFonts w:ascii="Arial" w:cs="Arial" w:eastAsia="Arial" w:hAnsi="Arial"/>
                <w:b/>
                <w:bCs/>
                <w:color w:val="1A1A1A"/>
                <w:sz w:val="18"/>
                <w:szCs w:val="18"/>
              </w:rPr>
              <w:t xml:space="preserve">Duane Hanson, </w:t>
            </w:r>
            <w:r>
              <w:rPr>
                <w:rFonts w:ascii="Arial" w:cs="Arial" w:eastAsia="Arial" w:hAnsi="Arial"/>
                <w:b/>
                <w:bCs/>
                <w:i/>
                <w:iCs/>
                <w:color w:val="1A1A1A"/>
                <w:sz w:val="18"/>
                <w:szCs w:val="18"/>
              </w:rPr>
              <w:t xml:space="preserve">Supermarket Lady</w:t>
            </w:r>
            <w:r>
              <w:rPr>
                <w:rFonts w:ascii="Arial" w:cs="Arial" w:eastAsia="Arial" w:hAnsi="Arial"/>
                <w:b/>
                <w:bCs/>
                <w:color w:val="1A1A1A"/>
                <w:sz w:val="18"/>
                <w:szCs w:val="18"/>
              </w:rPr>
              <w:t xml:space="preserve">, 1969/70</w:t>
            </w:r>
          </w:p>
          <w:p>
            <w:pPr>
              <w:spacing w:after="40" w:before="0" w:line="252" w:lineRule="auto"/>
            </w:pPr>
            <w:r>
              <w:rPr>
                <w:rFonts w:ascii="Arial" w:cs="Arial" w:eastAsia="Arial" w:hAnsi="Arial"/>
                <w:color w:val="555555"/>
                <w:sz w:val="15"/>
                <w:szCs w:val="15"/>
              </w:rPr>
              <w:t xml:space="preserve">Polyesterharz, bemalt; echte Kleidung und Waren, lebensgroß; Ludwig Forum Aachen</w:t>
            </w:r>
          </w:p>
          <w:p>
            <w:pPr>
              <w:spacing w:after="0" w:before="0" w:line="252" w:lineRule="auto"/>
            </w:pPr>
            <w:r>
              <w:rPr>
                <w:rFonts w:ascii="Arial" w:cs="Arial" w:eastAsia="Arial" w:hAnsi="Arial"/>
                <w:color w:val="1A1A1A"/>
                <w:sz w:val="18"/>
                <w:szCs w:val="18"/>
              </w:rPr>
              <w:t xml:space="preserve">Abguss vom lebenden Modell, naturgetreu bemalt, echte Kleidung und Waren – im Museum oft für eine echte Besucherin gehalten.</w:t>
            </w:r>
          </w:p>
        </w:tc>
      </w:tr>
    </w:tbl>
    <w:p>
      <w:pPr>
        <w:keepNext/>
        <w:spacing w:after="40" w:before="80" w:line="252" w:lineRule="auto"/>
      </w:pPr>
      <w:r>
        <w:rPr>
          <w:rFonts w:ascii="Arial" w:cs="Arial" w:eastAsia="Arial" w:hAnsi="Arial"/>
          <w:b/>
          <w:bCs/>
          <w:color w:val="9A6400"/>
          <w:sz w:val="20"/>
          <w:szCs w:val="20"/>
        </w:rPr>
        <w:t xml:space="preserve">Begriffe kurz erklärt</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9"/>
        <w:gridCol w:w="5159"/>
      </w:tblGrid>
      <w:tr>
        <w:tc>
          <w:tcPr>
            <w:tcW w:type="dxa" w:w="5159"/>
            <w:tcMar>
              <w:top w:type="dxa" w:w="40"/>
              <w:left w:type="dxa" w:w="0"/>
              <w:bottom w:type="dxa" w:w="40"/>
              <w:right w:type="dxa" w:w="90"/>
            </w:tcMar>
            <w:vAlign w:val="top"/>
          </w:tcPr>
          <w:p>
            <w:pPr>
              <w:spacing w:after="20" w:before="0" w:line="252" w:lineRule="auto"/>
            </w:pPr>
            <w:r>
              <w:rPr>
                <w:rFonts w:ascii="Arial" w:cs="Arial" w:eastAsia="Arial" w:hAnsi="Arial"/>
                <w:b/>
                <w:bCs/>
                <w:color w:val="1A1A1A"/>
                <w:sz w:val="17"/>
                <w:szCs w:val="17"/>
              </w:rPr>
              <w:t xml:space="preserve">Airbrush: </w:t>
            </w:r>
            <w:r>
              <w:rPr>
                <w:rFonts w:ascii="Arial" w:cs="Arial" w:eastAsia="Arial" w:hAnsi="Arial"/>
                <w:color w:val="1A1A1A"/>
                <w:sz w:val="17"/>
                <w:szCs w:val="17"/>
              </w:rPr>
              <w:t xml:space="preserve">kleine Farbspritzpistole, mit der Farbe sehr fein und ohne Pinselspur aufgesprüht wird</w:t>
            </w:r>
          </w:p>
          <w:p>
            <w:pPr>
              <w:spacing w:after="20" w:before="0" w:line="252" w:lineRule="auto"/>
            </w:pPr>
            <w:r>
              <w:rPr>
                <w:rFonts w:ascii="Arial" w:cs="Arial" w:eastAsia="Arial" w:hAnsi="Arial"/>
                <w:b/>
                <w:bCs/>
                <w:color w:val="1A1A1A"/>
                <w:sz w:val="17"/>
                <w:szCs w:val="17"/>
              </w:rPr>
              <w:t xml:space="preserve">Raster: </w:t>
            </w:r>
            <w:r>
              <w:rPr>
                <w:rFonts w:ascii="Arial" w:cs="Arial" w:eastAsia="Arial" w:hAnsi="Arial"/>
                <w:color w:val="1A1A1A"/>
                <w:sz w:val="17"/>
                <w:szCs w:val="17"/>
              </w:rPr>
              <w:t xml:space="preserve">Foto und Leinwand werden in gleich viele Quadrate geteilt und Feld für Feld übertragen</w:t>
            </w:r>
          </w:p>
          <w:p>
            <w:pPr>
              <w:spacing w:after="20" w:before="0" w:line="252" w:lineRule="auto"/>
            </w:pPr>
            <w:r>
              <w:rPr>
                <w:rFonts w:ascii="Arial" w:cs="Arial" w:eastAsia="Arial" w:hAnsi="Arial"/>
                <w:b/>
                <w:bCs/>
                <w:color w:val="1A1A1A"/>
                <w:sz w:val="17"/>
                <w:szCs w:val="17"/>
              </w:rPr>
              <w:t xml:space="preserve">Dia: </w:t>
            </w:r>
            <w:r>
              <w:rPr>
                <w:rFonts w:ascii="Arial" w:cs="Arial" w:eastAsia="Arial" w:hAnsi="Arial"/>
                <w:color w:val="1A1A1A"/>
                <w:sz w:val="17"/>
                <w:szCs w:val="17"/>
              </w:rPr>
              <w:t xml:space="preserve">durchsichtiges Foto, das ein Projektor an die Wand oder auf die Leinwand wirft</w:t>
            </w:r>
          </w:p>
        </w:tc>
        <w:tc>
          <w:tcPr>
            <w:tcW w:type="dxa" w:w="5159"/>
            <w:tcMar>
              <w:top w:type="dxa" w:w="40"/>
              <w:left w:type="dxa" w:w="90"/>
              <w:bottom w:type="dxa" w:w="40"/>
              <w:right w:type="dxa" w:w="90"/>
            </w:tcMar>
            <w:vAlign w:val="top"/>
          </w:tcPr>
          <w:p>
            <w:pPr>
              <w:spacing w:after="20" w:before="0" w:line="252" w:lineRule="auto"/>
            </w:pPr>
            <w:r>
              <w:rPr>
                <w:rFonts w:ascii="Arial" w:cs="Arial" w:eastAsia="Arial" w:hAnsi="Arial"/>
                <w:b/>
                <w:bCs/>
                <w:color w:val="1A1A1A"/>
                <w:sz w:val="17"/>
                <w:szCs w:val="17"/>
              </w:rPr>
              <w:t xml:space="preserve">Vanitas: </w:t>
            </w:r>
            <w:r>
              <w:rPr>
                <w:rFonts w:ascii="Arial" w:cs="Arial" w:eastAsia="Arial" w:hAnsi="Arial"/>
                <w:color w:val="1A1A1A"/>
                <w:sz w:val="17"/>
                <w:szCs w:val="17"/>
              </w:rPr>
              <w:t xml:space="preserve">lat. „Nichtigkeit“: Stillleben mit Symbolen der Vergänglichkeit (Kerze, Uhr, Obst)</w:t>
            </w:r>
          </w:p>
          <w:p>
            <w:pPr>
              <w:spacing w:after="20" w:before="0" w:line="252" w:lineRule="auto"/>
            </w:pPr>
            <w:r>
              <w:rPr>
                <w:rFonts w:ascii="Arial" w:cs="Arial" w:eastAsia="Arial" w:hAnsi="Arial"/>
                <w:b/>
                <w:bCs/>
                <w:color w:val="1A1A1A"/>
                <w:sz w:val="17"/>
                <w:szCs w:val="17"/>
              </w:rPr>
              <w:t xml:space="preserve">Diner: </w:t>
            </w:r>
            <w:r>
              <w:rPr>
                <w:rFonts w:ascii="Arial" w:cs="Arial" w:eastAsia="Arial" w:hAnsi="Arial"/>
                <w:color w:val="1A1A1A"/>
                <w:sz w:val="17"/>
                <w:szCs w:val="17"/>
              </w:rPr>
              <w:t xml:space="preserve">typisch amerikanisches Schnellrestaurant mit Theke und Chrom</w:t>
            </w:r>
          </w:p>
          <w:p>
            <w:pPr>
              <w:spacing w:after="20" w:before="0" w:line="252" w:lineRule="auto"/>
            </w:pPr>
            <w:r>
              <w:rPr>
                <w:rFonts w:ascii="Arial" w:cs="Arial" w:eastAsia="Arial" w:hAnsi="Arial"/>
                <w:b/>
                <w:bCs/>
                <w:color w:val="1A1A1A"/>
                <w:sz w:val="17"/>
                <w:szCs w:val="17"/>
              </w:rPr>
              <w:t xml:space="preserve">documenta: </w:t>
            </w:r>
            <w:r>
              <w:rPr>
                <w:rFonts w:ascii="Arial" w:cs="Arial" w:eastAsia="Arial" w:hAnsi="Arial"/>
                <w:color w:val="1A1A1A"/>
                <w:sz w:val="17"/>
                <w:szCs w:val="17"/>
              </w:rPr>
              <w:t xml:space="preserve">eine der wichtigsten Ausstellungen für Gegenwartskunst, alle fünf Jahre in Kassel</w:t>
            </w:r>
          </w:p>
        </w:tc>
      </w:tr>
    </w:tbl>
    <w:p>
      <w:pPr>
        <w:spacing w:after="40" w:before="0" w:line="120" w:lineRule="auto"/>
      </w:pPr>
      <w:r>
        <w:rPr>
          <w:rFonts w:ascii="Arial" w:cs="Arial" w:eastAsia="Arial" w:hAnsi="Arial"/>
          <w:color w:val="1A1A1A"/>
          <w:sz w:val="20"/>
          <w:szCs w:val="20"/>
        </w:rPr>
        <w:t xml:space="preserve"/>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c>
          <w:tcPr>
            <w:tcW w:type="dxa" w:w="10318"/>
            <w:shd w:fill="F3F3F3" w:color="auto" w:val="clear"/>
            <w:tcMar>
              <w:top w:type="dxa" w:w="90"/>
              <w:left w:type="dxa" w:w="140"/>
              <w:bottom w:type="dxa" w:w="90"/>
              <w:right w:type="dxa" w:w="140"/>
            </w:tcMar>
            <w:vAlign w:val="top"/>
          </w:tcPr>
          <w:p>
            <w:pPr>
              <w:spacing w:after="30" w:before="0" w:line="252" w:lineRule="auto"/>
            </w:pPr>
            <w:r>
              <w:rPr>
                <w:rFonts w:ascii="Arial" w:cs="Arial" w:eastAsia="Arial" w:hAnsi="Arial"/>
                <w:b/>
                <w:bCs/>
                <w:color w:val="9A6400"/>
                <w:sz w:val="20"/>
                <w:szCs w:val="20"/>
              </w:rPr>
              <w:t xml:space="preserve">Zum Nachdenken: </w:t>
            </w:r>
            <w:r>
              <w:rPr>
                <w:rFonts w:ascii="Arial" w:cs="Arial" w:eastAsia="Arial" w:hAnsi="Arial"/>
                <w:b/>
                <w:bCs/>
                <w:color w:val="1A1A1A"/>
                <w:sz w:val="20"/>
                <w:szCs w:val="20"/>
              </w:rPr>
              <w:t xml:space="preserve">Ist es Kunst, ein Foto perfekt abzumalen?</w:t>
            </w:r>
          </w:p>
          <w:p>
            <w:pPr>
              <w:spacing w:after="0" w:before="0" w:line="252" w:lineRule="auto"/>
            </w:pPr>
            <w:r>
              <w:rPr>
                <w:rFonts w:ascii="Arial" w:cs="Arial" w:eastAsia="Arial" w:hAnsi="Arial"/>
                <w:color w:val="555555"/>
                <w:sz w:val="17"/>
                <w:szCs w:val="17"/>
              </w:rPr>
              <w:t xml:space="preserve">Kritiker sprachen von bloßem Abmalen – doch die Werke fragen, wie sehr wir Bildern vertrauen. In Zeiten von Smartphones, Filtern und KI-Bildern ist das aktueller denn je.</w:t>
            </w:r>
          </w:p>
        </w:tc>
      </w:tr>
    </w:tbl>
    <w:sectPr>
      <w:pgSz w:w="11906" w:h="16838" w:orient="portrait"/>
      <w:pgMar w:top="794" w:right="794" w:bottom="794" w:left="79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60" w:hanging="200"/>
      </w:pPr>
      <w:rPr>
        <w:color w:val="9A64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Handout: Fotorealismus &amp; Hyperrealismus</dc:title>
  <dc:creator>Referat Kunst</dc:creator>
  <cp:lastModifiedBy>Un-named</cp:lastModifiedBy>
  <cp:revision>1</cp:revision>
  <dcterms:created xsi:type="dcterms:W3CDTF">2026-10-25T13:01:13.953Z</dcterms:created>
  <dcterms:modified xsi:type="dcterms:W3CDTF">2026-10-25T13:01:13.953Z</dcterms:modified>
</cp:coreProperties>
</file>

<file path=docProps/custom.xml><?xml version="1.0" encoding="utf-8"?>
<Properties xmlns="http://schemas.openxmlformats.org/officeDocument/2006/custom-properties" xmlns:vt="http://schemas.openxmlformats.org/officeDocument/2006/docPropsVTypes"/>
</file>