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810"/>
        <w:gridCol w:w="3508"/>
      </w:tblGrid>
      <w:tr>
        <w:tc>
          <w:tcPr>
            <w:tcW w:type="dxa" w:w="6810"/>
            <w:tcMar>
              <w:top w:type="dxa" w:w="40"/>
              <w:left w:type="dxa" w:w="0"/>
              <w:bottom w:type="dxa" w:w="40"/>
              <w:right w:type="dxa" w:w="90"/>
            </w:tcMar>
            <w:vAlign w:val="top"/>
          </w:tcPr>
          <w:p>
            <w:pPr>
              <w:spacing w:after="20" w:before="0" w:line="252"/>
            </w:pPr>
            <w:r>
              <w:rPr>
                <w:rFonts w:ascii="Arial" w:cs="Arial" w:eastAsia="Arial" w:hAnsi="Arial"/>
                <w:b/>
                <w:bCs/>
                <w:color w:val="B07400"/>
                <w:sz w:val="15"/>
                <w:szCs w:val="15"/>
              </w:rPr>
              <w:t xml:space="preserve">HANDOUT · REFERAT KUNSTEPOCHEN</w:t>
            </w:r>
          </w:p>
          <w:p>
            <w:pPr>
              <w:spacing w:after="0" w:before="0" w:line="252"/>
            </w:pPr>
            <w:r>
              <w:rPr>
                <w:rFonts w:ascii="Georgia" w:cs="Georgia" w:eastAsia="Georgia" w:hAnsi="Georgia"/>
                <w:b/>
                <w:bCs/>
                <w:color w:val="1A1A1A"/>
                <w:sz w:val="38"/>
                <w:szCs w:val="38"/>
              </w:rPr>
              <w:t xml:space="preserve">Fotorealismus &amp; Hyperrealismus</w:t>
            </w:r>
          </w:p>
        </w:tc>
        <w:tc>
          <w:tcPr>
            <w:tcW w:type="dxa" w:w="3508"/>
            <w:tcMar>
              <w:top w:type="dxa" w:w="40"/>
              <w:left w:type="dxa" w:w="90"/>
              <w:bottom w:type="dxa" w:w="40"/>
              <w:right w:type="dxa" w:w="0"/>
            </w:tcMar>
            <w:vAlign w:val="bottom"/>
          </w:tcPr>
          <w:p>
            <w:pPr>
              <w:spacing w:after="50" w:before="0" w:line="252"/>
              <w:jc w:val="right"/>
            </w:pPr>
            <w:r>
              <w:rPr>
                <w:rFonts w:ascii="Arial" w:cs="Arial" w:eastAsia="Arial" w:hAnsi="Arial"/>
                <w:color w:val="5A5A5A"/>
                <w:sz w:val="16"/>
                <w:szCs w:val="16"/>
              </w:rPr>
              <w:t xml:space="preserve">Name: ___________________</w:t>
            </w:r>
          </w:p>
          <w:p>
            <w:pPr>
              <w:spacing w:after="0" w:before="0" w:line="252"/>
              <w:jc w:val="right"/>
            </w:pPr>
            <w:r>
              <w:rPr>
                <w:rFonts w:ascii="Arial" w:cs="Arial" w:eastAsia="Arial" w:hAnsi="Arial"/>
                <w:color w:val="5A5A5A"/>
                <w:sz w:val="16"/>
                <w:szCs w:val="16"/>
              </w:rPr>
              <w:t xml:space="preserve">Kurs: ____________  Datum: __________</w:t>
            </w:r>
          </w:p>
        </w:tc>
      </w:tr>
    </w:tbl>
    <w:p>
      <w:pPr>
        <w:spacing w:after="0" w:before="60" w:line="252"/>
      </w:pPr>
      <w:r>
        <w:rPr>
          <w:rFonts w:ascii="Arial" w:cs="Arial" w:eastAsia="Arial" w:hAnsi="Arial"/>
          <w:i/>
          <w:iCs/>
          <w:color w:val="5A5A5A"/>
          <w:sz w:val="18"/>
          <w:szCs w:val="18"/>
        </w:rPr>
        <w:t xml:space="preserve">Leitfrage: Wirklicher als die Wirklichkeit? – Malerei und Skulptur, die man für Fotos oder echte Menschen halten kann.</w:t>
      </w:r>
    </w:p>
    <w:p>
      <w:pPr>
        <w:keepNext/>
        <w:pBdr>
          <w:bottom w:val="single" w:color="BFBFBF" w:sz="4" w:space="2"/>
        </w:pBdr>
        <w:spacing w:after="70" w:before="150"/>
      </w:pPr>
      <w:r>
        <w:rPr>
          <w:rFonts w:ascii="Georgia" w:cs="Georgia" w:eastAsia="Georgia" w:hAnsi="Georgia"/>
          <w:b/>
          <w:bCs/>
          <w:color w:val="B07400"/>
          <w:sz w:val="24"/>
          <w:szCs w:val="24"/>
        </w:rPr>
        <w:t xml:space="preserve">1  </w:t>
      </w:r>
      <w:r>
        <w:rPr>
          <w:rFonts w:ascii="Georgia" w:cs="Georgia" w:eastAsia="Georgia" w:hAnsi="Georgia"/>
          <w:b/>
          <w:bCs/>
          <w:color w:val="1A1A1A"/>
          <w:sz w:val="24"/>
          <w:szCs w:val="24"/>
        </w:rPr>
        <w:t xml:space="preserve">Zeitliche Einordnung und Entwicklung</w:t>
      </w:r>
    </w:p>
    <w:p>
      <w:pPr>
        <w:spacing w:after="70" w:before="0" w:line="252"/>
      </w:pPr>
      <w:r>
        <w:rPr>
          <w:rFonts w:ascii="Arial" w:cs="Arial" w:eastAsia="Arial" w:hAnsi="Arial"/>
          <w:color w:val="1A1A1A"/>
          <w:sz w:val="18"/>
          <w:szCs w:val="18"/>
        </w:rPr>
        <w:t xml:space="preserve">Der Fotorealismus entsteht Ende der 1960er-Jahre in den USA (v. a. Kalifornien und New York). Er knüpft an die Pop Art an, die Werbung und Alltagsbilder in die Kunst geholt hatte, und stellt sich gegen die damals vorherrschende abstrakte Malerei. Ab den 1970er-Jahren verbreitet er sich in Europa; der verwandte Begriff Hyperrealismus steht für eine Weiterentwicklung, die seit etwa 2000 einen Boom erlebt.</w:t>
      </w:r>
    </w:p>
    <w:tbl>
      <w:tblPr>
        <w:tblW w:type="dxa" w:w="10318"/>
        <w:tblBorders>
          <w:top w:val="single" w:color="BFBFBF" w:sz="4"/>
          <w:left w:val="none" w:color="FFFFFF" w:sz="0"/>
          <w:bottom w:val="single" w:color="BFBFBF" w:sz="4"/>
          <w:right w:val="none" w:color="FFFFFF" w:sz="0"/>
          <w:insideH w:val="single" w:color="BFBFBF" w:sz="4"/>
          <w:insideV w:val="none" w:color="FFFFFF" w:sz="0"/>
        </w:tblBorders>
        <w:tblLayout w:type="fixed"/>
      </w:tblPr>
      <w:tblGrid>
        <w:gridCol w:w="1250"/>
        <w:gridCol w:w="9068"/>
      </w:tblGrid>
      <w:tr>
        <w:tc>
          <w:tcPr>
            <w:tcW w:type="dxa" w:w="1250"/>
            <w:shd w:fill="F3F3F3" w:color="auto" w:val="clear"/>
            <w:tcMar>
              <w:top w:type="dxa" w:w="25"/>
              <w:left w:type="dxa" w:w="90"/>
              <w:bottom w:type="dxa" w:w="25"/>
              <w:right w:type="dxa" w:w="90"/>
            </w:tcMar>
            <w:vAlign w:val="top"/>
          </w:tcPr>
          <w:p>
            <w:pPr>
              <w:spacing w:after="0" w:before="0" w:line="252"/>
            </w:pPr>
            <w:r>
              <w:rPr>
                <w:rFonts w:ascii="Arial" w:cs="Arial" w:eastAsia="Arial" w:hAnsi="Arial"/>
                <w:b/>
                <w:bCs/>
                <w:color w:val="5A5A5A"/>
                <w:sz w:val="18"/>
                <w:szCs w:val="18"/>
              </w:rPr>
              <w:t xml:space="preserve">1960er</w:t>
            </w:r>
          </w:p>
        </w:tc>
        <w:tc>
          <w:tcPr>
            <w:tcW w:type="dxa" w:w="9068"/>
            <w:shd w:fill="F3F3F3" w:color="auto" w:val="clear"/>
            <w:tcMar>
              <w:top w:type="dxa" w:w="25"/>
              <w:left w:type="dxa" w:w="90"/>
              <w:bottom w:type="dxa" w:w="25"/>
              <w:right w:type="dxa" w:w="90"/>
            </w:tcMar>
            <w:vAlign w:val="top"/>
          </w:tcPr>
          <w:p>
            <w:pPr>
              <w:spacing w:after="0" w:before="0" w:line="252"/>
            </w:pPr>
            <w:r>
              <w:rPr>
                <w:rFonts w:ascii="Arial" w:cs="Arial" w:eastAsia="Arial" w:hAnsi="Arial"/>
                <w:color w:val="1A1A1A"/>
                <w:sz w:val="18"/>
                <w:szCs w:val="18"/>
              </w:rPr>
              <w:t xml:space="preserve">Pop Art (z. B. Andy Warhol, Roy Lichtenstein) macht Werbung, Konsum und Medienbilder kunstwürdig.</w:t>
            </w:r>
          </w:p>
        </w:tc>
      </w:tr>
      <w:tr>
        <w:tc>
          <w:tcPr>
            <w:tcW w:type="dxa" w:w="1250"/>
            <w:tcMar>
              <w:top w:type="dxa" w:w="25"/>
              <w:left w:type="dxa" w:w="90"/>
              <w:bottom w:type="dxa" w:w="25"/>
              <w:right w:type="dxa" w:w="90"/>
            </w:tcMar>
            <w:vAlign w:val="top"/>
          </w:tcPr>
          <w:p>
            <w:pPr>
              <w:spacing w:after="0" w:before="0" w:line="252"/>
            </w:pPr>
            <w:r>
              <w:rPr>
                <w:rFonts w:ascii="Arial" w:cs="Arial" w:eastAsia="Arial" w:hAnsi="Arial"/>
                <w:b/>
                <w:bCs/>
                <w:color w:val="B07400"/>
                <w:sz w:val="18"/>
                <w:szCs w:val="18"/>
              </w:rPr>
              <w:t xml:space="preserve">1966</w:t>
            </w:r>
          </w:p>
        </w:tc>
        <w:tc>
          <w:tcPr>
            <w:tcW w:type="dxa" w:w="9068"/>
            <w:tcMar>
              <w:top w:type="dxa" w:w="25"/>
              <w:left w:type="dxa" w:w="90"/>
              <w:bottom w:type="dxa" w:w="25"/>
              <w:right w:type="dxa" w:w="90"/>
            </w:tcMar>
            <w:vAlign w:val="top"/>
          </w:tcPr>
          <w:p>
            <w:pPr>
              <w:spacing w:after="0" w:before="0" w:line="252"/>
            </w:pPr>
            <w:r>
              <w:rPr>
                <w:rFonts w:ascii="Arial" w:cs="Arial" w:eastAsia="Arial" w:hAnsi="Arial"/>
                <w:color w:val="1A1A1A"/>
                <w:sz w:val="18"/>
                <w:szCs w:val="18"/>
              </w:rPr>
              <w:t xml:space="preserve">Malcolm Morley malt „SS Amsterdam in Front of Rotterdam“ nach einer Postkarte – ein frühes Schlüsselwerk.</w:t>
            </w:r>
          </w:p>
        </w:tc>
      </w:tr>
      <w:tr>
        <w:tc>
          <w:tcPr>
            <w:tcW w:type="dxa" w:w="1250"/>
            <w:shd w:fill="F3F3F3" w:color="auto" w:val="clear"/>
            <w:tcMar>
              <w:top w:type="dxa" w:w="25"/>
              <w:left w:type="dxa" w:w="90"/>
              <w:bottom w:type="dxa" w:w="25"/>
              <w:right w:type="dxa" w:w="90"/>
            </w:tcMar>
            <w:vAlign w:val="top"/>
          </w:tcPr>
          <w:p>
            <w:pPr>
              <w:spacing w:after="0" w:before="0" w:line="252"/>
            </w:pPr>
            <w:r>
              <w:rPr>
                <w:rFonts w:ascii="Arial" w:cs="Arial" w:eastAsia="Arial" w:hAnsi="Arial"/>
                <w:b/>
                <w:bCs/>
                <w:color w:val="B07400"/>
                <w:sz w:val="18"/>
                <w:szCs w:val="18"/>
              </w:rPr>
              <w:t xml:space="preserve">1969</w:t>
            </w:r>
          </w:p>
        </w:tc>
        <w:tc>
          <w:tcPr>
            <w:tcW w:type="dxa" w:w="9068"/>
            <w:shd w:fill="F3F3F3" w:color="auto" w:val="clear"/>
            <w:tcMar>
              <w:top w:type="dxa" w:w="25"/>
              <w:left w:type="dxa" w:w="90"/>
              <w:bottom w:type="dxa" w:w="25"/>
              <w:right w:type="dxa" w:w="90"/>
            </w:tcMar>
            <w:vAlign w:val="top"/>
          </w:tcPr>
          <w:p>
            <w:pPr>
              <w:spacing w:after="0" w:before="0" w:line="252"/>
            </w:pPr>
            <w:r>
              <w:rPr>
                <w:rFonts w:ascii="Arial" w:cs="Arial" w:eastAsia="Arial" w:hAnsi="Arial"/>
                <w:color w:val="1A1A1A"/>
                <w:sz w:val="18"/>
                <w:szCs w:val="18"/>
              </w:rPr>
              <w:t xml:space="preserve">Der New Yorker Galerist Louis K. Meisel prägt den Begriff „Photo-Realism“ (Fotorealismus).</w:t>
            </w:r>
          </w:p>
        </w:tc>
      </w:tr>
      <w:tr>
        <w:tc>
          <w:tcPr>
            <w:tcW w:type="dxa" w:w="1250"/>
            <w:tcMar>
              <w:top w:type="dxa" w:w="25"/>
              <w:left w:type="dxa" w:w="90"/>
              <w:bottom w:type="dxa" w:w="25"/>
              <w:right w:type="dxa" w:w="90"/>
            </w:tcMar>
            <w:vAlign w:val="top"/>
          </w:tcPr>
          <w:p>
            <w:pPr>
              <w:spacing w:after="0" w:before="0" w:line="252"/>
            </w:pPr>
            <w:r>
              <w:rPr>
                <w:rFonts w:ascii="Arial" w:cs="Arial" w:eastAsia="Arial" w:hAnsi="Arial"/>
                <w:b/>
                <w:bCs/>
                <w:color w:val="B07400"/>
                <w:sz w:val="18"/>
                <w:szCs w:val="18"/>
              </w:rPr>
              <w:t xml:space="preserve">1972</w:t>
            </w:r>
          </w:p>
        </w:tc>
        <w:tc>
          <w:tcPr>
            <w:tcW w:type="dxa" w:w="9068"/>
            <w:tcMar>
              <w:top w:type="dxa" w:w="25"/>
              <w:left w:type="dxa" w:w="90"/>
              <w:bottom w:type="dxa" w:w="25"/>
              <w:right w:type="dxa" w:w="90"/>
            </w:tcMar>
            <w:vAlign w:val="top"/>
          </w:tcPr>
          <w:p>
            <w:pPr>
              <w:spacing w:after="0" w:before="0" w:line="252"/>
            </w:pPr>
            <w:r>
              <w:rPr>
                <w:rFonts w:ascii="Arial" w:cs="Arial" w:eastAsia="Arial" w:hAnsi="Arial"/>
                <w:color w:val="1A1A1A"/>
                <w:sz w:val="18"/>
                <w:szCs w:val="18"/>
              </w:rPr>
              <w:t xml:space="preserve">documenta 5 in Kassel zeigt zahlreiche Fotorealisten – Durchbruch in Europa.</w:t>
            </w:r>
          </w:p>
        </w:tc>
      </w:tr>
      <w:tr>
        <w:tc>
          <w:tcPr>
            <w:tcW w:type="dxa" w:w="1250"/>
            <w:shd w:fill="F3F3F3" w:color="auto" w:val="clear"/>
            <w:tcMar>
              <w:top w:type="dxa" w:w="25"/>
              <w:left w:type="dxa" w:w="90"/>
              <w:bottom w:type="dxa" w:w="25"/>
              <w:right w:type="dxa" w:w="90"/>
            </w:tcMar>
            <w:vAlign w:val="top"/>
          </w:tcPr>
          <w:p>
            <w:pPr>
              <w:spacing w:after="0" w:before="0" w:line="252"/>
            </w:pPr>
            <w:r>
              <w:rPr>
                <w:rFonts w:ascii="Arial" w:cs="Arial" w:eastAsia="Arial" w:hAnsi="Arial"/>
                <w:b/>
                <w:bCs/>
                <w:color w:val="1F6F8B"/>
                <w:sz w:val="18"/>
                <w:szCs w:val="18"/>
              </w:rPr>
              <w:t xml:space="preserve">1973</w:t>
            </w:r>
          </w:p>
        </w:tc>
        <w:tc>
          <w:tcPr>
            <w:tcW w:type="dxa" w:w="9068"/>
            <w:shd w:fill="F3F3F3" w:color="auto" w:val="clear"/>
            <w:tcMar>
              <w:top w:type="dxa" w:w="25"/>
              <w:left w:type="dxa" w:w="90"/>
              <w:bottom w:type="dxa" w:w="25"/>
              <w:right w:type="dxa" w:w="90"/>
            </w:tcMar>
            <w:vAlign w:val="top"/>
          </w:tcPr>
          <w:p>
            <w:pPr>
              <w:spacing w:after="0" w:before="0" w:line="252"/>
            </w:pPr>
            <w:r>
              <w:rPr>
                <w:rFonts w:ascii="Arial" w:cs="Arial" w:eastAsia="Arial" w:hAnsi="Arial"/>
                <w:color w:val="1A1A1A"/>
                <w:sz w:val="18"/>
                <w:szCs w:val="18"/>
              </w:rPr>
              <w:t xml:space="preserve">Eine Ausstellung der Galerie Isy Brachot in Brüssel prägt den Begriff „Hyperréalisme“ (Hyperrealismus).</w:t>
            </w:r>
          </w:p>
        </w:tc>
      </w:tr>
      <w:tr>
        <w:tc>
          <w:tcPr>
            <w:tcW w:type="dxa" w:w="1250"/>
            <w:tcMar>
              <w:top w:type="dxa" w:w="25"/>
              <w:left w:type="dxa" w:w="90"/>
              <w:bottom w:type="dxa" w:w="25"/>
              <w:right w:type="dxa" w:w="90"/>
            </w:tcMar>
            <w:vAlign w:val="top"/>
          </w:tcPr>
          <w:p>
            <w:pPr>
              <w:spacing w:after="0" w:before="0" w:line="252"/>
            </w:pPr>
            <w:r>
              <w:rPr>
                <w:rFonts w:ascii="Arial" w:cs="Arial" w:eastAsia="Arial" w:hAnsi="Arial"/>
                <w:b/>
                <w:bCs/>
                <w:color w:val="B07400"/>
                <w:sz w:val="18"/>
                <w:szCs w:val="18"/>
              </w:rPr>
              <w:t xml:space="preserve">1980</w:t>
            </w:r>
          </w:p>
        </w:tc>
        <w:tc>
          <w:tcPr>
            <w:tcW w:type="dxa" w:w="9068"/>
            <w:tcMar>
              <w:top w:type="dxa" w:w="25"/>
              <w:left w:type="dxa" w:w="90"/>
              <w:bottom w:type="dxa" w:w="25"/>
              <w:right w:type="dxa" w:w="90"/>
            </w:tcMar>
            <w:vAlign w:val="top"/>
          </w:tcPr>
          <w:p>
            <w:pPr>
              <w:spacing w:after="0" w:before="0" w:line="252"/>
            </w:pPr>
            <w:r>
              <w:rPr>
                <w:rFonts w:ascii="Arial" w:cs="Arial" w:eastAsia="Arial" w:hAnsi="Arial"/>
                <w:color w:val="1A1A1A"/>
                <w:sz w:val="18"/>
                <w:szCs w:val="18"/>
              </w:rPr>
              <w:t xml:space="preserve">Meisels Buch „Photorealism“ definiert die Kunstrichtung mit fünf Kriterien.</w:t>
            </w:r>
          </w:p>
        </w:tc>
      </w:tr>
      <w:tr>
        <w:tc>
          <w:tcPr>
            <w:tcW w:type="dxa" w:w="1250"/>
            <w:shd w:fill="F3F3F3" w:color="auto" w:val="clear"/>
            <w:tcMar>
              <w:top w:type="dxa" w:w="25"/>
              <w:left w:type="dxa" w:w="90"/>
              <w:bottom w:type="dxa" w:w="25"/>
              <w:right w:type="dxa" w:w="90"/>
            </w:tcMar>
            <w:vAlign w:val="top"/>
          </w:tcPr>
          <w:p>
            <w:pPr>
              <w:spacing w:after="0" w:before="0" w:line="252"/>
            </w:pPr>
            <w:r>
              <w:rPr>
                <w:rFonts w:ascii="Arial" w:cs="Arial" w:eastAsia="Arial" w:hAnsi="Arial"/>
                <w:b/>
                <w:bCs/>
                <w:color w:val="1F6F8B"/>
                <w:sz w:val="18"/>
                <w:szCs w:val="18"/>
              </w:rPr>
              <w:t xml:space="preserve">ab 2000</w:t>
            </w:r>
          </w:p>
        </w:tc>
        <w:tc>
          <w:tcPr>
            <w:tcW w:type="dxa" w:w="9068"/>
            <w:shd w:fill="F3F3F3" w:color="auto" w:val="clear"/>
            <w:tcMar>
              <w:top w:type="dxa" w:w="25"/>
              <w:left w:type="dxa" w:w="90"/>
              <w:bottom w:type="dxa" w:w="25"/>
              <w:right w:type="dxa" w:w="90"/>
            </w:tcMar>
            <w:vAlign w:val="top"/>
          </w:tcPr>
          <w:p>
            <w:pPr>
              <w:spacing w:after="0" w:before="0" w:line="252"/>
            </w:pPr>
            <w:r>
              <w:rPr>
                <w:rFonts w:ascii="Arial" w:cs="Arial" w:eastAsia="Arial" w:hAnsi="Arial"/>
                <w:color w:val="1A1A1A"/>
                <w:sz w:val="18"/>
                <w:szCs w:val="18"/>
              </w:rPr>
              <w:t xml:space="preserve">Hyperrealismus boomt: digitale Fotografie, extreme Detailtreue, lebensechte Skulpturen aus Silikon.</w:t>
            </w:r>
          </w:p>
        </w:tc>
      </w:tr>
    </w:tbl>
    <w:p>
      <w:pPr>
        <w:keepNext/>
        <w:spacing w:after="50" w:before="110" w:line="252"/>
      </w:pPr>
      <w:r>
        <w:rPr>
          <w:rFonts w:ascii="Arial" w:cs="Arial" w:eastAsia="Arial" w:hAnsi="Arial"/>
          <w:b/>
          <w:bCs/>
          <w:color w:val="1A1A1A"/>
          <w:sz w:val="18"/>
          <w:szCs w:val="18"/>
        </w:rPr>
        <w:t xml:space="preserve">Entwicklung: vom Fotorealismus zum Hyperrealismus</w:t>
      </w:r>
    </w:p>
    <w:tbl>
      <w:tblPr>
        <w:tblW w:type="dxa" w:w="10318"/>
        <w:tblBorders>
          <w:top w:val="single" w:color="BFBFBF" w:sz="4"/>
          <w:left w:val="none" w:color="FFFFFF" w:sz="0"/>
          <w:bottom w:val="single" w:color="BFBFBF" w:sz="4"/>
          <w:right w:val="none" w:color="FFFFFF" w:sz="0"/>
          <w:insideH w:val="single" w:color="BFBFBF" w:sz="4"/>
          <w:insideV w:val="none" w:color="FFFFFF" w:sz="0"/>
        </w:tblBorders>
        <w:tblLayout w:type="fixed"/>
      </w:tblPr>
      <w:tblGrid>
        <w:gridCol w:w="1900"/>
        <w:gridCol w:w="4209"/>
        <w:gridCol w:w="4209"/>
      </w:tblGrid>
      <w:tr>
        <w:trPr>
          <w:tblHeader/>
        </w:trPr>
        <w:tc>
          <w:tcPr>
            <w:tcW w:type="dxa" w:w="190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4209"/>
            <w:shd w:fill="FDF0CC" w:color="auto" w:val="clear"/>
            <w:tcMar>
              <w:top w:type="dxa" w:w="40"/>
              <w:left w:type="dxa" w:w="90"/>
              <w:bottom w:type="dxa" w:w="40"/>
              <w:right w:type="dxa" w:w="90"/>
            </w:tcMar>
            <w:vAlign w:val="top"/>
          </w:tcPr>
          <w:p>
            <w:pPr>
              <w:spacing w:after="0" w:before="0" w:line="252"/>
            </w:pPr>
            <w:r>
              <w:rPr>
                <w:rFonts w:ascii="Arial" w:cs="Arial" w:eastAsia="Arial" w:hAnsi="Arial"/>
                <w:b/>
                <w:bCs/>
                <w:color w:val="1A1A1A"/>
                <w:sz w:val="18"/>
                <w:szCs w:val="18"/>
              </w:rPr>
              <w:t xml:space="preserve">Fotorealismus</w:t>
            </w:r>
            <w:r>
              <w:rPr>
                <w:rFonts w:ascii="Arial" w:cs="Arial" w:eastAsia="Arial" w:hAnsi="Arial"/>
                <w:color w:val="5A5A5A"/>
                <w:sz w:val="15"/>
                <w:szCs w:val="15"/>
              </w:rPr>
              <w:t xml:space="preserve">  ca. 1966–1980 · zuerst USA, dann Europa</w:t>
            </w:r>
          </w:p>
        </w:tc>
        <w:tc>
          <w:tcPr>
            <w:tcW w:type="dxa" w:w="4209"/>
            <w:shd w:fill="DDF0F6" w:color="auto" w:val="clear"/>
            <w:tcMar>
              <w:top w:type="dxa" w:w="40"/>
              <w:left w:type="dxa" w:w="90"/>
              <w:bottom w:type="dxa" w:w="40"/>
              <w:right w:type="dxa" w:w="90"/>
            </w:tcMar>
            <w:vAlign w:val="top"/>
          </w:tcPr>
          <w:p>
            <w:pPr>
              <w:spacing w:after="0" w:before="0" w:line="252"/>
            </w:pPr>
            <w:r>
              <w:rPr>
                <w:rFonts w:ascii="Arial" w:cs="Arial" w:eastAsia="Arial" w:hAnsi="Arial"/>
                <w:b/>
                <w:bCs/>
                <w:color w:val="1A1A1A"/>
                <w:sz w:val="18"/>
                <w:szCs w:val="18"/>
              </w:rPr>
              <w:t xml:space="preserve">Hyperrealismus</w:t>
            </w:r>
            <w:r>
              <w:rPr>
                <w:rFonts w:ascii="Arial" w:cs="Arial" w:eastAsia="Arial" w:hAnsi="Arial"/>
                <w:color w:val="5A5A5A"/>
                <w:sz w:val="15"/>
                <w:szCs w:val="15"/>
              </w:rPr>
              <w:t xml:space="preserve">  Begriff seit 1973 · Blüte seit ca. 2000 · weltweit</w:t>
            </w:r>
          </w:p>
        </w:tc>
      </w:tr>
      <w:tr>
        <w:tc>
          <w:tcPr>
            <w:tcW w:type="dxa" w:w="1900"/>
            <w:tcMar>
              <w:top w:type="dxa" w:w="30"/>
              <w:left w:type="dxa" w:w="90"/>
              <w:bottom w:type="dxa" w:w="30"/>
              <w:right w:type="dxa" w:w="90"/>
            </w:tcMar>
            <w:vAlign w:val="top"/>
          </w:tcPr>
          <w:p>
            <w:pPr>
              <w:spacing w:after="0" w:before="0" w:line="252"/>
            </w:pPr>
            <w:r>
              <w:rPr>
                <w:rFonts w:ascii="Arial" w:cs="Arial" w:eastAsia="Arial" w:hAnsi="Arial"/>
                <w:b/>
                <w:bCs/>
                <w:color w:val="5A5A5A"/>
                <w:sz w:val="18"/>
                <w:szCs w:val="18"/>
              </w:rPr>
              <w:t xml:space="preserve">Haltung</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kühl, neutral, dokumentarisch – ohne Wertung</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emotional, erzählerisch, oft gesellschaftskritisch</w:t>
            </w:r>
          </w:p>
        </w:tc>
      </w:tr>
      <w:tr>
        <w:tc>
          <w:tcPr>
            <w:tcW w:type="dxa" w:w="1900"/>
            <w:tcMar>
              <w:top w:type="dxa" w:w="30"/>
              <w:left w:type="dxa" w:w="90"/>
              <w:bottom w:type="dxa" w:w="30"/>
              <w:right w:type="dxa" w:w="90"/>
            </w:tcMar>
            <w:vAlign w:val="top"/>
          </w:tcPr>
          <w:p>
            <w:pPr>
              <w:spacing w:after="0" w:before="0" w:line="252"/>
            </w:pPr>
            <w:r>
              <w:rPr>
                <w:rFonts w:ascii="Arial" w:cs="Arial" w:eastAsia="Arial" w:hAnsi="Arial"/>
                <w:b/>
                <w:bCs/>
                <w:color w:val="5A5A5A"/>
                <w:sz w:val="18"/>
                <w:szCs w:val="18"/>
              </w:rPr>
              <w:t xml:space="preserve">Umgang mit dem Foto</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überträgt das Foto genau – samt Unschärfe und Spiegelungen</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übertrifft das Foto: noch schärfer, größer, detailreicher</w:t>
            </w:r>
          </w:p>
        </w:tc>
      </w:tr>
      <w:tr>
        <w:tc>
          <w:tcPr>
            <w:tcW w:type="dxa" w:w="1900"/>
            <w:tcMar>
              <w:top w:type="dxa" w:w="30"/>
              <w:left w:type="dxa" w:w="90"/>
              <w:bottom w:type="dxa" w:w="30"/>
              <w:right w:type="dxa" w:w="90"/>
            </w:tcMar>
            <w:vAlign w:val="top"/>
          </w:tcPr>
          <w:p>
            <w:pPr>
              <w:spacing w:after="0" w:before="0" w:line="252"/>
            </w:pPr>
            <w:r>
              <w:rPr>
                <w:rFonts w:ascii="Arial" w:cs="Arial" w:eastAsia="Arial" w:hAnsi="Arial"/>
                <w:b/>
                <w:bCs/>
                <w:color w:val="5A5A5A"/>
                <w:sz w:val="18"/>
                <w:szCs w:val="18"/>
              </w:rPr>
              <w:t xml:space="preserve">Medien</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vor allem Malerei (Acryl, Öl, Airbrush)</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Malerei, Zeichnung und Skulptur (Silikon, Kunsthaar)</w:t>
            </w:r>
          </w:p>
        </w:tc>
      </w:tr>
      <w:tr>
        <w:tc>
          <w:tcPr>
            <w:tcW w:type="dxa" w:w="1900"/>
            <w:tcMar>
              <w:top w:type="dxa" w:w="30"/>
              <w:left w:type="dxa" w:w="90"/>
              <w:bottom w:type="dxa" w:w="30"/>
              <w:right w:type="dxa" w:w="90"/>
            </w:tcMar>
            <w:vAlign w:val="top"/>
          </w:tcPr>
          <w:p>
            <w:pPr>
              <w:spacing w:after="0" w:before="0" w:line="252"/>
            </w:pPr>
            <w:r>
              <w:rPr>
                <w:rFonts w:ascii="Arial" w:cs="Arial" w:eastAsia="Arial" w:hAnsi="Arial"/>
                <w:b/>
                <w:bCs/>
                <w:color w:val="5A5A5A"/>
                <w:sz w:val="18"/>
                <w:szCs w:val="18"/>
              </w:rPr>
              <w:t xml:space="preserve">Motive</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amerikanischer Alltag: Stadt, Autos, Diner, Konsum</w:t>
            </w:r>
          </w:p>
        </w:tc>
        <w:tc>
          <w:tcPr>
            <w:tcW w:type="dxa" w:w="4209"/>
            <w:tcMar>
              <w:top w:type="dxa" w:w="30"/>
              <w:left w:type="dxa" w:w="90"/>
              <w:bottom w:type="dxa" w:w="30"/>
              <w:right w:type="dxa" w:w="90"/>
            </w:tcMar>
            <w:vAlign w:val="top"/>
          </w:tcPr>
          <w:p>
            <w:pPr>
              <w:spacing w:after="0" w:before="0" w:line="252"/>
            </w:pPr>
            <w:r>
              <w:rPr>
                <w:rFonts w:ascii="Arial" w:cs="Arial" w:eastAsia="Arial" w:hAnsi="Arial"/>
                <w:color w:val="1A1A1A"/>
                <w:sz w:val="18"/>
                <w:szCs w:val="18"/>
              </w:rPr>
              <w:t xml:space="preserve">Menschen, Haut, Wasser, Glas – oft überhöht oder rätselhaft</w:t>
            </w:r>
          </w:p>
        </w:tc>
      </w:tr>
    </w:tbl>
    <w:p>
      <w:pPr>
        <w:keepNext/>
        <w:pBdr>
          <w:bottom w:val="single" w:color="BFBFBF" w:sz="4" w:space="2"/>
        </w:pBdr>
        <w:spacing w:after="70" w:before="150"/>
      </w:pPr>
      <w:r>
        <w:rPr>
          <w:rFonts w:ascii="Georgia" w:cs="Georgia" w:eastAsia="Georgia" w:hAnsi="Georgia"/>
          <w:b/>
          <w:bCs/>
          <w:color w:val="B07400"/>
          <w:sz w:val="24"/>
          <w:szCs w:val="24"/>
        </w:rPr>
        <w:t xml:space="preserve">2  </w:t>
      </w:r>
      <w:r>
        <w:rPr>
          <w:rFonts w:ascii="Georgia" w:cs="Georgia" w:eastAsia="Georgia" w:hAnsi="Georgia"/>
          <w:b/>
          <w:bCs/>
          <w:color w:val="1A1A1A"/>
          <w:sz w:val="24"/>
          <w:szCs w:val="24"/>
        </w:rPr>
        <w:t xml:space="preserve">Zusammenfassende Merkmale</w:t>
      </w:r>
    </w:p>
    <w:p>
      <w:pPr>
        <w:pStyle w:val="ListParagraph"/>
        <w:numPr>
          <w:ilvl w:val="0"/>
          <w:numId w:val="2"/>
        </w:numPr>
        <w:spacing w:after="30" w:line="247"/>
      </w:pPr>
      <w:r>
        <w:rPr>
          <w:rFonts w:ascii="Arial" w:cs="Arial" w:eastAsia="Arial" w:hAnsi="Arial"/>
          <w:b/>
          <w:bCs/>
          <w:color w:val="1A1A1A"/>
          <w:sz w:val="18"/>
          <w:szCs w:val="18"/>
        </w:rPr>
        <w:t xml:space="preserve">Foto als Vorlage: </w:t>
      </w:r>
      <w:r>
        <w:rPr>
          <w:rFonts w:ascii="Arial" w:cs="Arial" w:eastAsia="Arial" w:hAnsi="Arial"/>
          <w:color w:val="1A1A1A"/>
          <w:sz w:val="18"/>
          <w:szCs w:val="18"/>
        </w:rPr>
        <w:t xml:space="preserve">Gemalt wird nach Fotos oder Dias, nicht vor dem Motiv – „Kamera statt Skizzenbuch“ (Abb. 1, 2).</w:t>
      </w:r>
    </w:p>
    <w:p>
      <w:pPr>
        <w:pStyle w:val="ListParagraph"/>
        <w:numPr>
          <w:ilvl w:val="0"/>
          <w:numId w:val="2"/>
        </w:numPr>
        <w:spacing w:after="30" w:line="247"/>
      </w:pPr>
      <w:r>
        <w:rPr>
          <w:rFonts w:ascii="Arial" w:cs="Arial" w:eastAsia="Arial" w:hAnsi="Arial"/>
          <w:b/>
          <w:bCs/>
          <w:color w:val="1A1A1A"/>
          <w:sz w:val="18"/>
          <w:szCs w:val="18"/>
        </w:rPr>
        <w:t xml:space="preserve">Mechanische Übertragung: </w:t>
      </w:r>
      <w:r>
        <w:rPr>
          <w:rFonts w:ascii="Arial" w:cs="Arial" w:eastAsia="Arial" w:hAnsi="Arial"/>
          <w:color w:val="1A1A1A"/>
          <w:sz w:val="18"/>
          <w:szCs w:val="18"/>
        </w:rPr>
        <w:t xml:space="preserve">Das Foto wird mit Rasternetz oder Projektor exakt auf die Leinwand übertragen (Abb. 2).</w:t>
      </w:r>
    </w:p>
    <w:p>
      <w:pPr>
        <w:pStyle w:val="ListParagraph"/>
        <w:numPr>
          <w:ilvl w:val="0"/>
          <w:numId w:val="2"/>
        </w:numPr>
        <w:spacing w:after="30" w:line="247"/>
      </w:pPr>
      <w:r>
        <w:rPr>
          <w:rFonts w:ascii="Arial" w:cs="Arial" w:eastAsia="Arial" w:hAnsi="Arial"/>
          <w:b/>
          <w:bCs/>
          <w:color w:val="1A1A1A"/>
          <w:sz w:val="18"/>
          <w:szCs w:val="18"/>
        </w:rPr>
        <w:t xml:space="preserve">Keine Handschrift: </w:t>
      </w:r>
      <w:r>
        <w:rPr>
          <w:rFonts w:ascii="Arial" w:cs="Arial" w:eastAsia="Arial" w:hAnsi="Arial"/>
          <w:color w:val="1A1A1A"/>
          <w:sz w:val="18"/>
          <w:szCs w:val="18"/>
        </w:rPr>
        <w:t xml:space="preserve">Glatte Oberfläche ohne sichtbare Pinselspuren, oft mit Airbrush und dünnen Farbschichten (Abb. 1, 2).</w:t>
      </w:r>
    </w:p>
    <w:p>
      <w:pPr>
        <w:pStyle w:val="ListParagraph"/>
        <w:numPr>
          <w:ilvl w:val="0"/>
          <w:numId w:val="2"/>
        </w:numPr>
        <w:spacing w:after="30" w:line="247"/>
      </w:pPr>
      <w:r>
        <w:rPr>
          <w:rFonts w:ascii="Arial" w:cs="Arial" w:eastAsia="Arial" w:hAnsi="Arial"/>
          <w:b/>
          <w:bCs/>
          <w:color w:val="1A1A1A"/>
          <w:sz w:val="18"/>
          <w:szCs w:val="18"/>
        </w:rPr>
        <w:t xml:space="preserve">Fotografischer Blick: </w:t>
      </w:r>
      <w:r>
        <w:rPr>
          <w:rFonts w:ascii="Arial" w:cs="Arial" w:eastAsia="Arial" w:hAnsi="Arial"/>
          <w:color w:val="1A1A1A"/>
          <w:sz w:val="18"/>
          <w:szCs w:val="18"/>
        </w:rPr>
        <w:t xml:space="preserve">Bildausschnitt, Licht, Spiegelungen und sogar Unschärfen werden vom Foto übernommen (Abb. 1, 2).</w:t>
      </w:r>
    </w:p>
    <w:p>
      <w:pPr>
        <w:pStyle w:val="ListParagraph"/>
        <w:numPr>
          <w:ilvl w:val="0"/>
          <w:numId w:val="2"/>
        </w:numPr>
        <w:spacing w:after="30" w:line="247"/>
      </w:pPr>
      <w:r>
        <w:rPr>
          <w:rFonts w:ascii="Arial" w:cs="Arial" w:eastAsia="Arial" w:hAnsi="Arial"/>
          <w:b/>
          <w:bCs/>
          <w:color w:val="1A1A1A"/>
          <w:sz w:val="18"/>
          <w:szCs w:val="18"/>
        </w:rPr>
        <w:t xml:space="preserve">Großformat: </w:t>
      </w:r>
      <w:r>
        <w:rPr>
          <w:rFonts w:ascii="Arial" w:cs="Arial" w:eastAsia="Arial" w:hAnsi="Arial"/>
          <w:color w:val="1A1A1A"/>
          <w:sz w:val="18"/>
          <w:szCs w:val="18"/>
        </w:rPr>
        <w:t xml:space="preserve">Viele Werke sind mehrere Meter groß; die Fülle an Details überwältigt (Abb. 2).</w:t>
      </w:r>
    </w:p>
    <w:p>
      <w:pPr>
        <w:pStyle w:val="ListParagraph"/>
        <w:numPr>
          <w:ilvl w:val="0"/>
          <w:numId w:val="2"/>
        </w:numPr>
        <w:spacing w:after="30" w:line="247"/>
      </w:pPr>
      <w:r>
        <w:rPr>
          <w:rFonts w:ascii="Arial" w:cs="Arial" w:eastAsia="Arial" w:hAnsi="Arial"/>
          <w:b/>
          <w:bCs/>
          <w:color w:val="1A1A1A"/>
          <w:sz w:val="18"/>
          <w:szCs w:val="18"/>
        </w:rPr>
        <w:t xml:space="preserve">Alltag und Neutralität: </w:t>
      </w:r>
      <w:r>
        <w:rPr>
          <w:rFonts w:ascii="Arial" w:cs="Arial" w:eastAsia="Arial" w:hAnsi="Arial"/>
          <w:color w:val="1A1A1A"/>
          <w:sz w:val="18"/>
          <w:szCs w:val="18"/>
        </w:rPr>
        <w:t xml:space="preserve">Banale Motive aus dem Alltag, kühl und ohne erkennbare Wertung dargestellt (Abb. 1, 3).</w:t>
      </w:r>
    </w:p>
    <w:p>
      <w:pPr>
        <w:pStyle w:val="ListParagraph"/>
        <w:numPr>
          <w:ilvl w:val="0"/>
          <w:numId w:val="2"/>
        </w:numPr>
        <w:spacing w:after="30" w:line="247"/>
      </w:pPr>
      <w:r>
        <w:rPr>
          <w:rFonts w:ascii="Arial" w:cs="Arial" w:eastAsia="Arial" w:hAnsi="Arial"/>
          <w:b/>
          <w:bCs/>
          <w:color w:val="1A1A1A"/>
          <w:sz w:val="18"/>
          <w:szCs w:val="18"/>
        </w:rPr>
        <w:t xml:space="preserve">Im Hyperrealismus zusätzlich: </w:t>
      </w:r>
      <w:r>
        <w:rPr>
          <w:rFonts w:ascii="Arial" w:cs="Arial" w:eastAsia="Arial" w:hAnsi="Arial"/>
          <w:color w:val="1A1A1A"/>
          <w:sz w:val="18"/>
          <w:szCs w:val="18"/>
        </w:rPr>
        <w:t xml:space="preserve">Übersteigerung über das Foto hinaus, Emotion und Erzählung, lebensechte Skulpturen (Abb. 3).</w:t>
      </w:r>
    </w:p>
    <w:p>
      <w:pPr>
        <w:spacing w:after="0" w:before="70" w:line="252"/>
      </w:pPr>
      <w:r>
        <w:rPr>
          <w:rFonts w:ascii="Arial" w:cs="Arial" w:eastAsia="Arial" w:hAnsi="Arial"/>
          <w:b/>
          <w:bCs/>
          <w:color w:val="1A1A1A"/>
          <w:sz w:val="18"/>
          <w:szCs w:val="18"/>
        </w:rPr>
        <w:t xml:space="preserve">Definition nach Louis K. Meisel (1980): </w:t>
      </w:r>
      <w:r>
        <w:rPr>
          <w:rFonts w:ascii="Arial" w:cs="Arial" w:eastAsia="Arial" w:hAnsi="Arial"/>
          <w:color w:val="1A1A1A"/>
          <w:sz w:val="18"/>
          <w:szCs w:val="18"/>
        </w:rPr>
        <w:t xml:space="preserve">Ein Fotorealist (1) nutzt Kamera und Foto, um Informationen zu sammeln, (2) überträgt sie mechanisch oder halbmechanisch auf die Leinwand, (3) hat das technische Können, das Werk fotografisch wirken zu lassen, (4) hat bis 1972 als Fotorealist ausgestellt und (5) mindestens fünf Jahre fotorealistisch gearbeitet.</w:t>
      </w:r>
    </w:p>
    <w:p>
      <w:pPr>
        <w:spacing w:after="0"/>
      </w:pPr>
      <w:r>
        <w:br w:type="page"/>
      </w:r>
    </w:p>
    <w:p>
      <w:pPr>
        <w:keepNext/>
        <w:pBdr>
          <w:bottom w:val="single" w:color="BFBFBF" w:sz="4" w:space="2"/>
        </w:pBdr>
        <w:spacing w:after="70" w:before="150"/>
      </w:pPr>
      <w:r>
        <w:rPr>
          <w:rFonts w:ascii="Georgia" w:cs="Georgia" w:eastAsia="Georgia" w:hAnsi="Georgia"/>
          <w:b/>
          <w:bCs/>
          <w:color w:val="B07400"/>
          <w:sz w:val="24"/>
          <w:szCs w:val="24"/>
        </w:rPr>
        <w:t xml:space="preserve">3  </w:t>
      </w:r>
      <w:r>
        <w:rPr>
          <w:rFonts w:ascii="Georgia" w:cs="Georgia" w:eastAsia="Georgia" w:hAnsi="Georgia"/>
          <w:b/>
          <w:bCs/>
          <w:color w:val="1A1A1A"/>
          <w:sz w:val="24"/>
          <w:szCs w:val="24"/>
        </w:rPr>
        <w:t xml:space="preserve">Motive</w:t>
      </w:r>
    </w:p>
    <w:tbl>
      <w:tblPr>
        <w:tblW w:type="dxa" w:w="103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159"/>
        <w:gridCol w:w="5159"/>
      </w:tblGrid>
      <w:tr>
        <w:tc>
          <w:tcPr>
            <w:tcW w:type="dxa" w:w="5159"/>
            <w:tcMar>
              <w:top w:type="dxa" w:w="40"/>
              <w:left w:type="dxa" w:w="0"/>
              <w:bottom w:type="dxa" w:w="40"/>
              <w:right w:type="dxa" w:w="90"/>
            </w:tcMar>
            <w:vAlign w:val="top"/>
          </w:tcPr>
          <w:p>
            <w:pPr>
              <w:pStyle w:val="ListParagraph"/>
              <w:numPr>
                <w:ilvl w:val="0"/>
                <w:numId w:val="2"/>
              </w:numPr>
              <w:spacing w:after="30" w:line="247"/>
            </w:pPr>
            <w:r>
              <w:rPr>
                <w:rFonts w:ascii="Arial" w:cs="Arial" w:eastAsia="Arial" w:hAnsi="Arial"/>
                <w:b/>
                <w:bCs/>
                <w:color w:val="1A1A1A"/>
                <w:sz w:val="18"/>
                <w:szCs w:val="18"/>
              </w:rPr>
              <w:t xml:space="preserve">Stadt und Schaufenster: </w:t>
            </w:r>
            <w:r>
              <w:rPr>
                <w:rFonts w:ascii="Arial" w:cs="Arial" w:eastAsia="Arial" w:hAnsi="Arial"/>
                <w:color w:val="1A1A1A"/>
                <w:sz w:val="18"/>
                <w:szCs w:val="18"/>
              </w:rPr>
              <w:t xml:space="preserve">Spiegelungen in Glas, Chrom und Lack (Estes, Eddy)</w:t>
            </w:r>
          </w:p>
          <w:p>
            <w:pPr>
              <w:pStyle w:val="ListParagraph"/>
              <w:numPr>
                <w:ilvl w:val="0"/>
                <w:numId w:val="2"/>
              </w:numPr>
              <w:spacing w:after="30" w:line="247"/>
            </w:pPr>
            <w:r>
              <w:rPr>
                <w:rFonts w:ascii="Arial" w:cs="Arial" w:eastAsia="Arial" w:hAnsi="Arial"/>
                <w:b/>
                <w:bCs/>
                <w:color w:val="1A1A1A"/>
                <w:sz w:val="18"/>
                <w:szCs w:val="18"/>
              </w:rPr>
              <w:t xml:space="preserve">Autos und Motorräder: </w:t>
            </w:r>
            <w:r>
              <w:rPr>
                <w:rFonts w:ascii="Arial" w:cs="Arial" w:eastAsia="Arial" w:hAnsi="Arial"/>
                <w:color w:val="1A1A1A"/>
                <w:sz w:val="18"/>
                <w:szCs w:val="18"/>
              </w:rPr>
              <w:t xml:space="preserve">Symbole des „American Way of Life“ (Bechtle, Blackwell)</w:t>
            </w:r>
          </w:p>
          <w:p>
            <w:pPr>
              <w:pStyle w:val="ListParagraph"/>
              <w:numPr>
                <w:ilvl w:val="0"/>
                <w:numId w:val="2"/>
              </w:numPr>
              <w:spacing w:after="30" w:line="247"/>
            </w:pPr>
            <w:r>
              <w:rPr>
                <w:rFonts w:ascii="Arial" w:cs="Arial" w:eastAsia="Arial" w:hAnsi="Arial"/>
                <w:b/>
                <w:bCs/>
                <w:color w:val="1A1A1A"/>
                <w:sz w:val="18"/>
                <w:szCs w:val="18"/>
              </w:rPr>
              <w:t xml:space="preserve">Diner und Imbiss: </w:t>
            </w:r>
            <w:r>
              <w:rPr>
                <w:rFonts w:ascii="Arial" w:cs="Arial" w:eastAsia="Arial" w:hAnsi="Arial"/>
                <w:color w:val="1A1A1A"/>
                <w:sz w:val="18"/>
                <w:szCs w:val="18"/>
              </w:rPr>
              <w:t xml:space="preserve">Theken, Ketchup, Kaffeetassen (Goings)</w:t>
            </w:r>
          </w:p>
        </w:tc>
        <w:tc>
          <w:tcPr>
            <w:tcW w:type="dxa" w:w="5159"/>
            <w:tcMar>
              <w:top w:type="dxa" w:w="40"/>
              <w:left w:type="dxa" w:w="90"/>
              <w:bottom w:type="dxa" w:w="40"/>
              <w:right w:type="dxa" w:w="90"/>
            </w:tcMar>
            <w:vAlign w:val="top"/>
          </w:tcPr>
          <w:p>
            <w:pPr>
              <w:pStyle w:val="ListParagraph"/>
              <w:numPr>
                <w:ilvl w:val="0"/>
                <w:numId w:val="2"/>
              </w:numPr>
              <w:spacing w:after="30" w:line="247"/>
            </w:pPr>
            <w:r>
              <w:rPr>
                <w:rFonts w:ascii="Arial" w:cs="Arial" w:eastAsia="Arial" w:hAnsi="Arial"/>
                <w:b/>
                <w:bCs/>
                <w:color w:val="1A1A1A"/>
                <w:sz w:val="18"/>
                <w:szCs w:val="18"/>
              </w:rPr>
              <w:t xml:space="preserve">Porträts: </w:t>
            </w:r>
            <w:r>
              <w:rPr>
                <w:rFonts w:ascii="Arial" w:cs="Arial" w:eastAsia="Arial" w:hAnsi="Arial"/>
                <w:color w:val="1A1A1A"/>
                <w:sz w:val="18"/>
                <w:szCs w:val="18"/>
              </w:rPr>
              <w:t xml:space="preserve">Gesichter im Riesenformat (Close, Gertsch)</w:t>
            </w:r>
          </w:p>
          <w:p>
            <w:pPr>
              <w:pStyle w:val="ListParagraph"/>
              <w:numPr>
                <w:ilvl w:val="0"/>
                <w:numId w:val="2"/>
              </w:numPr>
              <w:spacing w:after="30" w:line="247"/>
            </w:pPr>
            <w:r>
              <w:rPr>
                <w:rFonts w:ascii="Arial" w:cs="Arial" w:eastAsia="Arial" w:hAnsi="Arial"/>
                <w:b/>
                <w:bCs/>
                <w:color w:val="1A1A1A"/>
                <w:sz w:val="18"/>
                <w:szCs w:val="18"/>
              </w:rPr>
              <w:t xml:space="preserve">Konsum und Stillleben: </w:t>
            </w:r>
            <w:r>
              <w:rPr>
                <w:rFonts w:ascii="Arial" w:cs="Arial" w:eastAsia="Arial" w:hAnsi="Arial"/>
                <w:color w:val="1A1A1A"/>
                <w:sz w:val="18"/>
                <w:szCs w:val="18"/>
              </w:rPr>
              <w:t xml:space="preserve">Kaugummiautomaten, Spielzeug, Vanitas (Flack, Bell)</w:t>
            </w:r>
          </w:p>
          <w:p>
            <w:pPr>
              <w:pStyle w:val="ListParagraph"/>
              <w:numPr>
                <w:ilvl w:val="0"/>
                <w:numId w:val="2"/>
              </w:numPr>
              <w:spacing w:after="30" w:line="247"/>
            </w:pPr>
            <w:r>
              <w:rPr>
                <w:rFonts w:ascii="Arial" w:cs="Arial" w:eastAsia="Arial" w:hAnsi="Arial"/>
                <w:b/>
                <w:bCs/>
                <w:color w:val="1A1A1A"/>
                <w:sz w:val="18"/>
                <w:szCs w:val="18"/>
              </w:rPr>
              <w:t xml:space="preserve">Mensch und Körper: </w:t>
            </w:r>
            <w:r>
              <w:rPr>
                <w:rFonts w:ascii="Arial" w:cs="Arial" w:eastAsia="Arial" w:hAnsi="Arial"/>
                <w:color w:val="1A1A1A"/>
                <w:sz w:val="18"/>
                <w:szCs w:val="18"/>
              </w:rPr>
              <w:t xml:space="preserve">lebensechte Figuren, Haut, Wasser (Hanson, Mueck)</w:t>
            </w:r>
          </w:p>
        </w:tc>
      </w:tr>
    </w:tbl>
    <w:p>
      <w:pPr>
        <w:keepNext/>
        <w:pBdr>
          <w:bottom w:val="single" w:color="BFBFBF" w:sz="4" w:space="2"/>
        </w:pBdr>
        <w:spacing w:after="70" w:before="150"/>
      </w:pPr>
      <w:r>
        <w:rPr>
          <w:rFonts w:ascii="Georgia" w:cs="Georgia" w:eastAsia="Georgia" w:hAnsi="Georgia"/>
          <w:b/>
          <w:bCs/>
          <w:color w:val="B07400"/>
          <w:sz w:val="24"/>
          <w:szCs w:val="24"/>
        </w:rPr>
        <w:t xml:space="preserve">4  </w:t>
      </w:r>
      <w:r>
        <w:rPr>
          <w:rFonts w:ascii="Georgia" w:cs="Georgia" w:eastAsia="Georgia" w:hAnsi="Georgia"/>
          <w:b/>
          <w:bCs/>
          <w:color w:val="1A1A1A"/>
          <w:sz w:val="24"/>
          <w:szCs w:val="24"/>
        </w:rPr>
        <w:t xml:space="preserve">Hauptvertreter</w:t>
      </w:r>
    </w:p>
    <w:tbl>
      <w:tblPr>
        <w:tblW w:type="dxa" w:w="10318"/>
        <w:tblBorders>
          <w:top w:val="single" w:color="BFBFBF" w:sz="4"/>
          <w:left w:val="none" w:color="FFFFFF" w:sz="0"/>
          <w:bottom w:val="single" w:color="BFBFBF" w:sz="4"/>
          <w:right w:val="none" w:color="FFFFFF" w:sz="0"/>
          <w:insideH w:val="single" w:color="BFBFBF" w:sz="4"/>
          <w:insideV w:val="none" w:color="FFFFFF" w:sz="0"/>
        </w:tblBorders>
        <w:tblLayout w:type="fixed"/>
      </w:tblPr>
      <w:tblGrid>
        <w:gridCol w:w="5099"/>
        <w:gridCol w:w="120"/>
        <w:gridCol w:w="5099"/>
      </w:tblGrid>
      <w:tr>
        <w:tc>
          <w:tcPr>
            <w:tcW w:type="dxa" w:w="5099"/>
            <w:shd w:fill="FDF0CC" w:color="auto" w:val="clear"/>
            <w:tcMar>
              <w:top w:type="dxa" w:w="40"/>
              <w:left w:type="dxa" w:w="90"/>
              <w:bottom w:type="dxa" w:w="40"/>
              <w:right w:type="dxa" w:w="90"/>
            </w:tcMar>
            <w:vAlign w:val="top"/>
          </w:tcPr>
          <w:p>
            <w:pPr>
              <w:spacing w:after="0" w:before="0" w:line="252"/>
            </w:pPr>
            <w:r>
              <w:rPr>
                <w:rFonts w:ascii="Arial" w:cs="Arial" w:eastAsia="Arial" w:hAnsi="Arial"/>
                <w:b/>
                <w:bCs/>
                <w:color w:val="1A1A1A"/>
                <w:sz w:val="18"/>
                <w:szCs w:val="18"/>
              </w:rPr>
              <w:t xml:space="preserve">Fotorealismus</w:t>
            </w:r>
          </w:p>
        </w:tc>
        <w:tc>
          <w:tcPr>
            <w:tcW w:type="dxa" w:w="12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5099"/>
            <w:shd w:fill="DDF0F6" w:color="auto" w:val="clear"/>
            <w:tcMar>
              <w:top w:type="dxa" w:w="40"/>
              <w:left w:type="dxa" w:w="90"/>
              <w:bottom w:type="dxa" w:w="40"/>
              <w:right w:type="dxa" w:w="90"/>
            </w:tcMar>
            <w:vAlign w:val="top"/>
          </w:tcPr>
          <w:p>
            <w:pPr>
              <w:spacing w:after="0" w:before="0" w:line="252"/>
            </w:pPr>
            <w:r>
              <w:rPr>
                <w:rFonts w:ascii="Arial" w:cs="Arial" w:eastAsia="Arial" w:hAnsi="Arial"/>
                <w:b/>
                <w:bCs/>
                <w:color w:val="1A1A1A"/>
                <w:sz w:val="18"/>
                <w:szCs w:val="18"/>
              </w:rPr>
              <w:t xml:space="preserve">Hyperrealismus</w:t>
            </w:r>
          </w:p>
        </w:tc>
      </w:tr>
      <w:tr>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Richard Estes</w:t>
            </w:r>
            <w:r>
              <w:rPr>
                <w:rFonts w:ascii="Arial" w:cs="Arial" w:eastAsia="Arial" w:hAnsi="Arial"/>
                <w:color w:val="5A5A5A"/>
                <w:sz w:val="15"/>
                <w:szCs w:val="15"/>
              </w:rPr>
              <w:t xml:space="preserve">  * 1932 · USA</w:t>
            </w:r>
          </w:p>
          <w:p>
            <w:pPr>
              <w:spacing w:after="0" w:before="0" w:line="252"/>
            </w:pPr>
            <w:r>
              <w:rPr>
                <w:rFonts w:ascii="Arial" w:cs="Arial" w:eastAsia="Arial" w:hAnsi="Arial"/>
                <w:color w:val="1A1A1A"/>
                <w:sz w:val="16"/>
                <w:szCs w:val="16"/>
              </w:rPr>
              <w:t xml:space="preserve">Stadtansichten New Yorks mit Spiegelungen in Glas und Chrom</w:t>
            </w:r>
          </w:p>
        </w:tc>
        <w:tc>
          <w:tcPr>
            <w:tcW w:type="dxa" w:w="12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Duane Hanson</w:t>
            </w:r>
            <w:r>
              <w:rPr>
                <w:rFonts w:ascii="Arial" w:cs="Arial" w:eastAsia="Arial" w:hAnsi="Arial"/>
                <w:color w:val="5A5A5A"/>
                <w:sz w:val="15"/>
                <w:szCs w:val="15"/>
              </w:rPr>
              <w:t xml:space="preserve">  1925–1996 · USA</w:t>
            </w:r>
          </w:p>
          <w:p>
            <w:pPr>
              <w:spacing w:after="0" w:before="0" w:line="252"/>
            </w:pPr>
            <w:r>
              <w:rPr>
                <w:rFonts w:ascii="Arial" w:cs="Arial" w:eastAsia="Arial" w:hAnsi="Arial"/>
                <w:color w:val="1A1A1A"/>
                <w:sz w:val="16"/>
                <w:szCs w:val="16"/>
              </w:rPr>
              <w:t xml:space="preserve">Lebensgroße Figuren aus Polyester mit echter Kleidung</w:t>
            </w:r>
          </w:p>
        </w:tc>
      </w:tr>
      <w:tr>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Chuck Close</w:t>
            </w:r>
            <w:r>
              <w:rPr>
                <w:rFonts w:ascii="Arial" w:cs="Arial" w:eastAsia="Arial" w:hAnsi="Arial"/>
                <w:color w:val="5A5A5A"/>
                <w:sz w:val="15"/>
                <w:szCs w:val="15"/>
              </w:rPr>
              <w:t xml:space="preserve">  1940–2021 · USA</w:t>
            </w:r>
          </w:p>
          <w:p>
            <w:pPr>
              <w:spacing w:after="0" w:before="0" w:line="252"/>
            </w:pPr>
            <w:r>
              <w:rPr>
                <w:rFonts w:ascii="Arial" w:cs="Arial" w:eastAsia="Arial" w:hAnsi="Arial"/>
                <w:color w:val="1A1A1A"/>
                <w:sz w:val="16"/>
                <w:szCs w:val="16"/>
              </w:rPr>
              <w:t xml:space="preserve">Monumentale Porträts, im Raster übertragen</w:t>
            </w:r>
          </w:p>
        </w:tc>
        <w:tc>
          <w:tcPr>
            <w:tcW w:type="dxa" w:w="12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John De Andrea</w:t>
            </w:r>
            <w:r>
              <w:rPr>
                <w:rFonts w:ascii="Arial" w:cs="Arial" w:eastAsia="Arial" w:hAnsi="Arial"/>
                <w:color w:val="5A5A5A"/>
                <w:sz w:val="15"/>
                <w:szCs w:val="15"/>
              </w:rPr>
              <w:t xml:space="preserve">  * 1941 · USA</w:t>
            </w:r>
          </w:p>
          <w:p>
            <w:pPr>
              <w:spacing w:after="0" w:before="0" w:line="252"/>
            </w:pPr>
            <w:r>
              <w:rPr>
                <w:rFonts w:ascii="Arial" w:cs="Arial" w:eastAsia="Arial" w:hAnsi="Arial"/>
                <w:color w:val="1A1A1A"/>
                <w:sz w:val="16"/>
                <w:szCs w:val="16"/>
              </w:rPr>
              <w:t xml:space="preserve">Lebensechte Akt-Figuren aus bemaltem Kunststoff</w:t>
            </w:r>
          </w:p>
        </w:tc>
      </w:tr>
      <w:tr>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Ralph Goings</w:t>
            </w:r>
            <w:r>
              <w:rPr>
                <w:rFonts w:ascii="Arial" w:cs="Arial" w:eastAsia="Arial" w:hAnsi="Arial"/>
                <w:color w:val="5A5A5A"/>
                <w:sz w:val="15"/>
                <w:szCs w:val="15"/>
              </w:rPr>
              <w:t xml:space="preserve">  1928–2016 · USA</w:t>
            </w:r>
          </w:p>
          <w:p>
            <w:pPr>
              <w:spacing w:after="0" w:before="0" w:line="252"/>
            </w:pPr>
            <w:r>
              <w:rPr>
                <w:rFonts w:ascii="Arial" w:cs="Arial" w:eastAsia="Arial" w:hAnsi="Arial"/>
                <w:color w:val="1A1A1A"/>
                <w:sz w:val="16"/>
                <w:szCs w:val="16"/>
              </w:rPr>
              <w:t xml:space="preserve">Diner, Pick-ups und Stillleben vom Imbisstisch</w:t>
            </w:r>
          </w:p>
        </w:tc>
        <w:tc>
          <w:tcPr>
            <w:tcW w:type="dxa" w:w="12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Ron Mueck</w:t>
            </w:r>
            <w:r>
              <w:rPr>
                <w:rFonts w:ascii="Arial" w:cs="Arial" w:eastAsia="Arial" w:hAnsi="Arial"/>
                <w:color w:val="5A5A5A"/>
                <w:sz w:val="15"/>
                <w:szCs w:val="15"/>
              </w:rPr>
              <w:t xml:space="preserve">  * 1958 · Australien</w:t>
            </w:r>
          </w:p>
          <w:p>
            <w:pPr>
              <w:spacing w:after="0" w:before="0" w:line="252"/>
            </w:pPr>
            <w:r>
              <w:rPr>
                <w:rFonts w:ascii="Arial" w:cs="Arial" w:eastAsia="Arial" w:hAnsi="Arial"/>
                <w:color w:val="1A1A1A"/>
                <w:sz w:val="16"/>
                <w:szCs w:val="16"/>
              </w:rPr>
              <w:t xml:space="preserve">Silikon-Skulpturen mit verschobenem Maßstab</w:t>
            </w:r>
          </w:p>
        </w:tc>
      </w:tr>
      <w:tr>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Audrey Flack</w:t>
            </w:r>
            <w:r>
              <w:rPr>
                <w:rFonts w:ascii="Arial" w:cs="Arial" w:eastAsia="Arial" w:hAnsi="Arial"/>
                <w:color w:val="5A5A5A"/>
                <w:sz w:val="15"/>
                <w:szCs w:val="15"/>
              </w:rPr>
              <w:t xml:space="preserve">  1931–2024 · USA</w:t>
            </w:r>
          </w:p>
          <w:p>
            <w:pPr>
              <w:spacing w:after="0" w:before="0" w:line="252"/>
            </w:pPr>
            <w:r>
              <w:rPr>
                <w:rFonts w:ascii="Arial" w:cs="Arial" w:eastAsia="Arial" w:hAnsi="Arial"/>
                <w:color w:val="1A1A1A"/>
                <w:sz w:val="16"/>
                <w:szCs w:val="16"/>
              </w:rPr>
              <w:t xml:space="preserve">Pionierin des Fotorealismus; Vanitas-Stillleben mit Airbrush</w:t>
            </w:r>
          </w:p>
        </w:tc>
        <w:tc>
          <w:tcPr>
            <w:tcW w:type="dxa" w:w="12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Gottfried Helnwein</w:t>
            </w:r>
            <w:r>
              <w:rPr>
                <w:rFonts w:ascii="Arial" w:cs="Arial" w:eastAsia="Arial" w:hAnsi="Arial"/>
                <w:color w:val="5A5A5A"/>
                <w:sz w:val="15"/>
                <w:szCs w:val="15"/>
              </w:rPr>
              <w:t xml:space="preserve">  * 1948 · Österreich/Irland</w:t>
            </w:r>
          </w:p>
          <w:p>
            <w:pPr>
              <w:spacing w:after="0" w:before="0" w:line="252"/>
            </w:pPr>
            <w:r>
              <w:rPr>
                <w:rFonts w:ascii="Arial" w:cs="Arial" w:eastAsia="Arial" w:hAnsi="Arial"/>
                <w:color w:val="1A1A1A"/>
                <w:sz w:val="16"/>
                <w:szCs w:val="16"/>
              </w:rPr>
              <w:t xml:space="preserve">Kinderbilder über Gewalt und Verletzlichkeit</w:t>
            </w:r>
          </w:p>
        </w:tc>
      </w:tr>
      <w:tr>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Robert Bechtle</w:t>
            </w:r>
            <w:r>
              <w:rPr>
                <w:rFonts w:ascii="Arial" w:cs="Arial" w:eastAsia="Arial" w:hAnsi="Arial"/>
                <w:color w:val="5A5A5A"/>
                <w:sz w:val="15"/>
                <w:szCs w:val="15"/>
              </w:rPr>
              <w:t xml:space="preserve">  1932–2020 · USA</w:t>
            </w:r>
          </w:p>
          <w:p>
            <w:pPr>
              <w:spacing w:after="0" w:before="0" w:line="252"/>
            </w:pPr>
            <w:r>
              <w:rPr>
                <w:rFonts w:ascii="Arial" w:cs="Arial" w:eastAsia="Arial" w:hAnsi="Arial"/>
                <w:color w:val="1A1A1A"/>
                <w:sz w:val="16"/>
                <w:szCs w:val="16"/>
              </w:rPr>
              <w:t xml:space="preserve">Kalifornische Vorstadt: Autos, Häuser, Familien</w:t>
            </w:r>
          </w:p>
        </w:tc>
        <w:tc>
          <w:tcPr>
            <w:tcW w:type="dxa" w:w="12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Roberto Bernardi</w:t>
            </w:r>
            <w:r>
              <w:rPr>
                <w:rFonts w:ascii="Arial" w:cs="Arial" w:eastAsia="Arial" w:hAnsi="Arial"/>
                <w:color w:val="5A5A5A"/>
                <w:sz w:val="15"/>
                <w:szCs w:val="15"/>
              </w:rPr>
              <w:t xml:space="preserve">  * 1974 · Italien</w:t>
            </w:r>
          </w:p>
          <w:p>
            <w:pPr>
              <w:spacing w:after="0" w:before="0" w:line="252"/>
            </w:pPr>
            <w:r>
              <w:rPr>
                <w:rFonts w:ascii="Arial" w:cs="Arial" w:eastAsia="Arial" w:hAnsi="Arial"/>
                <w:color w:val="1A1A1A"/>
                <w:sz w:val="16"/>
                <w:szCs w:val="16"/>
              </w:rPr>
              <w:t xml:space="preserve">Glas, Süßigkeiten und Spiegelungen – schärfer als ein Foto</w:t>
            </w:r>
          </w:p>
        </w:tc>
      </w:tr>
      <w:tr>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Franz Gertsch</w:t>
            </w:r>
            <w:r>
              <w:rPr>
                <w:rFonts w:ascii="Arial" w:cs="Arial" w:eastAsia="Arial" w:hAnsi="Arial"/>
                <w:color w:val="5A5A5A"/>
                <w:sz w:val="15"/>
                <w:szCs w:val="15"/>
              </w:rPr>
              <w:t xml:space="preserve">  1930–2022 · Schweiz</w:t>
            </w:r>
          </w:p>
          <w:p>
            <w:pPr>
              <w:spacing w:after="0" w:before="0" w:line="252"/>
            </w:pPr>
            <w:r>
              <w:rPr>
                <w:rFonts w:ascii="Arial" w:cs="Arial" w:eastAsia="Arial" w:hAnsi="Arial"/>
                <w:color w:val="1A1A1A"/>
                <w:sz w:val="16"/>
                <w:szCs w:val="16"/>
              </w:rPr>
              <w:t xml:space="preserve">Bedeutendster europäischer Fotorealist; riesige Porträts</w:t>
            </w:r>
          </w:p>
        </w:tc>
        <w:tc>
          <w:tcPr>
            <w:tcW w:type="dxa" w:w="120"/>
            <w:tcMar>
              <w:top w:type="dxa" w:w="40"/>
              <w:left w:type="dxa" w:w="90"/>
              <w:bottom w:type="dxa" w:w="40"/>
              <w:right w:type="dxa" w:w="90"/>
            </w:tcMar>
            <w:vAlign w:val="top"/>
          </w:tcPr>
          <w:p>
            <w:pPr>
              <w:spacing w:after="0" w:before="0" w:line="252"/>
            </w:pPr>
            <w:r>
              <w:rPr>
                <w:rFonts w:ascii="Arial" w:cs="Arial" w:eastAsia="Arial" w:hAnsi="Arial"/>
                <w:color w:val="1A1A1A"/>
                <w:sz w:val="18"/>
                <w:szCs w:val="18"/>
              </w:rPr>
              <w:t xml:space="preserve"/>
            </w:r>
          </w:p>
        </w:tc>
        <w:tc>
          <w:tcPr>
            <w:tcW w:type="dxa" w:w="5099"/>
            <w:tcMar>
              <w:top w:type="dxa" w:w="30"/>
              <w:left w:type="dxa" w:w="90"/>
              <w:bottom w:type="dxa" w:w="30"/>
              <w:right w:type="dxa" w:w="90"/>
            </w:tcMar>
            <w:vAlign w:val="top"/>
          </w:tcPr>
          <w:p>
            <w:pPr>
              <w:spacing w:after="0" w:before="0" w:line="252"/>
            </w:pPr>
            <w:r>
              <w:rPr>
                <w:rFonts w:ascii="Arial" w:cs="Arial" w:eastAsia="Arial" w:hAnsi="Arial"/>
                <w:b/>
                <w:bCs/>
                <w:color w:val="1A1A1A"/>
                <w:sz w:val="18"/>
                <w:szCs w:val="18"/>
              </w:rPr>
              <w:t xml:space="preserve">Alyssa Monks</w:t>
            </w:r>
            <w:r>
              <w:rPr>
                <w:rFonts w:ascii="Arial" w:cs="Arial" w:eastAsia="Arial" w:hAnsi="Arial"/>
                <w:color w:val="5A5A5A"/>
                <w:sz w:val="15"/>
                <w:szCs w:val="15"/>
              </w:rPr>
              <w:t xml:space="preserve">  * 1977 · USA</w:t>
            </w:r>
          </w:p>
          <w:p>
            <w:pPr>
              <w:spacing w:after="0" w:before="0" w:line="252"/>
            </w:pPr>
            <w:r>
              <w:rPr>
                <w:rFonts w:ascii="Arial" w:cs="Arial" w:eastAsia="Arial" w:hAnsi="Arial"/>
                <w:color w:val="1A1A1A"/>
                <w:sz w:val="16"/>
                <w:szCs w:val="16"/>
              </w:rPr>
              <w:t xml:space="preserve">Körper hinter Wasser und beschlagenem Glas</w:t>
            </w:r>
          </w:p>
        </w:tc>
      </w:tr>
    </w:tbl>
    <w:p>
      <w:pPr>
        <w:keepNext/>
        <w:pBdr>
          <w:bottom w:val="single" w:color="BFBFBF" w:sz="4" w:space="2"/>
        </w:pBdr>
        <w:spacing w:after="70" w:before="150"/>
      </w:pPr>
      <w:r>
        <w:rPr>
          <w:rFonts w:ascii="Georgia" w:cs="Georgia" w:eastAsia="Georgia" w:hAnsi="Georgia"/>
          <w:b/>
          <w:bCs/>
          <w:color w:val="B07400"/>
          <w:sz w:val="24"/>
          <w:szCs w:val="24"/>
        </w:rPr>
        <w:t xml:space="preserve">5  </w:t>
      </w:r>
      <w:r>
        <w:rPr>
          <w:rFonts w:ascii="Georgia" w:cs="Georgia" w:eastAsia="Georgia" w:hAnsi="Georgia"/>
          <w:b/>
          <w:bCs/>
          <w:color w:val="1A1A1A"/>
          <w:sz w:val="24"/>
          <w:szCs w:val="24"/>
        </w:rPr>
        <w:t xml:space="preserve">Werkbeispiele</w:t>
      </w:r>
    </w:p>
    <w:tbl>
      <w:tblPr>
        <w:tblW w:type="dxa" w:w="103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06"/>
        <w:gridCol w:w="200"/>
        <w:gridCol w:w="3306"/>
        <w:gridCol w:w="200"/>
        <w:gridCol w:w="3306"/>
      </w:tblGrid>
      <w:tr>
        <w:tc>
          <w:tcPr>
            <w:tcW w:type="dxa" w:w="3306"/>
            <w:tcMar>
              <w:top w:type="dxa" w:w="40"/>
              <w:left w:type="dxa" w:w="0"/>
              <w:bottom w:type="dxa" w:w="40"/>
              <w:right w:type="dxa" w:w="0"/>
            </w:tcMar>
            <w:vAlign w:val="top"/>
          </w:tcPr>
          <w:tbl>
            <w:tblPr>
              <w:tblW w:type="dxa" w:w="3216"/>
              <w:jc w:val="center"/>
              <w:tblBorders>
                <w:top w:val="single" w:color="BFBFBF" w:sz="4"/>
                <w:left w:val="single" w:color="BFBFBF" w:sz="4"/>
                <w:bottom w:val="single" w:color="BFBFBF" w:sz="4"/>
                <w:right w:val="single" w:color="BFBFBF" w:sz="4"/>
                <w:insideH w:val="none" w:color="FFFFFF" w:sz="0"/>
                <w:insideV w:val="none" w:color="FFFFFF" w:sz="0"/>
              </w:tblBorders>
              <w:tblLayout w:type="fixed"/>
            </w:tblPr>
            <w:tblGrid>
              <w:gridCol w:w="3216"/>
            </w:tblGrid>
            <w:tr>
              <w:trPr>
                <w:trHeight w:val="2238" w:hRule="exact"/>
              </w:trPr>
              <w:tc>
                <w:tcPr>
                  <w:tcW w:type="dxa" w:w="3216"/>
                  <w:shd w:fill="EDEDED" w:color="auto" w:val="clear"/>
                  <w:tcMar>
                    <w:top w:type="dxa" w:w="40"/>
                    <w:left w:type="dxa" w:w="90"/>
                    <w:bottom w:type="dxa" w:w="40"/>
                    <w:right w:type="dxa" w:w="90"/>
                  </w:tcMar>
                  <w:vAlign w:val="center"/>
                </w:tcPr>
                <w:p>
                  <w:pPr>
                    <w:spacing w:after="0" w:before="0" w:line="252"/>
                    <w:jc w:val="center"/>
                  </w:pPr>
                  <w:r>
                    <w:rPr>
                      <w:rFonts w:ascii="Arial" w:cs="Arial" w:eastAsia="Arial" w:hAnsi="Arial"/>
                      <w:b/>
                      <w:bCs/>
                      <w:color w:val="5A5A5A"/>
                      <w:sz w:val="14"/>
                      <w:szCs w:val="14"/>
                    </w:rPr>
                    <w:t xml:space="preserve">Abbildung einfügen</w:t>
                  </w:r>
                </w:p>
                <w:p>
                  <w:pPr>
                    <w:spacing w:after="0" w:before="0" w:line="252"/>
                    <w:jc w:val="center"/>
                  </w:pPr>
                  <w:r>
                    <w:rPr>
                      <w:rFonts w:ascii="Arial" w:cs="Arial" w:eastAsia="Arial" w:hAnsi="Arial"/>
                      <w:i/>
                      <w:iCs/>
                      <w:color w:val="5A5A5A"/>
                      <w:sz w:val="14"/>
                      <w:szCs w:val="14"/>
                    </w:rPr>
                    <w:t xml:space="preserve">Telephone Booths</w:t>
                  </w:r>
                </w:p>
              </w:tc>
            </w:tr>
          </w:tbl>
          <w:p>
            <w:pPr>
              <w:spacing w:after="40" w:before="0" w:line="252"/>
            </w:pPr>
            <w:r>
              <w:rPr>
                <w:rFonts w:ascii="Arial" w:cs="Arial" w:eastAsia="Arial" w:hAnsi="Arial"/>
                <w:color w:val="1A1A1A"/>
                <w:sz w:val="18"/>
                <w:szCs w:val="18"/>
              </w:rPr>
              <w:t xml:space="preserve"/>
            </w:r>
          </w:p>
          <w:p>
            <w:pPr>
              <w:spacing w:after="20" w:before="0" w:line="252"/>
            </w:pPr>
            <w:r>
              <w:rPr>
                <w:rFonts w:ascii="Arial" w:cs="Arial" w:eastAsia="Arial" w:hAnsi="Arial"/>
                <w:b/>
                <w:bCs/>
                <w:color w:val="B07400"/>
                <w:sz w:val="16"/>
                <w:szCs w:val="16"/>
              </w:rPr>
              <w:t xml:space="preserve">Abb. 1: </w:t>
            </w:r>
            <w:r>
              <w:rPr>
                <w:rFonts w:ascii="Arial" w:cs="Arial" w:eastAsia="Arial" w:hAnsi="Arial"/>
                <w:b/>
                <w:bCs/>
                <w:color w:val="1A1A1A"/>
                <w:sz w:val="16"/>
                <w:szCs w:val="16"/>
              </w:rPr>
              <w:t xml:space="preserve">Richard Estes, </w:t>
            </w:r>
            <w:r>
              <w:rPr>
                <w:rFonts w:ascii="Arial" w:cs="Arial" w:eastAsia="Arial" w:hAnsi="Arial"/>
                <w:b/>
                <w:bCs/>
                <w:i/>
                <w:iCs/>
                <w:color w:val="1A1A1A"/>
                <w:sz w:val="16"/>
                <w:szCs w:val="16"/>
              </w:rPr>
              <w:t xml:space="preserve">Telephone Booths</w:t>
            </w:r>
            <w:r>
              <w:rPr>
                <w:rFonts w:ascii="Arial" w:cs="Arial" w:eastAsia="Arial" w:hAnsi="Arial"/>
                <w:b/>
                <w:bCs/>
                <w:color w:val="1A1A1A"/>
                <w:sz w:val="16"/>
                <w:szCs w:val="16"/>
              </w:rPr>
              <w:t xml:space="preserve">, 1967</w:t>
            </w:r>
          </w:p>
          <w:p>
            <w:pPr>
              <w:spacing w:after="30" w:before="0" w:line="252"/>
            </w:pPr>
            <w:r>
              <w:rPr>
                <w:rFonts w:ascii="Arial" w:cs="Arial" w:eastAsia="Arial" w:hAnsi="Arial"/>
                <w:color w:val="5A5A5A"/>
                <w:sz w:val="14"/>
                <w:szCs w:val="14"/>
              </w:rPr>
              <w:t xml:space="preserve">Acryl auf Masonit, 122 × 175,3 cm; Museo Nacional Thyssen-Bornemisza, Madrid</w:t>
            </w:r>
          </w:p>
          <w:p>
            <w:pPr>
              <w:spacing w:after="0" w:before="0" w:line="252"/>
            </w:pPr>
            <w:r>
              <w:rPr>
                <w:rFonts w:ascii="Arial" w:cs="Arial" w:eastAsia="Arial" w:hAnsi="Arial"/>
                <w:color w:val="1A1A1A"/>
                <w:sz w:val="16"/>
                <w:szCs w:val="16"/>
              </w:rPr>
              <w:t xml:space="preserve">Telefonzellen in New York: Spiegelungen in Glas und Metall, durchgehende Schärfe, keine Pinselspur, neutrales Alltagsmotiv.</w:t>
            </w:r>
          </w:p>
        </w:tc>
        <w:tc>
          <w:tcPr>
            <w:tcW w:type="dxa" w:w="200"/>
            <w:tcMar>
              <w:top w:type="dxa" w:w="40"/>
              <w:left w:type="dxa" w:w="0"/>
              <w:bottom w:type="dxa" w:w="40"/>
              <w:right w:type="dxa" w:w="0"/>
            </w:tcMar>
            <w:vAlign w:val="top"/>
          </w:tcPr>
          <w:p>
            <w:pPr>
              <w:spacing w:after="40" w:before="0" w:line="252"/>
            </w:pPr>
            <w:r>
              <w:rPr>
                <w:rFonts w:ascii="Arial" w:cs="Arial" w:eastAsia="Arial" w:hAnsi="Arial"/>
                <w:color w:val="1A1A1A"/>
                <w:sz w:val="18"/>
                <w:szCs w:val="18"/>
              </w:rPr>
              <w:t xml:space="preserve"/>
            </w:r>
          </w:p>
        </w:tc>
        <w:tc>
          <w:tcPr>
            <w:tcW w:type="dxa" w:w="3306"/>
            <w:tcMar>
              <w:top w:type="dxa" w:w="40"/>
              <w:left w:type="dxa" w:w="0"/>
              <w:bottom w:type="dxa" w:w="40"/>
              <w:right w:type="dxa" w:w="0"/>
            </w:tcMar>
            <w:vAlign w:val="top"/>
          </w:tcPr>
          <w:tbl>
            <w:tblPr>
              <w:tblW w:type="dxa" w:w="1748"/>
              <w:jc w:val="center"/>
              <w:tblBorders>
                <w:top w:val="single" w:color="BFBFBF" w:sz="4"/>
                <w:left w:val="single" w:color="BFBFBF" w:sz="4"/>
                <w:bottom w:val="single" w:color="BFBFBF" w:sz="4"/>
                <w:right w:val="single" w:color="BFBFBF" w:sz="4"/>
                <w:insideH w:val="none" w:color="FFFFFF" w:sz="0"/>
                <w:insideV w:val="none" w:color="FFFFFF" w:sz="0"/>
              </w:tblBorders>
              <w:tblLayout w:type="fixed"/>
            </w:tblPr>
            <w:tblGrid>
              <w:gridCol w:w="1748"/>
            </w:tblGrid>
            <w:tr>
              <w:trPr>
                <w:trHeight w:val="2250" w:hRule="exact"/>
              </w:trPr>
              <w:tc>
                <w:tcPr>
                  <w:tcW w:type="dxa" w:w="1748"/>
                  <w:shd w:fill="EDEDED" w:color="auto" w:val="clear"/>
                  <w:tcMar>
                    <w:top w:type="dxa" w:w="40"/>
                    <w:left w:type="dxa" w:w="90"/>
                    <w:bottom w:type="dxa" w:w="40"/>
                    <w:right w:type="dxa" w:w="90"/>
                  </w:tcMar>
                  <w:vAlign w:val="center"/>
                </w:tcPr>
                <w:p>
                  <w:pPr>
                    <w:spacing w:after="0" w:before="0" w:line="252"/>
                    <w:jc w:val="center"/>
                  </w:pPr>
                  <w:r>
                    <w:rPr>
                      <w:rFonts w:ascii="Arial" w:cs="Arial" w:eastAsia="Arial" w:hAnsi="Arial"/>
                      <w:b/>
                      <w:bCs/>
                      <w:color w:val="5A5A5A"/>
                      <w:sz w:val="14"/>
                      <w:szCs w:val="14"/>
                    </w:rPr>
                    <w:t xml:space="preserve">Abbildung einfügen</w:t>
                  </w:r>
                </w:p>
                <w:p>
                  <w:pPr>
                    <w:spacing w:after="0" w:before="0" w:line="252"/>
                    <w:jc w:val="center"/>
                  </w:pPr>
                  <w:r>
                    <w:rPr>
                      <w:rFonts w:ascii="Arial" w:cs="Arial" w:eastAsia="Arial" w:hAnsi="Arial"/>
                      <w:i/>
                      <w:iCs/>
                      <w:color w:val="5A5A5A"/>
                      <w:sz w:val="14"/>
                      <w:szCs w:val="14"/>
                    </w:rPr>
                    <w:t xml:space="preserve">Big Self-Portrait</w:t>
                  </w:r>
                </w:p>
              </w:tc>
            </w:tr>
          </w:tbl>
          <w:p>
            <w:pPr>
              <w:spacing w:after="40" w:before="0" w:line="252"/>
            </w:pPr>
            <w:r>
              <w:rPr>
                <w:rFonts w:ascii="Arial" w:cs="Arial" w:eastAsia="Arial" w:hAnsi="Arial"/>
                <w:color w:val="1A1A1A"/>
                <w:sz w:val="18"/>
                <w:szCs w:val="18"/>
              </w:rPr>
              <w:t xml:space="preserve"/>
            </w:r>
          </w:p>
          <w:p>
            <w:pPr>
              <w:spacing w:after="20" w:before="0" w:line="252"/>
            </w:pPr>
            <w:r>
              <w:rPr>
                <w:rFonts w:ascii="Arial" w:cs="Arial" w:eastAsia="Arial" w:hAnsi="Arial"/>
                <w:b/>
                <w:bCs/>
                <w:color w:val="B07400"/>
                <w:sz w:val="16"/>
                <w:szCs w:val="16"/>
              </w:rPr>
              <w:t xml:space="preserve">Abb. 2: </w:t>
            </w:r>
            <w:r>
              <w:rPr>
                <w:rFonts w:ascii="Arial" w:cs="Arial" w:eastAsia="Arial" w:hAnsi="Arial"/>
                <w:b/>
                <w:bCs/>
                <w:color w:val="1A1A1A"/>
                <w:sz w:val="16"/>
                <w:szCs w:val="16"/>
              </w:rPr>
              <w:t xml:space="preserve">Chuck Close, </w:t>
            </w:r>
            <w:r>
              <w:rPr>
                <w:rFonts w:ascii="Arial" w:cs="Arial" w:eastAsia="Arial" w:hAnsi="Arial"/>
                <w:b/>
                <w:bCs/>
                <w:i/>
                <w:iCs/>
                <w:color w:val="1A1A1A"/>
                <w:sz w:val="16"/>
                <w:szCs w:val="16"/>
              </w:rPr>
              <w:t xml:space="preserve">Big Self-Portrait</w:t>
            </w:r>
            <w:r>
              <w:rPr>
                <w:rFonts w:ascii="Arial" w:cs="Arial" w:eastAsia="Arial" w:hAnsi="Arial"/>
                <w:b/>
                <w:bCs/>
                <w:color w:val="1A1A1A"/>
                <w:sz w:val="16"/>
                <w:szCs w:val="16"/>
              </w:rPr>
              <w:t xml:space="preserve">, 1967–68</w:t>
            </w:r>
          </w:p>
          <w:p>
            <w:pPr>
              <w:spacing w:after="30" w:before="0" w:line="252"/>
            </w:pPr>
            <w:r>
              <w:rPr>
                <w:rFonts w:ascii="Arial" w:cs="Arial" w:eastAsia="Arial" w:hAnsi="Arial"/>
                <w:color w:val="5A5A5A"/>
                <w:sz w:val="14"/>
                <w:szCs w:val="14"/>
              </w:rPr>
              <w:t xml:space="preserve">Acryl auf Leinwand, 273 × 212 cm; Walker Art Center, Minneapolis</w:t>
            </w:r>
          </w:p>
          <w:p>
            <w:pPr>
              <w:spacing w:after="0" w:before="0" w:line="252"/>
            </w:pPr>
            <w:r>
              <w:rPr>
                <w:rFonts w:ascii="Arial" w:cs="Arial" w:eastAsia="Arial" w:hAnsi="Arial"/>
                <w:color w:val="1A1A1A"/>
                <w:sz w:val="16"/>
                <w:szCs w:val="16"/>
              </w:rPr>
              <w:t xml:space="preserve">Selbstporträt, 2,73 m hoch: per Raster vom Foto übertragen; die fotografische Unschärfe an Haaren und Schultern wird mitgemalt.</w:t>
            </w:r>
          </w:p>
        </w:tc>
        <w:tc>
          <w:tcPr>
            <w:tcW w:type="dxa" w:w="200"/>
            <w:tcMar>
              <w:top w:type="dxa" w:w="40"/>
              <w:left w:type="dxa" w:w="0"/>
              <w:bottom w:type="dxa" w:w="40"/>
              <w:right w:type="dxa" w:w="0"/>
            </w:tcMar>
            <w:vAlign w:val="top"/>
          </w:tcPr>
          <w:p>
            <w:pPr>
              <w:spacing w:after="40" w:before="0" w:line="252"/>
            </w:pPr>
            <w:r>
              <w:rPr>
                <w:rFonts w:ascii="Arial" w:cs="Arial" w:eastAsia="Arial" w:hAnsi="Arial"/>
                <w:color w:val="1A1A1A"/>
                <w:sz w:val="18"/>
                <w:szCs w:val="18"/>
              </w:rPr>
              <w:t xml:space="preserve"/>
            </w:r>
          </w:p>
        </w:tc>
        <w:tc>
          <w:tcPr>
            <w:tcW w:type="dxa" w:w="3306"/>
            <w:tcMar>
              <w:top w:type="dxa" w:w="40"/>
              <w:left w:type="dxa" w:w="0"/>
              <w:bottom w:type="dxa" w:w="40"/>
              <w:right w:type="dxa" w:w="0"/>
            </w:tcMar>
            <w:vAlign w:val="top"/>
          </w:tcPr>
          <w:tbl>
            <w:tblPr>
              <w:tblW w:type="dxa" w:w="1800"/>
              <w:jc w:val="center"/>
              <w:tblBorders>
                <w:top w:val="single" w:color="BFBFBF" w:sz="4"/>
                <w:left w:val="single" w:color="BFBFBF" w:sz="4"/>
                <w:bottom w:val="single" w:color="BFBFBF" w:sz="4"/>
                <w:right w:val="single" w:color="BFBFBF" w:sz="4"/>
                <w:insideH w:val="none" w:color="FFFFFF" w:sz="0"/>
                <w:insideV w:val="none" w:color="FFFFFF" w:sz="0"/>
              </w:tblBorders>
              <w:tblLayout w:type="fixed"/>
            </w:tblPr>
            <w:tblGrid>
              <w:gridCol w:w="1800"/>
            </w:tblGrid>
            <w:tr>
              <w:trPr>
                <w:trHeight w:val="2250" w:hRule="exact"/>
              </w:trPr>
              <w:tc>
                <w:tcPr>
                  <w:tcW w:type="dxa" w:w="1800"/>
                  <w:shd w:fill="EDEDED" w:color="auto" w:val="clear"/>
                  <w:tcMar>
                    <w:top w:type="dxa" w:w="40"/>
                    <w:left w:type="dxa" w:w="90"/>
                    <w:bottom w:type="dxa" w:w="40"/>
                    <w:right w:type="dxa" w:w="90"/>
                  </w:tcMar>
                  <w:vAlign w:val="center"/>
                </w:tcPr>
                <w:p>
                  <w:pPr>
                    <w:spacing w:after="0" w:before="0" w:line="252"/>
                    <w:jc w:val="center"/>
                  </w:pPr>
                  <w:r>
                    <w:rPr>
                      <w:rFonts w:ascii="Arial" w:cs="Arial" w:eastAsia="Arial" w:hAnsi="Arial"/>
                      <w:b/>
                      <w:bCs/>
                      <w:color w:val="5A5A5A"/>
                      <w:sz w:val="14"/>
                      <w:szCs w:val="14"/>
                    </w:rPr>
                    <w:t xml:space="preserve">Abbildung einfügen</w:t>
                  </w:r>
                </w:p>
                <w:p>
                  <w:pPr>
                    <w:spacing w:after="0" w:before="0" w:line="252"/>
                    <w:jc w:val="center"/>
                  </w:pPr>
                  <w:r>
                    <w:rPr>
                      <w:rFonts w:ascii="Arial" w:cs="Arial" w:eastAsia="Arial" w:hAnsi="Arial"/>
                      <w:i/>
                      <w:iCs/>
                      <w:color w:val="5A5A5A"/>
                      <w:sz w:val="14"/>
                      <w:szCs w:val="14"/>
                    </w:rPr>
                    <w:t xml:space="preserve">Supermarket Lady</w:t>
                  </w:r>
                </w:p>
              </w:tc>
            </w:tr>
          </w:tbl>
          <w:p>
            <w:pPr>
              <w:spacing w:after="40" w:before="0" w:line="252"/>
            </w:pPr>
            <w:r>
              <w:rPr>
                <w:rFonts w:ascii="Arial" w:cs="Arial" w:eastAsia="Arial" w:hAnsi="Arial"/>
                <w:color w:val="1A1A1A"/>
                <w:sz w:val="18"/>
                <w:szCs w:val="18"/>
              </w:rPr>
              <w:t xml:space="preserve"/>
            </w:r>
          </w:p>
          <w:p>
            <w:pPr>
              <w:spacing w:after="20" w:before="0" w:line="252"/>
            </w:pPr>
            <w:r>
              <w:rPr>
                <w:rFonts w:ascii="Arial" w:cs="Arial" w:eastAsia="Arial" w:hAnsi="Arial"/>
                <w:b/>
                <w:bCs/>
                <w:color w:val="B07400"/>
                <w:sz w:val="16"/>
                <w:szCs w:val="16"/>
              </w:rPr>
              <w:t xml:space="preserve">Abb. 3: </w:t>
            </w:r>
            <w:r>
              <w:rPr>
                <w:rFonts w:ascii="Arial" w:cs="Arial" w:eastAsia="Arial" w:hAnsi="Arial"/>
                <w:b/>
                <w:bCs/>
                <w:color w:val="1A1A1A"/>
                <w:sz w:val="16"/>
                <w:szCs w:val="16"/>
              </w:rPr>
              <w:t xml:space="preserve">Duane Hanson, </w:t>
            </w:r>
            <w:r>
              <w:rPr>
                <w:rFonts w:ascii="Arial" w:cs="Arial" w:eastAsia="Arial" w:hAnsi="Arial"/>
                <w:b/>
                <w:bCs/>
                <w:i/>
                <w:iCs/>
                <w:color w:val="1A1A1A"/>
                <w:sz w:val="16"/>
                <w:szCs w:val="16"/>
              </w:rPr>
              <w:t xml:space="preserve">Supermarket Lady</w:t>
            </w:r>
            <w:r>
              <w:rPr>
                <w:rFonts w:ascii="Arial" w:cs="Arial" w:eastAsia="Arial" w:hAnsi="Arial"/>
                <w:b/>
                <w:bCs/>
                <w:color w:val="1A1A1A"/>
                <w:sz w:val="16"/>
                <w:szCs w:val="16"/>
              </w:rPr>
              <w:t xml:space="preserve">, 1969</w:t>
            </w:r>
          </w:p>
          <w:p>
            <w:pPr>
              <w:spacing w:after="30" w:before="0" w:line="252"/>
            </w:pPr>
            <w:r>
              <w:rPr>
                <w:rFonts w:ascii="Arial" w:cs="Arial" w:eastAsia="Arial" w:hAnsi="Arial"/>
                <w:color w:val="5A5A5A"/>
                <w:sz w:val="14"/>
                <w:szCs w:val="14"/>
              </w:rPr>
              <w:t xml:space="preserve">Polyester, Glasfaser, Kleidung, Einkaufswagen, lebensgroß; Ludwig Forum für Internationale Kunst, Aachen</w:t>
            </w:r>
          </w:p>
          <w:p>
            <w:pPr>
              <w:spacing w:after="0" w:before="0" w:line="252"/>
            </w:pPr>
            <w:r>
              <w:rPr>
                <w:rFonts w:ascii="Arial" w:cs="Arial" w:eastAsia="Arial" w:hAnsi="Arial"/>
                <w:color w:val="1A1A1A"/>
                <w:sz w:val="16"/>
                <w:szCs w:val="16"/>
              </w:rPr>
              <w:t xml:space="preserve">Lebensgroße Figur mit echter Kleidung und Einkaufswagen – im Museum oft für eine echte Besucherin gehalten.</w:t>
            </w:r>
          </w:p>
        </w:tc>
      </w:tr>
    </w:tbl>
    <w:tbl>
      <w:tblPr>
        <w:tblW w:type="dxa" w:w="1031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318"/>
      </w:tblGrid>
      <w:tr>
        <w:tc>
          <w:tcPr>
            <w:tcW w:type="dxa" w:w="10318"/>
            <w:shd w:fill="F3F3F3" w:color="auto" w:val="clear"/>
            <w:tcMar>
              <w:top w:type="dxa" w:w="90"/>
              <w:left w:type="dxa" w:w="140"/>
              <w:bottom w:type="dxa" w:w="90"/>
              <w:right w:type="dxa" w:w="140"/>
            </w:tcMar>
            <w:vAlign w:val="top"/>
          </w:tcPr>
          <w:p>
            <w:pPr>
              <w:spacing w:after="30" w:before="0" w:line="252"/>
            </w:pPr>
            <w:r>
              <w:rPr>
                <w:rFonts w:ascii="Arial" w:cs="Arial" w:eastAsia="Arial" w:hAnsi="Arial"/>
                <w:b/>
                <w:bCs/>
                <w:color w:val="B07400"/>
                <w:sz w:val="18"/>
                <w:szCs w:val="18"/>
              </w:rPr>
              <w:t xml:space="preserve">Zum Nachdenken: </w:t>
            </w:r>
            <w:r>
              <w:rPr>
                <w:rFonts w:ascii="Arial" w:cs="Arial" w:eastAsia="Arial" w:hAnsi="Arial"/>
                <w:b/>
                <w:bCs/>
                <w:color w:val="1A1A1A"/>
                <w:sz w:val="18"/>
                <w:szCs w:val="18"/>
              </w:rPr>
              <w:t xml:space="preserve">Ist es Kunst, ein Foto perfekt abzumalen?</w:t>
            </w:r>
          </w:p>
          <w:p>
            <w:pPr>
              <w:spacing w:after="0" w:before="0" w:line="252"/>
            </w:pPr>
            <w:r>
              <w:rPr>
                <w:rFonts w:ascii="Arial" w:cs="Arial" w:eastAsia="Arial" w:hAnsi="Arial"/>
                <w:color w:val="5A5A5A"/>
                <w:sz w:val="16"/>
                <w:szCs w:val="16"/>
              </w:rPr>
              <w:t xml:space="preserve">Kritiker warfen dem Fotorealismus bloßes Abmalen vor. Die Werke lenken den Blick aber auf unsere Wahrnehmung: Wie sehr vertrauen wir Bildern? In Zeiten von Smartphone, Filtern und KI-Bildern ist diese Frage aktueller denn je.</w:t>
            </w:r>
          </w:p>
        </w:tc>
      </w:tr>
    </w:tbl>
    <w:sectPr>
      <w:pgSz w:w="11906" w:h="16838" w:orient="portrait"/>
      <w:pgMar w:top="794" w:right="794" w:bottom="794" w:left="79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260" w:hanging="200"/>
      </w:pPr>
      <w:rPr>
        <w:color w:val="B074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18"/>
        <w:szCs w:val="1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80"/>
    </w:pPr>
  </w:style>
  <w:style w:type="paragraph" w:styleId="TOC3">
    <w:name w:val="toc 3"/>
    <w:basedOn w:val="Normal"/>
    <w:next w:val="Normal"/>
    <w:uiPriority w:val="39"/>
    <w:semiHidden/>
    <w:unhideWhenUsed/>
    <w:pPr>
      <w:spacing w:after="100"/>
      <w:ind w:left="360"/>
    </w:pPr>
  </w:style>
  <w:style w:type="paragraph" w:styleId="TOC4">
    <w:name w:val="toc 4"/>
    <w:basedOn w:val="Normal"/>
    <w:next w:val="Normal"/>
    <w:uiPriority w:val="39"/>
    <w:semiHidden/>
    <w:unhideWhenUsed/>
    <w:pPr>
      <w:spacing w:after="100"/>
      <w:ind w:left="540"/>
    </w:pPr>
  </w:style>
  <w:style w:type="paragraph" w:styleId="TOC5">
    <w:name w:val="toc 5"/>
    <w:basedOn w:val="Normal"/>
    <w:next w:val="Normal"/>
    <w:uiPriority w:val="39"/>
    <w:semiHidden/>
    <w:unhideWhenUsed/>
    <w:pPr>
      <w:spacing w:after="100"/>
      <w:ind w:left="720"/>
    </w:pPr>
  </w:style>
  <w:style w:type="paragraph" w:styleId="TOC6">
    <w:name w:val="toc 6"/>
    <w:basedOn w:val="Normal"/>
    <w:next w:val="Normal"/>
    <w:uiPriority w:val="39"/>
    <w:semiHidden/>
    <w:unhideWhenUsed/>
    <w:pPr>
      <w:spacing w:after="100"/>
      <w:ind w:left="900"/>
    </w:pPr>
  </w:style>
  <w:style w:type="paragraph" w:styleId="TOC7">
    <w:name w:val="toc 7"/>
    <w:basedOn w:val="Normal"/>
    <w:next w:val="Normal"/>
    <w:uiPriority w:val="39"/>
    <w:semiHidden/>
    <w:unhideWhenUsed/>
    <w:pPr>
      <w:spacing w:after="100"/>
      <w:ind w:left="1080"/>
    </w:pPr>
  </w:style>
  <w:style w:type="paragraph" w:styleId="TOC8">
    <w:name w:val="toc 8"/>
    <w:basedOn w:val="Normal"/>
    <w:next w:val="Normal"/>
    <w:uiPriority w:val="39"/>
    <w:semiHidden/>
    <w:unhideWhenUsed/>
    <w:pPr>
      <w:spacing w:after="100"/>
      <w:ind w:left="1260"/>
    </w:pPr>
  </w:style>
  <w:style w:type="paragraph" w:styleId="TOC9">
    <w:name w:val="toc 9"/>
    <w:basedOn w:val="Normal"/>
    <w:next w:val="Normal"/>
    <w:uiPriority w:val="39"/>
    <w:semiHidden/>
    <w:unhideWhenUsed/>
    <w:pPr>
      <w:spacing w:after="100"/>
      <w:ind w:left="14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Handout: Fotorealismus &amp; Hyperrealismus</dc:title>
  <dc:creator>Referat Kunst</dc:creator>
  <cp:lastModifiedBy>Un-named</cp:lastModifiedBy>
  <cp:revision>1</cp:revision>
  <dcterms:created xsi:type="dcterms:W3CDTF">2026-10-25T12:35:44.506Z</dcterms:created>
  <dcterms:modified xsi:type="dcterms:W3CDTF">2026-10-25T12:35:44.506Z</dcterms:modified>
</cp:coreProperties>
</file>

<file path=docProps/custom.xml><?xml version="1.0" encoding="utf-8"?>
<Properties xmlns="http://schemas.openxmlformats.org/officeDocument/2006/custom-properties" xmlns:vt="http://schemas.openxmlformats.org/officeDocument/2006/docPropsVTypes"/>
</file>