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7555A"/>
    <w:p w14:paraId="7CE17528"/>
    <w:p w14:paraId="08286F22"/>
    <w:p w14:paraId="447FB9AF"/>
    <w:p w14:paraId="22AF4864">
      <w:pPr>
        <w:jc w:val="center"/>
      </w:pPr>
      <w:r>
        <w:rPr>
          <w:rFonts w:ascii="Times New Roman" w:hAnsi="Times New Roman" w:eastAsia="宋体"/>
          <w:b/>
          <w:sz w:val="44"/>
        </w:rPr>
        <w:t>Proj57 任务三报告</w:t>
      </w:r>
    </w:p>
    <w:p w14:paraId="5EBFF233">
      <w:pPr>
        <w:jc w:val="center"/>
      </w:pPr>
      <w:r>
        <w:rPr>
          <w:rFonts w:ascii="Times New Roman" w:hAnsi="Times New Roman" w:eastAsia="宋体"/>
          <w:b/>
          <w:sz w:val="32"/>
        </w:rPr>
        <w:t>ACT 在 StarryOS / QEMU 上的 CPU 推理</w:t>
      </w:r>
    </w:p>
    <w:p w14:paraId="6FD12303"/>
    <w:p w14:paraId="39C9DB08"/>
    <w:p w14:paraId="2E0CB9E9"/>
    <w:p w14:paraId="5F2EBA61"/>
    <w:p w14:paraId="517F5AAA"/>
    <w:p w14:paraId="4E1E23C8">
      <w:pPr>
        <w:jc w:val="center"/>
      </w:pPr>
      <w:r>
        <w:rPr>
          <w:rFonts w:ascii="Times New Roman" w:hAnsi="Times New Roman" w:eastAsia="宋体"/>
          <w:b w:val="0"/>
          <w:sz w:val="24"/>
        </w:rPr>
        <w:t>汇报内容：当前进展、实现流程、阶段结果与后续计划</w:t>
      </w:r>
    </w:p>
    <w:p w14:paraId="03A0290D">
      <w:pPr>
        <w:jc w:val="center"/>
      </w:pPr>
      <w:r>
        <w:rPr>
          <w:rFonts w:ascii="Times New Roman" w:hAnsi="Times New Roman" w:eastAsia="宋体"/>
          <w:b w:val="0"/>
          <w:sz w:val="24"/>
        </w:rPr>
        <w:t>汇报阶段：项目中期</w:t>
      </w:r>
    </w:p>
    <w:p w14:paraId="52EE2906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b w:val="0"/>
          <w:sz w:val="24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日期：2026 年 6 月</w:t>
      </w:r>
      <w:r>
        <w:rPr>
          <w:rFonts w:hint="eastAsia"/>
          <w:b w:val="0"/>
          <w:sz w:val="24"/>
          <w:lang w:val="en-US" w:eastAsia="zh-CN"/>
        </w:rPr>
        <w:t>5日</w:t>
      </w:r>
    </w:p>
    <w:p w14:paraId="57BE662F">
      <w:r>
        <w:br w:type="page"/>
      </w:r>
    </w:p>
    <w:p w14:paraId="2D38042F">
      <w:pPr>
        <w:pStyle w:val="3"/>
        <w:spacing w:before="240" w:after="120"/>
      </w:pPr>
      <w:r>
        <w:rPr>
          <w:rFonts w:ascii="Times New Roman" w:hAnsi="Times New Roman" w:eastAsia="宋体"/>
          <w:b/>
          <w:sz w:val="32"/>
        </w:rPr>
        <w:t>一、当前阶段完成情况</w:t>
      </w:r>
    </w:p>
    <w:p w14:paraId="14B33E60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本阶段围绕 Proj57 任务三开展工作，目标是在 QEMU 模拟的 RISC-V StarryOS 环境中完成 ACT 模型的 CPU 推理验证。目前已经完成模型导出与量化方案筛选、C++ 推理程序实现、StarryOS/QEMU 部署运行、单帧推理验证、闭环数据集评测以及运行时资源统计。从结果看，任务三所需的端到端流程已经跑通，并形成了可复现实验数据。</w:t>
      </w:r>
    </w:p>
    <w:p w14:paraId="21142741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整体实现没有直接依赖训练环境，而是将训练后的 ACT 模型转为 ONNX，并在用户态通过 ONNX Runtime 进行 CPU 推理。这样做的好处是部署链路相对清晰，便于在 StarryOS/QEMU 环境中验证，也便于后续替换模型或继续做性能优化。</w:t>
      </w:r>
    </w:p>
    <w:p w14:paraId="6643BF5B">
      <w:pPr>
        <w:spacing w:before="120" w:after="80"/>
        <w:jc w:val="center"/>
      </w:pPr>
      <w:r>
        <w:rPr>
          <w:rFonts w:ascii="Times New Roman" w:hAnsi="Times New Roman" w:eastAsia="宋体"/>
          <w:b w:val="0"/>
          <w:sz w:val="22"/>
        </w:rPr>
        <w:t>表 1 当前完成情况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06EA4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4E93DEC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工作项</w:t>
            </w:r>
          </w:p>
        </w:tc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7562FC5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当前状态</w:t>
            </w:r>
          </w:p>
        </w:tc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6CB61A7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038AE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16BA350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模型部署形态</w:t>
            </w:r>
          </w:p>
        </w:tc>
        <w:tc>
          <w:tcPr>
            <w:tcW w:w="3060" w:type="dxa"/>
            <w:vAlign w:val="center"/>
          </w:tcPr>
          <w:p w14:paraId="1823C11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w="3060" w:type="dxa"/>
            <w:vAlign w:val="center"/>
          </w:tcPr>
          <w:p w14:paraId="329229F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ACT 模型已转为 ONNX，并完成量化方案选择</w:t>
            </w:r>
          </w:p>
        </w:tc>
      </w:tr>
      <w:tr w14:paraId="1EFA3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EC2236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用户态推理程序</w:t>
            </w:r>
          </w:p>
        </w:tc>
        <w:tc>
          <w:tcPr>
            <w:tcW w:w="3060" w:type="dxa"/>
            <w:vAlign w:val="center"/>
          </w:tcPr>
          <w:p w14:paraId="7C8FD0E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w="3060" w:type="dxa"/>
            <w:vAlign w:val="center"/>
          </w:tcPr>
          <w:p w14:paraId="06E155F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C++ 程序可完成图像预处理、模型推理与动作解析</w:t>
            </w:r>
          </w:p>
        </w:tc>
      </w:tr>
      <w:tr w14:paraId="66D0D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69545E0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StarryOS/QEMU 运行</w:t>
            </w:r>
          </w:p>
        </w:tc>
        <w:tc>
          <w:tcPr>
            <w:tcW w:w="3060" w:type="dxa"/>
            <w:vAlign w:val="center"/>
          </w:tcPr>
          <w:p w14:paraId="6C2B75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w="3060" w:type="dxa"/>
            <w:vAlign w:val="center"/>
          </w:tcPr>
          <w:p w14:paraId="64CB10B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已在 RISC-V QEMU 环境下完成单帧推理</w:t>
            </w:r>
          </w:p>
        </w:tc>
      </w:tr>
      <w:tr w14:paraId="0E486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2D71BC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闭环评测</w:t>
            </w:r>
          </w:p>
        </w:tc>
        <w:tc>
          <w:tcPr>
            <w:tcW w:w="3060" w:type="dxa"/>
            <w:vAlign w:val="center"/>
          </w:tcPr>
          <w:p w14:paraId="67476DD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w="3060" w:type="dxa"/>
            <w:vAlign w:val="center"/>
          </w:tcPr>
          <w:p w14:paraId="4131EF2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完成 666 帧闭环数据评测</w:t>
            </w:r>
          </w:p>
        </w:tc>
      </w:tr>
      <w:tr w14:paraId="2B972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0E56690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资源统计</w:t>
            </w:r>
          </w:p>
        </w:tc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2FF1A46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已完成</w:t>
            </w:r>
          </w:p>
        </w:tc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36B5E6B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完成耗时与内存峰值统计</w:t>
            </w:r>
          </w:p>
        </w:tc>
      </w:tr>
    </w:tbl>
    <w:p w14:paraId="6DFFE128">
      <w:pPr>
        <w:rPr>
          <w:rFonts w:hint="eastAsia" w:eastAsia="宋体"/>
          <w:lang w:eastAsia="zh-CN"/>
        </w:rPr>
      </w:pPr>
    </w:p>
    <w:p w14:paraId="5291D9BC">
      <w:pPr>
        <w:rPr>
          <w:rFonts w:hint="eastAsia" w:eastAsia="宋体"/>
          <w:lang w:eastAsia="zh-CN"/>
        </w:rPr>
      </w:pPr>
    </w:p>
    <w:p w14:paraId="016A4553">
      <w:pPr>
        <w:pStyle w:val="3"/>
        <w:spacing w:before="240" w:after="120"/>
      </w:pPr>
      <w:r>
        <w:rPr>
          <w:rFonts w:ascii="Times New Roman" w:hAnsi="Times New Roman" w:eastAsia="宋体"/>
          <w:b/>
          <w:sz w:val="32"/>
        </w:rPr>
        <w:t>二、实现流程概述</w:t>
      </w:r>
    </w:p>
    <w:p w14:paraId="39CD044B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本阶段采用的流程可以概括为：先将 ACT 模型整理为适合部署的 ONNX 格式，再对模型做轻量化处理；随后编写 C++ 用户态推理程序，完成图像缩放、归一化、状态输入构造、ONNX Runtime 推理和动作反归一化；最后将程序、模型和必要参数放入 StarryOS 运行环境，在 QEMU 中完成验证。</w:t>
      </w:r>
    </w:p>
    <w:p w14:paraId="743B8E76">
      <w:pPr>
        <w:spacing w:after="120" w:line="300" w:lineRule="auto"/>
        <w:ind w:firstLine="42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推理输出是左右轮速度等动作信息。本报告中涉及“轮速差”的指标，是指左轮速度与右轮速度之差。该差值的符号可用于判断左转、右转或直行，因此既能评价数值误差，也能评价方向决策是否正确。</w:t>
      </w:r>
    </w:p>
    <w:p w14:paraId="23C09AB8">
      <w:pPr>
        <w:spacing w:after="120" w:line="300" w:lineRule="auto"/>
        <w:ind w:firstLine="420"/>
        <w:rPr>
          <w:rFonts w:ascii="Times New Roman" w:hAnsi="Times New Roman" w:eastAsia="宋体"/>
          <w:b w:val="0"/>
          <w:sz w:val="24"/>
        </w:rPr>
      </w:pPr>
    </w:p>
    <w:p w14:paraId="372A6301">
      <w:pPr>
        <w:spacing w:after="120" w:line="300" w:lineRule="auto"/>
        <w:ind w:firstLine="420"/>
        <w:rPr>
          <w:rFonts w:ascii="Times New Roman" w:hAnsi="Times New Roman" w:eastAsia="宋体"/>
          <w:b w:val="0"/>
          <w:sz w:val="24"/>
        </w:rPr>
      </w:pPr>
    </w:p>
    <w:p w14:paraId="672DE2B1">
      <w:pPr>
        <w:spacing w:before="120" w:after="80"/>
        <w:jc w:val="center"/>
      </w:pPr>
      <w:r>
        <w:rPr>
          <w:rFonts w:ascii="Times New Roman" w:hAnsi="Times New Roman" w:eastAsia="宋体"/>
          <w:b w:val="0"/>
          <w:sz w:val="22"/>
        </w:rPr>
        <w:t>表 2 实现流程概述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3B852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5F615B5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阶段</w:t>
            </w:r>
          </w:p>
        </w:tc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010A1F2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做法</w:t>
            </w:r>
          </w:p>
        </w:tc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07C0B73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产出</w:t>
            </w:r>
          </w:p>
        </w:tc>
      </w:tr>
      <w:tr w14:paraId="309A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4026207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模型准备</w:t>
            </w:r>
          </w:p>
        </w:tc>
        <w:tc>
          <w:tcPr>
            <w:tcW w:w="3060" w:type="dxa"/>
            <w:vAlign w:val="center"/>
          </w:tcPr>
          <w:p w14:paraId="5800002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将训练模型导出为 ONNX，并比较不同量化方案</w:t>
            </w:r>
          </w:p>
        </w:tc>
        <w:tc>
          <w:tcPr>
            <w:tcW w:w="3060" w:type="dxa"/>
            <w:vAlign w:val="center"/>
          </w:tcPr>
          <w:p w14:paraId="3E8519F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约 50 MB 的部署模型</w:t>
            </w:r>
          </w:p>
        </w:tc>
      </w:tr>
      <w:tr w14:paraId="4CB6A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0008977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推理程序</w:t>
            </w:r>
          </w:p>
        </w:tc>
        <w:tc>
          <w:tcPr>
            <w:tcW w:w="3060" w:type="dxa"/>
            <w:vAlign w:val="center"/>
          </w:tcPr>
          <w:p w14:paraId="3050235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用 C++ 接入 ONNX Runtime，完成预处理、推理和动作解析</w:t>
            </w:r>
          </w:p>
        </w:tc>
        <w:tc>
          <w:tcPr>
            <w:tcW w:w="3060" w:type="dxa"/>
            <w:vAlign w:val="center"/>
          </w:tcPr>
          <w:p w14:paraId="06BFC98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RISC-V 用户态可执行程序</w:t>
            </w:r>
          </w:p>
        </w:tc>
      </w:tr>
      <w:tr w14:paraId="0C3A7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2E50113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系统部署</w:t>
            </w:r>
          </w:p>
        </w:tc>
        <w:tc>
          <w:tcPr>
            <w:tcW w:w="3060" w:type="dxa"/>
            <w:vAlign w:val="center"/>
          </w:tcPr>
          <w:p w14:paraId="64F672A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在 StarryOS/QEMU 中运行推理程序</w:t>
            </w:r>
          </w:p>
        </w:tc>
        <w:tc>
          <w:tcPr>
            <w:tcW w:w="3060" w:type="dxa"/>
            <w:vAlign w:val="center"/>
          </w:tcPr>
          <w:p w14:paraId="50E4F56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单帧运行结果和资源数据</w:t>
            </w:r>
          </w:p>
        </w:tc>
      </w:tr>
      <w:tr w14:paraId="3FC41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6C0FD52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结果验证</w:t>
            </w:r>
          </w:p>
        </w:tc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4CE079F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使用 666 帧数据进行闭环评测</w:t>
            </w:r>
          </w:p>
        </w:tc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2ACBD72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误差、方向一致性和稳定性结果</w:t>
            </w:r>
          </w:p>
        </w:tc>
      </w:tr>
    </w:tbl>
    <w:p w14:paraId="7DC01A9D"/>
    <w:p w14:paraId="569ABB8E">
      <w:pPr>
        <w:pStyle w:val="3"/>
        <w:spacing w:before="240" w:after="120"/>
      </w:pPr>
      <w:r>
        <w:rPr>
          <w:rFonts w:ascii="Times New Roman" w:hAnsi="Times New Roman" w:eastAsia="宋体"/>
          <w:b/>
          <w:sz w:val="32"/>
        </w:rPr>
        <w:t>三、阶段性结果</w:t>
      </w:r>
    </w:p>
    <w:p w14:paraId="25953DAA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当前结果主要从三方面观察：模型轻量化效果、推理正确性和运行资源。模型方面，部署模型大小约 50 MB，相比 FP32 参考模型约 194 MB 明显减小；推理方面，单帧样例能给出与真值一致的转向判断；评测方面，闭环 666 帧运行未出现进程错误。</w:t>
      </w:r>
    </w:p>
    <w:p w14:paraId="5FE3E429">
      <w:pPr>
        <w:spacing w:before="120" w:after="80"/>
        <w:jc w:val="center"/>
      </w:pPr>
      <w:r>
        <w:rPr>
          <w:rFonts w:ascii="Times New Roman" w:hAnsi="Times New Roman" w:eastAsia="宋体"/>
          <w:b w:val="0"/>
          <w:sz w:val="22"/>
        </w:rPr>
        <w:t>表 3 关键结果汇总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32F4D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5EE6140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类别</w:t>
            </w:r>
          </w:p>
        </w:tc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3F29AAB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52F2935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结果</w:t>
            </w:r>
          </w:p>
        </w:tc>
      </w:tr>
      <w:tr w14:paraId="718AB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060" w:type="dxa"/>
            <w:vAlign w:val="center"/>
          </w:tcPr>
          <w:p w14:paraId="0B030B9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模型体积</w:t>
            </w:r>
          </w:p>
        </w:tc>
        <w:tc>
          <w:tcPr>
            <w:tcW w:w="3060" w:type="dxa"/>
            <w:vAlign w:val="center"/>
          </w:tcPr>
          <w:p w14:paraId="3EAD16B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部署模型大小</w:t>
            </w:r>
          </w:p>
        </w:tc>
        <w:tc>
          <w:tcPr>
            <w:tcW w:w="3060" w:type="dxa"/>
            <w:vAlign w:val="center"/>
          </w:tcPr>
          <w:p w14:paraId="1705E7F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约 50 MB</w:t>
            </w:r>
          </w:p>
        </w:tc>
      </w:tr>
      <w:tr w14:paraId="39443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3626498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单帧推理</w:t>
            </w:r>
          </w:p>
        </w:tc>
        <w:tc>
          <w:tcPr>
            <w:tcW w:w="3060" w:type="dxa"/>
            <w:vAlign w:val="center"/>
          </w:tcPr>
          <w:p w14:paraId="175BA97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左转样例方向判断</w:t>
            </w:r>
          </w:p>
        </w:tc>
        <w:tc>
          <w:tcPr>
            <w:tcW w:w="3060" w:type="dxa"/>
            <w:vAlign w:val="center"/>
          </w:tcPr>
          <w:p w14:paraId="6484DD4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预测为左转，与真值一致</w:t>
            </w:r>
          </w:p>
        </w:tc>
      </w:tr>
      <w:tr w14:paraId="540C9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6FB20A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闭环评测</w:t>
            </w:r>
          </w:p>
        </w:tc>
        <w:tc>
          <w:tcPr>
            <w:tcW w:w="3060" w:type="dxa"/>
            <w:vAlign w:val="center"/>
          </w:tcPr>
          <w:p w14:paraId="09121C1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样本数</w:t>
            </w:r>
          </w:p>
        </w:tc>
        <w:tc>
          <w:tcPr>
            <w:tcW w:w="3060" w:type="dxa"/>
            <w:vAlign w:val="center"/>
          </w:tcPr>
          <w:p w14:paraId="38A3482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666 帧</w:t>
            </w:r>
          </w:p>
        </w:tc>
      </w:tr>
      <w:tr w14:paraId="3F516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B5AB84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闭环评测</w:t>
            </w:r>
          </w:p>
        </w:tc>
        <w:tc>
          <w:tcPr>
            <w:tcW w:w="3060" w:type="dxa"/>
            <w:vAlign w:val="center"/>
          </w:tcPr>
          <w:p w14:paraId="4FE9366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轮速差平均绝对误差</w:t>
            </w:r>
          </w:p>
        </w:tc>
        <w:tc>
          <w:tcPr>
            <w:tcW w:w="3060" w:type="dxa"/>
            <w:vAlign w:val="center"/>
          </w:tcPr>
          <w:p w14:paraId="02B9C5C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0.019771</w:t>
            </w:r>
          </w:p>
        </w:tc>
      </w:tr>
      <w:tr w14:paraId="42689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2D231F7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闭环评测</w:t>
            </w:r>
          </w:p>
        </w:tc>
        <w:tc>
          <w:tcPr>
            <w:tcW w:w="3060" w:type="dxa"/>
            <w:vAlign w:val="center"/>
          </w:tcPr>
          <w:p w14:paraId="5F65F14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轮速差误差不超过 0.01 的比例</w:t>
            </w:r>
          </w:p>
        </w:tc>
        <w:tc>
          <w:tcPr>
            <w:tcW w:w="3060" w:type="dxa"/>
            <w:vAlign w:val="center"/>
          </w:tcPr>
          <w:p w14:paraId="4DECB89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89.79%</w:t>
            </w:r>
          </w:p>
        </w:tc>
      </w:tr>
      <w:tr w14:paraId="552C3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7C72B2D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方向判断</w:t>
            </w:r>
          </w:p>
        </w:tc>
        <w:tc>
          <w:tcPr>
            <w:tcW w:w="3060" w:type="dxa"/>
            <w:vAlign w:val="center"/>
          </w:tcPr>
          <w:p w14:paraId="0B2A7E1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忽略预测为直行后的转向符号准确率</w:t>
            </w:r>
          </w:p>
        </w:tc>
        <w:tc>
          <w:tcPr>
            <w:tcW w:w="3060" w:type="dxa"/>
            <w:vAlign w:val="center"/>
          </w:tcPr>
          <w:p w14:paraId="180DA3E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92.31%</w:t>
            </w:r>
          </w:p>
        </w:tc>
      </w:tr>
      <w:tr w14:paraId="0C059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23EC923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方向判断</w:t>
            </w:r>
          </w:p>
        </w:tc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299B3B5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反向预测次数</w:t>
            </w:r>
          </w:p>
        </w:tc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27202CC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 次</w:t>
            </w:r>
          </w:p>
        </w:tc>
      </w:tr>
    </w:tbl>
    <w:p w14:paraId="0C2CC322"/>
    <w:p w14:paraId="5E77628F">
      <w:pPr>
        <w:spacing w:after="120" w:line="300" w:lineRule="auto"/>
        <w:ind w:firstLine="420"/>
        <w:rPr>
          <w:rFonts w:ascii="Times New Roman" w:hAnsi="Times New Roman" w:eastAsia="宋体"/>
          <w:b w:val="0"/>
          <w:sz w:val="22"/>
        </w:rPr>
      </w:pPr>
      <w:r>
        <w:rPr>
          <w:rFonts w:ascii="Times New Roman" w:hAnsi="Times New Roman" w:eastAsia="宋体"/>
          <w:b w:val="0"/>
          <w:sz w:val="24"/>
        </w:rPr>
        <w:t>这里的“忽略预测为直行后的转向符号准确率”用于观察模型一旦给出转向时，左右方向是否判断正确。该指标较高说明模型的左右关系没有出现系统性反转；但同时也要注意，当前模型偏保守，部分真实转向帧会被预测为直行。</w:t>
      </w:r>
      <w:bookmarkStart w:id="0" w:name="_GoBack"/>
      <w:bookmarkEnd w:id="0"/>
    </w:p>
    <w:p w14:paraId="70ABB603">
      <w:pPr>
        <w:spacing w:before="120" w:after="80"/>
        <w:jc w:val="center"/>
      </w:pPr>
      <w:r>
        <w:rPr>
          <w:rFonts w:ascii="Times New Roman" w:hAnsi="Times New Roman" w:eastAsia="宋体"/>
          <w:b w:val="0"/>
          <w:sz w:val="22"/>
        </w:rPr>
        <w:t>表 4 典型转向帧预测样例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1530"/>
        <w:gridCol w:w="1530"/>
        <w:gridCol w:w="1530"/>
        <w:gridCol w:w="1530"/>
        <w:gridCol w:w="1530"/>
      </w:tblGrid>
      <w:tr w14:paraId="6DD91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7595387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帧号</w:t>
            </w:r>
          </w:p>
        </w:tc>
        <w:tc>
          <w:tcPr>
            <w:tcW w:w="153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14B1D53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真值左轮速</w:t>
            </w:r>
          </w:p>
        </w:tc>
        <w:tc>
          <w:tcPr>
            <w:tcW w:w="153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247ECCE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真值右轮速</w:t>
            </w:r>
          </w:p>
        </w:tc>
        <w:tc>
          <w:tcPr>
            <w:tcW w:w="153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69232D5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预测左轮速</w:t>
            </w:r>
          </w:p>
        </w:tc>
        <w:tc>
          <w:tcPr>
            <w:tcW w:w="153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475FA33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预测右轮速</w:t>
            </w:r>
          </w:p>
        </w:tc>
        <w:tc>
          <w:tcPr>
            <w:tcW w:w="153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31C1CD5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方向是否一致</w:t>
            </w:r>
          </w:p>
        </w:tc>
      </w:tr>
      <w:tr w14:paraId="3CA5F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359FAF9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37</w:t>
            </w:r>
          </w:p>
        </w:tc>
        <w:tc>
          <w:tcPr>
            <w:tcW w:w="1530" w:type="dxa"/>
            <w:vAlign w:val="center"/>
          </w:tcPr>
          <w:p w14:paraId="6139984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-0.100000</w:t>
            </w:r>
          </w:p>
        </w:tc>
        <w:tc>
          <w:tcPr>
            <w:tcW w:w="1530" w:type="dxa"/>
            <w:vAlign w:val="center"/>
          </w:tcPr>
          <w:p w14:paraId="388EF70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0.100000</w:t>
            </w:r>
          </w:p>
        </w:tc>
        <w:tc>
          <w:tcPr>
            <w:tcW w:w="1530" w:type="dxa"/>
            <w:vAlign w:val="center"/>
          </w:tcPr>
          <w:p w14:paraId="736431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-0.115220</w:t>
            </w:r>
          </w:p>
        </w:tc>
        <w:tc>
          <w:tcPr>
            <w:tcW w:w="1530" w:type="dxa"/>
            <w:vAlign w:val="center"/>
          </w:tcPr>
          <w:p w14:paraId="084964B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0.109597</w:t>
            </w:r>
          </w:p>
        </w:tc>
        <w:tc>
          <w:tcPr>
            <w:tcW w:w="1530" w:type="dxa"/>
            <w:vAlign w:val="center"/>
          </w:tcPr>
          <w:p w14:paraId="2F85330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一致</w:t>
            </w:r>
          </w:p>
        </w:tc>
      </w:tr>
      <w:tr w14:paraId="42051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04D690A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59</w:t>
            </w:r>
          </w:p>
        </w:tc>
        <w:tc>
          <w:tcPr>
            <w:tcW w:w="1530" w:type="dxa"/>
            <w:vAlign w:val="center"/>
          </w:tcPr>
          <w:p w14:paraId="2212816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-0.100000</w:t>
            </w:r>
          </w:p>
        </w:tc>
        <w:tc>
          <w:tcPr>
            <w:tcW w:w="1530" w:type="dxa"/>
            <w:vAlign w:val="center"/>
          </w:tcPr>
          <w:p w14:paraId="2833A83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0.100000</w:t>
            </w:r>
          </w:p>
        </w:tc>
        <w:tc>
          <w:tcPr>
            <w:tcW w:w="1530" w:type="dxa"/>
            <w:vAlign w:val="center"/>
          </w:tcPr>
          <w:p w14:paraId="06DF3A8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-0.109223</w:t>
            </w:r>
          </w:p>
        </w:tc>
        <w:tc>
          <w:tcPr>
            <w:tcW w:w="1530" w:type="dxa"/>
            <w:vAlign w:val="center"/>
          </w:tcPr>
          <w:p w14:paraId="0EB4F5C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0.106129</w:t>
            </w:r>
          </w:p>
        </w:tc>
        <w:tc>
          <w:tcPr>
            <w:tcW w:w="1530" w:type="dxa"/>
            <w:vAlign w:val="center"/>
          </w:tcPr>
          <w:p w14:paraId="5831559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一致</w:t>
            </w:r>
          </w:p>
        </w:tc>
      </w:tr>
      <w:tr w14:paraId="27D3E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080F417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228</w:t>
            </w:r>
          </w:p>
        </w:tc>
        <w:tc>
          <w:tcPr>
            <w:tcW w:w="1530" w:type="dxa"/>
            <w:vAlign w:val="center"/>
          </w:tcPr>
          <w:p w14:paraId="262213F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0.100000</w:t>
            </w:r>
          </w:p>
        </w:tc>
        <w:tc>
          <w:tcPr>
            <w:tcW w:w="1530" w:type="dxa"/>
            <w:vAlign w:val="center"/>
          </w:tcPr>
          <w:p w14:paraId="3839D03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-0.100000</w:t>
            </w:r>
          </w:p>
        </w:tc>
        <w:tc>
          <w:tcPr>
            <w:tcW w:w="1530" w:type="dxa"/>
            <w:vAlign w:val="center"/>
          </w:tcPr>
          <w:p w14:paraId="664CF0C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0.119421</w:t>
            </w:r>
          </w:p>
        </w:tc>
        <w:tc>
          <w:tcPr>
            <w:tcW w:w="1530" w:type="dxa"/>
            <w:vAlign w:val="center"/>
          </w:tcPr>
          <w:p w14:paraId="3B19122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-0.115526</w:t>
            </w:r>
          </w:p>
        </w:tc>
        <w:tc>
          <w:tcPr>
            <w:tcW w:w="1530" w:type="dxa"/>
            <w:vAlign w:val="center"/>
          </w:tcPr>
          <w:p w14:paraId="3DBCF12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一致</w:t>
            </w:r>
          </w:p>
        </w:tc>
      </w:tr>
      <w:tr w14:paraId="150A1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0C84B28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229</w:t>
            </w:r>
          </w:p>
        </w:tc>
        <w:tc>
          <w:tcPr>
            <w:tcW w:w="1530" w:type="dxa"/>
            <w:vAlign w:val="center"/>
          </w:tcPr>
          <w:p w14:paraId="75650C3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0.100000</w:t>
            </w:r>
          </w:p>
        </w:tc>
        <w:tc>
          <w:tcPr>
            <w:tcW w:w="1530" w:type="dxa"/>
            <w:vAlign w:val="center"/>
          </w:tcPr>
          <w:p w14:paraId="60CD9D8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-0.100000</w:t>
            </w:r>
          </w:p>
        </w:tc>
        <w:tc>
          <w:tcPr>
            <w:tcW w:w="1530" w:type="dxa"/>
            <w:vAlign w:val="center"/>
          </w:tcPr>
          <w:p w14:paraId="3A7F93D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0.108897</w:t>
            </w:r>
          </w:p>
        </w:tc>
        <w:tc>
          <w:tcPr>
            <w:tcW w:w="1530" w:type="dxa"/>
            <w:vAlign w:val="center"/>
          </w:tcPr>
          <w:p w14:paraId="03C3233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-0.110603</w:t>
            </w:r>
          </w:p>
        </w:tc>
        <w:tc>
          <w:tcPr>
            <w:tcW w:w="1530" w:type="dxa"/>
            <w:vAlign w:val="center"/>
          </w:tcPr>
          <w:p w14:paraId="5DB4A3D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一致</w:t>
            </w:r>
          </w:p>
        </w:tc>
      </w:tr>
      <w:tr w14:paraId="02F5A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522E2E2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313</w:t>
            </w:r>
          </w:p>
        </w:tc>
        <w:tc>
          <w:tcPr>
            <w:tcW w:w="1530" w:type="dxa"/>
            <w:vAlign w:val="center"/>
          </w:tcPr>
          <w:p w14:paraId="701274F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0.100000</w:t>
            </w:r>
          </w:p>
        </w:tc>
        <w:tc>
          <w:tcPr>
            <w:tcW w:w="1530" w:type="dxa"/>
            <w:vAlign w:val="center"/>
          </w:tcPr>
          <w:p w14:paraId="7C30D2F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-0.100000</w:t>
            </w:r>
          </w:p>
        </w:tc>
        <w:tc>
          <w:tcPr>
            <w:tcW w:w="1530" w:type="dxa"/>
            <w:vAlign w:val="center"/>
          </w:tcPr>
          <w:p w14:paraId="0BAD3C7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0.115606</w:t>
            </w:r>
          </w:p>
        </w:tc>
        <w:tc>
          <w:tcPr>
            <w:tcW w:w="1530" w:type="dxa"/>
            <w:vAlign w:val="center"/>
          </w:tcPr>
          <w:p w14:paraId="0F06D04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-0.113134</w:t>
            </w:r>
          </w:p>
        </w:tc>
        <w:tc>
          <w:tcPr>
            <w:tcW w:w="1530" w:type="dxa"/>
            <w:vAlign w:val="center"/>
          </w:tcPr>
          <w:p w14:paraId="23658A9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一致</w:t>
            </w:r>
          </w:p>
        </w:tc>
      </w:tr>
      <w:tr w14:paraId="00D9E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2FC4F8D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331</w:t>
            </w:r>
          </w:p>
        </w:tc>
        <w:tc>
          <w:tcPr>
            <w:tcW w:w="1530" w:type="dxa"/>
            <w:vAlign w:val="center"/>
          </w:tcPr>
          <w:p w14:paraId="0B63E01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0.100000</w:t>
            </w:r>
          </w:p>
        </w:tc>
        <w:tc>
          <w:tcPr>
            <w:tcW w:w="1530" w:type="dxa"/>
            <w:vAlign w:val="center"/>
          </w:tcPr>
          <w:p w14:paraId="2489DC6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-0.100000</w:t>
            </w:r>
          </w:p>
        </w:tc>
        <w:tc>
          <w:tcPr>
            <w:tcW w:w="1530" w:type="dxa"/>
            <w:vAlign w:val="center"/>
          </w:tcPr>
          <w:p w14:paraId="5283C34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0.116630</w:t>
            </w:r>
          </w:p>
        </w:tc>
        <w:tc>
          <w:tcPr>
            <w:tcW w:w="1530" w:type="dxa"/>
            <w:vAlign w:val="center"/>
          </w:tcPr>
          <w:p w14:paraId="087A076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-0.115986</w:t>
            </w:r>
          </w:p>
        </w:tc>
        <w:tc>
          <w:tcPr>
            <w:tcW w:w="1530" w:type="dxa"/>
            <w:vAlign w:val="center"/>
          </w:tcPr>
          <w:p w14:paraId="0172683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一致</w:t>
            </w:r>
          </w:p>
        </w:tc>
      </w:tr>
      <w:tr w14:paraId="02714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2ED5847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392</w:t>
            </w:r>
          </w:p>
        </w:tc>
        <w:tc>
          <w:tcPr>
            <w:tcW w:w="1530" w:type="dxa"/>
            <w:vAlign w:val="center"/>
          </w:tcPr>
          <w:p w14:paraId="68EC5D5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0.100000</w:t>
            </w:r>
          </w:p>
        </w:tc>
        <w:tc>
          <w:tcPr>
            <w:tcW w:w="1530" w:type="dxa"/>
            <w:vAlign w:val="center"/>
          </w:tcPr>
          <w:p w14:paraId="48E1F25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-0.100000</w:t>
            </w:r>
          </w:p>
        </w:tc>
        <w:tc>
          <w:tcPr>
            <w:tcW w:w="1530" w:type="dxa"/>
            <w:vAlign w:val="center"/>
          </w:tcPr>
          <w:p w14:paraId="294AFC4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0.117613</w:t>
            </w:r>
          </w:p>
        </w:tc>
        <w:tc>
          <w:tcPr>
            <w:tcW w:w="1530" w:type="dxa"/>
            <w:vAlign w:val="center"/>
          </w:tcPr>
          <w:p w14:paraId="4E9A4DF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-0.115253</w:t>
            </w:r>
          </w:p>
        </w:tc>
        <w:tc>
          <w:tcPr>
            <w:tcW w:w="1530" w:type="dxa"/>
            <w:vAlign w:val="center"/>
          </w:tcPr>
          <w:p w14:paraId="095D56E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一致</w:t>
            </w:r>
          </w:p>
        </w:tc>
      </w:tr>
      <w:tr w14:paraId="31CF7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69EFB41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463</w:t>
            </w:r>
          </w:p>
        </w:tc>
        <w:tc>
          <w:tcPr>
            <w:tcW w:w="1530" w:type="dxa"/>
            <w:vAlign w:val="center"/>
          </w:tcPr>
          <w:p w14:paraId="50B6E7F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-0.100000</w:t>
            </w:r>
          </w:p>
        </w:tc>
        <w:tc>
          <w:tcPr>
            <w:tcW w:w="1530" w:type="dxa"/>
            <w:vAlign w:val="center"/>
          </w:tcPr>
          <w:p w14:paraId="0FAE9C7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0.100000</w:t>
            </w:r>
          </w:p>
        </w:tc>
        <w:tc>
          <w:tcPr>
            <w:tcW w:w="1530" w:type="dxa"/>
            <w:vAlign w:val="center"/>
          </w:tcPr>
          <w:p w14:paraId="2347C30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-0.106989</w:t>
            </w:r>
          </w:p>
        </w:tc>
        <w:tc>
          <w:tcPr>
            <w:tcW w:w="1530" w:type="dxa"/>
            <w:vAlign w:val="center"/>
          </w:tcPr>
          <w:p w14:paraId="7AC8C52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0.105387</w:t>
            </w:r>
          </w:p>
        </w:tc>
        <w:tc>
          <w:tcPr>
            <w:tcW w:w="1530" w:type="dxa"/>
            <w:vAlign w:val="center"/>
          </w:tcPr>
          <w:p w14:paraId="75F38BA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一致</w:t>
            </w:r>
          </w:p>
        </w:tc>
      </w:tr>
      <w:tr w14:paraId="68315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56280F0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542</w:t>
            </w:r>
          </w:p>
        </w:tc>
        <w:tc>
          <w:tcPr>
            <w:tcW w:w="1530" w:type="dxa"/>
            <w:vAlign w:val="center"/>
          </w:tcPr>
          <w:p w14:paraId="562E48E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-0.100000</w:t>
            </w:r>
          </w:p>
        </w:tc>
        <w:tc>
          <w:tcPr>
            <w:tcW w:w="1530" w:type="dxa"/>
            <w:vAlign w:val="center"/>
          </w:tcPr>
          <w:p w14:paraId="39487A4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0.100000</w:t>
            </w:r>
          </w:p>
        </w:tc>
        <w:tc>
          <w:tcPr>
            <w:tcW w:w="1530" w:type="dxa"/>
            <w:vAlign w:val="center"/>
          </w:tcPr>
          <w:p w14:paraId="66ABC28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-0.109660</w:t>
            </w:r>
          </w:p>
        </w:tc>
        <w:tc>
          <w:tcPr>
            <w:tcW w:w="1530" w:type="dxa"/>
            <w:vAlign w:val="center"/>
          </w:tcPr>
          <w:p w14:paraId="069060E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0.106409</w:t>
            </w:r>
          </w:p>
        </w:tc>
        <w:tc>
          <w:tcPr>
            <w:tcW w:w="1530" w:type="dxa"/>
            <w:vAlign w:val="center"/>
          </w:tcPr>
          <w:p w14:paraId="652C5F5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一致</w:t>
            </w:r>
          </w:p>
        </w:tc>
      </w:tr>
      <w:tr w14:paraId="37111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0" w:type="dxa"/>
            <w:tcBorders>
              <w:bottom w:val="single" w:color="000000" w:sz="12" w:space="0"/>
            </w:tcBorders>
            <w:vAlign w:val="center"/>
          </w:tcPr>
          <w:p w14:paraId="3691FB8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586</w:t>
            </w:r>
          </w:p>
        </w:tc>
        <w:tc>
          <w:tcPr>
            <w:tcW w:w="1530" w:type="dxa"/>
            <w:tcBorders>
              <w:bottom w:val="single" w:color="000000" w:sz="12" w:space="0"/>
            </w:tcBorders>
            <w:vAlign w:val="center"/>
          </w:tcPr>
          <w:p w14:paraId="3F045EB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-0.100000</w:t>
            </w:r>
          </w:p>
        </w:tc>
        <w:tc>
          <w:tcPr>
            <w:tcW w:w="1530" w:type="dxa"/>
            <w:tcBorders>
              <w:bottom w:val="single" w:color="000000" w:sz="12" w:space="0"/>
            </w:tcBorders>
            <w:vAlign w:val="center"/>
          </w:tcPr>
          <w:p w14:paraId="77214C7C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0.100000</w:t>
            </w:r>
          </w:p>
        </w:tc>
        <w:tc>
          <w:tcPr>
            <w:tcW w:w="1530" w:type="dxa"/>
            <w:tcBorders>
              <w:bottom w:val="single" w:color="000000" w:sz="12" w:space="0"/>
            </w:tcBorders>
            <w:vAlign w:val="center"/>
          </w:tcPr>
          <w:p w14:paraId="70F50D3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-0.106989</w:t>
            </w:r>
          </w:p>
        </w:tc>
        <w:tc>
          <w:tcPr>
            <w:tcW w:w="1530" w:type="dxa"/>
            <w:tcBorders>
              <w:bottom w:val="single" w:color="000000" w:sz="12" w:space="0"/>
            </w:tcBorders>
            <w:vAlign w:val="center"/>
          </w:tcPr>
          <w:p w14:paraId="7810A93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0.105387</w:t>
            </w:r>
          </w:p>
        </w:tc>
        <w:tc>
          <w:tcPr>
            <w:tcW w:w="1530" w:type="dxa"/>
            <w:tcBorders>
              <w:bottom w:val="single" w:color="000000" w:sz="12" w:space="0"/>
            </w:tcBorders>
            <w:vAlign w:val="center"/>
          </w:tcPr>
          <w:p w14:paraId="7408BF7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一致</w:t>
            </w:r>
          </w:p>
        </w:tc>
      </w:tr>
    </w:tbl>
    <w:p w14:paraId="0488CD08">
      <w:pPr>
        <w:spacing w:after="120" w:line="300" w:lineRule="auto"/>
        <w:ind w:firstLine="420"/>
        <w:rPr>
          <w:rFonts w:ascii="Times New Roman" w:hAnsi="Times New Roman" w:eastAsia="宋体"/>
          <w:b w:val="0"/>
          <w:sz w:val="24"/>
        </w:rPr>
      </w:pPr>
    </w:p>
    <w:p w14:paraId="46227077">
      <w:pPr>
        <w:pStyle w:val="3"/>
        <w:spacing w:before="240" w:after="120"/>
      </w:pPr>
      <w:r>
        <w:rPr>
          <w:rFonts w:ascii="Times New Roman" w:hAnsi="Times New Roman" w:eastAsia="宋体"/>
          <w:b/>
          <w:sz w:val="32"/>
        </w:rPr>
        <w:t>四、模型方案对比</w:t>
      </w:r>
    </w:p>
    <w:p w14:paraId="0F623B95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本阶段比较了全精度模型、动作输出头保持半精度的模型，以及若干量化方案。“静态量化卷积/矩阵乘，动作头 FP16”表示主要计算层做 INT8 静态量化，而最终输出动作的部分保持 FP16，尽量兼顾体积和决策稳定性。</w:t>
      </w:r>
    </w:p>
    <w:p w14:paraId="5B797F3E">
      <w:pPr>
        <w:spacing w:before="120" w:after="80"/>
        <w:jc w:val="center"/>
      </w:pPr>
      <w:r>
        <w:rPr>
          <w:rFonts w:ascii="Times New Roman" w:hAnsi="Times New Roman" w:eastAsia="宋体"/>
          <w:b w:val="0"/>
          <w:sz w:val="22"/>
        </w:rPr>
        <w:t xml:space="preserve">表 </w:t>
      </w:r>
      <w:r>
        <w:rPr>
          <w:rFonts w:hint="eastAsia"/>
          <w:b w:val="0"/>
          <w:sz w:val="22"/>
          <w:lang w:val="en-US" w:eastAsia="zh-CN"/>
        </w:rPr>
        <w:t>5</w:t>
      </w:r>
      <w:r>
        <w:rPr>
          <w:rFonts w:ascii="Times New Roman" w:hAnsi="Times New Roman" w:eastAsia="宋体"/>
          <w:b w:val="0"/>
          <w:sz w:val="22"/>
        </w:rPr>
        <w:t xml:space="preserve"> 代表性模型方案对比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295"/>
        <w:gridCol w:w="2295"/>
        <w:gridCol w:w="2295"/>
      </w:tblGrid>
      <w:tr w14:paraId="35B6E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1FEBE0F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方案</w:t>
            </w:r>
          </w:p>
        </w:tc>
        <w:tc>
          <w:tcPr>
            <w:tcW w:w="2295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4FA306A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轮速差平均绝对误差</w:t>
            </w:r>
          </w:p>
        </w:tc>
        <w:tc>
          <w:tcPr>
            <w:tcW w:w="2295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7688FF3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误差≤0.01比例</w:t>
            </w:r>
          </w:p>
        </w:tc>
        <w:tc>
          <w:tcPr>
            <w:tcW w:w="2295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6D0B844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转向符号准确率</w:t>
            </w:r>
          </w:p>
        </w:tc>
      </w:tr>
      <w:tr w14:paraId="66433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24C9725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FP32 参考模型</w:t>
            </w:r>
          </w:p>
        </w:tc>
        <w:tc>
          <w:tcPr>
            <w:tcW w:w="2295" w:type="dxa"/>
            <w:vAlign w:val="center"/>
          </w:tcPr>
          <w:p w14:paraId="76C6267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0.0221</w:t>
            </w:r>
          </w:p>
        </w:tc>
        <w:tc>
          <w:tcPr>
            <w:tcW w:w="2295" w:type="dxa"/>
            <w:vAlign w:val="center"/>
          </w:tcPr>
          <w:p w14:paraId="6F75179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89.34%</w:t>
            </w:r>
          </w:p>
        </w:tc>
        <w:tc>
          <w:tcPr>
            <w:tcW w:w="2295" w:type="dxa"/>
            <w:vAlign w:val="center"/>
          </w:tcPr>
          <w:p w14:paraId="7B48ADF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81.82%</w:t>
            </w:r>
          </w:p>
        </w:tc>
      </w:tr>
      <w:tr w14:paraId="6EFE6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755C8F8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静态量化卷积/矩阵乘，动作头 FP16（当前选用）</w:t>
            </w:r>
          </w:p>
        </w:tc>
        <w:tc>
          <w:tcPr>
            <w:tcW w:w="2295" w:type="dxa"/>
            <w:vAlign w:val="center"/>
          </w:tcPr>
          <w:p w14:paraId="0B30A67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0.0198</w:t>
            </w:r>
          </w:p>
        </w:tc>
        <w:tc>
          <w:tcPr>
            <w:tcW w:w="2295" w:type="dxa"/>
            <w:vAlign w:val="center"/>
          </w:tcPr>
          <w:p w14:paraId="427A3C2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89.79%</w:t>
            </w:r>
          </w:p>
        </w:tc>
        <w:tc>
          <w:tcPr>
            <w:tcW w:w="2295" w:type="dxa"/>
            <w:vAlign w:val="center"/>
          </w:tcPr>
          <w:p w14:paraId="02EB45C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92.31%</w:t>
            </w:r>
          </w:p>
        </w:tc>
      </w:tr>
      <w:tr w14:paraId="483D7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tcBorders>
              <w:bottom w:val="single" w:color="000000" w:sz="12" w:space="0"/>
            </w:tcBorders>
            <w:vAlign w:val="center"/>
          </w:tcPr>
          <w:p w14:paraId="6F47AE2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动态量化注意力/前馈层，动作头 FP16</w:t>
            </w:r>
          </w:p>
        </w:tc>
        <w:tc>
          <w:tcPr>
            <w:tcW w:w="2295" w:type="dxa"/>
            <w:tcBorders>
              <w:bottom w:val="single" w:color="000000" w:sz="12" w:space="0"/>
            </w:tcBorders>
            <w:vAlign w:val="center"/>
          </w:tcPr>
          <w:p w14:paraId="53C688F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0.0213</w:t>
            </w:r>
          </w:p>
        </w:tc>
        <w:tc>
          <w:tcPr>
            <w:tcW w:w="2295" w:type="dxa"/>
            <w:tcBorders>
              <w:bottom w:val="single" w:color="000000" w:sz="12" w:space="0"/>
            </w:tcBorders>
            <w:vAlign w:val="center"/>
          </w:tcPr>
          <w:p w14:paraId="4DABDF2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84.08%</w:t>
            </w:r>
          </w:p>
        </w:tc>
        <w:tc>
          <w:tcPr>
            <w:tcW w:w="2295" w:type="dxa"/>
            <w:tcBorders>
              <w:bottom w:val="single" w:color="000000" w:sz="12" w:space="0"/>
            </w:tcBorders>
            <w:vAlign w:val="center"/>
          </w:tcPr>
          <w:p w14:paraId="376ECE6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57.58%</w:t>
            </w:r>
          </w:p>
        </w:tc>
      </w:tr>
    </w:tbl>
    <w:p w14:paraId="041B4208"/>
    <w:p w14:paraId="5539B7A7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综合比较后，当前选用第二种方案。它在模型体积上明显小于 FP32，同时轮速差误差更低；在模型给出转向时，左右符号准确率也更高，适合作为本阶段 StarryOS/QEMU 验证的部署模型。</w:t>
      </w:r>
    </w:p>
    <w:p w14:paraId="4617470E">
      <w:pPr>
        <w:pStyle w:val="3"/>
        <w:spacing w:before="240" w:after="120"/>
      </w:pPr>
      <w:r>
        <w:rPr>
          <w:rFonts w:ascii="Times New Roman" w:hAnsi="Times New Roman" w:eastAsia="宋体"/>
          <w:b/>
          <w:sz w:val="32"/>
        </w:rPr>
        <w:t>五、运行资源与稳定性</w:t>
      </w:r>
    </w:p>
    <w:p w14:paraId="1901EA9D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资源统计在 StarryOS/QEMU 环境中完成。由于原系统对进程内存字段支持不完整，本阶段对内核做了少量补充，使其能够像 Linux 一样读出常驻内存和峰值内存。该补充仅用于观测资源占用，不改变 ACT 推理逻辑。</w:t>
      </w:r>
    </w:p>
    <w:p w14:paraId="4F5EC4CC">
      <w:pPr>
        <w:spacing w:before="120" w:after="80"/>
        <w:jc w:val="center"/>
      </w:pPr>
      <w:r>
        <w:rPr>
          <w:rFonts w:ascii="Times New Roman" w:hAnsi="Times New Roman" w:eastAsia="宋体"/>
          <w:b w:val="0"/>
          <w:sz w:val="22"/>
        </w:rPr>
        <w:t xml:space="preserve">表 </w:t>
      </w:r>
      <w:r>
        <w:rPr>
          <w:rFonts w:hint="eastAsia"/>
          <w:b w:val="0"/>
          <w:sz w:val="22"/>
          <w:lang w:val="en-US" w:eastAsia="zh-CN"/>
        </w:rPr>
        <w:t>6</w:t>
      </w:r>
      <w:r>
        <w:rPr>
          <w:rFonts w:ascii="Times New Roman" w:hAnsi="Times New Roman" w:eastAsia="宋体"/>
          <w:b w:val="0"/>
          <w:sz w:val="22"/>
        </w:rPr>
        <w:t xml:space="preserve"> StarryOS/QEMU 单帧资源统计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50C1A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2C7011C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阶段</w:t>
            </w:r>
          </w:p>
        </w:tc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158B644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耗时</w:t>
            </w:r>
          </w:p>
        </w:tc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1109E14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常驻内存</w:t>
            </w:r>
          </w:p>
        </w:tc>
      </w:tr>
      <w:tr w14:paraId="70280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092ADD2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加载参数</w:t>
            </w:r>
          </w:p>
        </w:tc>
        <w:tc>
          <w:tcPr>
            <w:tcW w:w="3060" w:type="dxa"/>
            <w:vAlign w:val="center"/>
          </w:tcPr>
          <w:p w14:paraId="5C9CE35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10.5 ms</w:t>
            </w:r>
          </w:p>
        </w:tc>
        <w:tc>
          <w:tcPr>
            <w:tcW w:w="3060" w:type="dxa"/>
            <w:vAlign w:val="center"/>
          </w:tcPr>
          <w:p w14:paraId="41E8BD1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2.7 MB</w:t>
            </w:r>
          </w:p>
        </w:tc>
      </w:tr>
      <w:tr w14:paraId="47144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CDFD80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创建 ONNX Runtime 环境</w:t>
            </w:r>
          </w:p>
        </w:tc>
        <w:tc>
          <w:tcPr>
            <w:tcW w:w="3060" w:type="dxa"/>
            <w:vAlign w:val="center"/>
          </w:tcPr>
          <w:p w14:paraId="5D8D6D1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784 ms</w:t>
            </w:r>
          </w:p>
        </w:tc>
        <w:tc>
          <w:tcPr>
            <w:tcW w:w="3060" w:type="dxa"/>
            <w:vAlign w:val="center"/>
          </w:tcPr>
          <w:p w14:paraId="5F2990F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10.3 MB</w:t>
            </w:r>
          </w:p>
        </w:tc>
      </w:tr>
      <w:tr w14:paraId="7C9B2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F83A74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创建推理会话</w:t>
            </w:r>
          </w:p>
        </w:tc>
        <w:tc>
          <w:tcPr>
            <w:tcW w:w="3060" w:type="dxa"/>
            <w:vAlign w:val="center"/>
          </w:tcPr>
          <w:p w14:paraId="533F11F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8015 ms</w:t>
            </w:r>
          </w:p>
        </w:tc>
        <w:tc>
          <w:tcPr>
            <w:tcW w:w="3060" w:type="dxa"/>
            <w:vAlign w:val="center"/>
          </w:tcPr>
          <w:p w14:paraId="495B6110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75.8 MB</w:t>
            </w:r>
          </w:p>
        </w:tc>
      </w:tr>
      <w:tr w14:paraId="6D6007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330B53CD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图像预处理</w:t>
            </w:r>
          </w:p>
        </w:tc>
        <w:tc>
          <w:tcPr>
            <w:tcW w:w="3060" w:type="dxa"/>
            <w:vAlign w:val="center"/>
          </w:tcPr>
          <w:p w14:paraId="2D268156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32.2 ms</w:t>
            </w:r>
          </w:p>
        </w:tc>
        <w:tc>
          <w:tcPr>
            <w:tcW w:w="3060" w:type="dxa"/>
            <w:vAlign w:val="center"/>
          </w:tcPr>
          <w:p w14:paraId="52B118E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76.4 MB</w:t>
            </w:r>
          </w:p>
        </w:tc>
      </w:tr>
      <w:tr w14:paraId="62BA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4E9FE8C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平均推理</w:t>
            </w:r>
          </w:p>
        </w:tc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4F1BD48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5660 ms</w:t>
            </w:r>
          </w:p>
        </w:tc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0B99109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76.7 MB</w:t>
            </w:r>
          </w:p>
        </w:tc>
      </w:tr>
    </w:tbl>
    <w:p w14:paraId="4A183BAE"/>
    <w:p w14:paraId="05263233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单进程峰值内存约 76.8 MB。推理耗时较高主要与 QEMU TCG 模拟环境有关，不等同于真实硬件上的最终性能。目前 666 帧闭环评测全程复用同一个推理会话，运行过程中未出现崩溃或异常退出，说明当前链路具备继续优化和扩展的基础。</w:t>
      </w:r>
    </w:p>
    <w:p w14:paraId="6074FA94">
      <w:pPr>
        <w:pStyle w:val="3"/>
        <w:spacing w:before="240" w:after="120"/>
      </w:pPr>
      <w:r>
        <w:rPr>
          <w:rFonts w:ascii="Times New Roman" w:hAnsi="Times New Roman" w:eastAsia="宋体"/>
          <w:b/>
          <w:sz w:val="32"/>
        </w:rPr>
        <w:t>六、当前问题与后续计划</w:t>
      </w:r>
    </w:p>
    <w:p w14:paraId="730A914D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当前工作的主要不足是：第一，QEMU 模拟环境下推理延迟较高；第二，模型在转向判断上偏保守，部分真实转向帧被预测为直行；第三，目前验证重点集中在任务三的 CPU 路线，尚未扩展到 NPU/TPU 平台。</w:t>
      </w:r>
    </w:p>
    <w:p w14:paraId="6713BDA3">
      <w:pPr>
        <w:spacing w:before="120" w:after="80"/>
        <w:jc w:val="center"/>
      </w:pPr>
      <w:r>
        <w:rPr>
          <w:rFonts w:ascii="Times New Roman" w:hAnsi="Times New Roman" w:eastAsia="宋体"/>
          <w:b w:val="0"/>
          <w:sz w:val="22"/>
        </w:rPr>
        <w:t xml:space="preserve">表 </w:t>
      </w:r>
      <w:r>
        <w:rPr>
          <w:rFonts w:hint="eastAsia"/>
          <w:b w:val="0"/>
          <w:sz w:val="22"/>
          <w:lang w:val="en-US" w:eastAsia="zh-CN"/>
        </w:rPr>
        <w:t>7</w:t>
      </w:r>
      <w:r>
        <w:rPr>
          <w:rFonts w:ascii="Times New Roman" w:hAnsi="Times New Roman" w:eastAsia="宋体"/>
          <w:b w:val="0"/>
          <w:sz w:val="22"/>
        </w:rPr>
        <w:t xml:space="preserve"> 后续工作计划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7223"/>
      </w:tblGrid>
      <w:tr w14:paraId="7DE1C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5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4B364DF3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方向</w:t>
            </w:r>
          </w:p>
        </w:tc>
        <w:tc>
          <w:tcPr>
            <w:tcW w:w="7223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268D24CB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计划</w:t>
            </w:r>
          </w:p>
        </w:tc>
      </w:tr>
      <w:tr w14:paraId="1F46F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5" w:type="dxa"/>
            <w:vAlign w:val="center"/>
          </w:tcPr>
          <w:p w14:paraId="1E4D9D5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性能优化</w:t>
            </w:r>
          </w:p>
        </w:tc>
        <w:tc>
          <w:tcPr>
            <w:tcW w:w="7223" w:type="dxa"/>
            <w:vAlign w:val="center"/>
          </w:tcPr>
          <w:p w14:paraId="7722CB3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继续分析推理耗时，优先关注会话创建和模型计算阶段</w:t>
            </w:r>
          </w:p>
        </w:tc>
      </w:tr>
      <w:tr w14:paraId="47C68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5" w:type="dxa"/>
            <w:vAlign w:val="center"/>
          </w:tcPr>
          <w:p w14:paraId="7FE487B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模型效果</w:t>
            </w:r>
          </w:p>
        </w:tc>
        <w:tc>
          <w:tcPr>
            <w:tcW w:w="7223" w:type="dxa"/>
            <w:vAlign w:val="center"/>
          </w:tcPr>
          <w:p w14:paraId="348236D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尝试调整转向阈值和量化策略，减少真实转向被预测为直行的情况</w:t>
            </w:r>
          </w:p>
        </w:tc>
      </w:tr>
      <w:tr w14:paraId="0AA6B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5" w:type="dxa"/>
            <w:tcBorders>
              <w:bottom w:val="single" w:color="000000" w:sz="12" w:space="0"/>
            </w:tcBorders>
            <w:vAlign w:val="center"/>
          </w:tcPr>
          <w:p w14:paraId="12AE764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平台扩展</w:t>
            </w:r>
          </w:p>
        </w:tc>
        <w:tc>
          <w:tcPr>
            <w:tcW w:w="7223" w:type="dxa"/>
            <w:tcBorders>
              <w:bottom w:val="single" w:color="000000" w:sz="12" w:space="0"/>
            </w:tcBorders>
            <w:vAlign w:val="center"/>
          </w:tcPr>
          <w:p w14:paraId="7407C6CE">
            <w:pPr>
              <w:spacing w:after="0"/>
              <w:jc w:val="center"/>
            </w:pPr>
            <w:r>
              <w:rPr>
                <w:rFonts w:hint="eastAsia"/>
                <w:b w:val="0"/>
                <w:sz w:val="24"/>
                <w:lang w:val="en-US" w:eastAsia="zh-CN"/>
              </w:rPr>
              <w:t>申请板子后</w:t>
            </w:r>
            <w:r>
              <w:rPr>
                <w:rFonts w:ascii="Times New Roman" w:hAnsi="Times New Roman" w:eastAsia="宋体"/>
                <w:b w:val="0"/>
                <w:sz w:val="24"/>
              </w:rPr>
              <w:t>再评估 RK3588 NPU 或 SG2002 TPU 路线</w:t>
            </w:r>
          </w:p>
        </w:tc>
      </w:tr>
    </w:tbl>
    <w:p w14:paraId="5F8AD6A8"/>
    <w:p w14:paraId="40FC4538">
      <w:pPr>
        <w:pStyle w:val="3"/>
        <w:spacing w:before="240" w:after="120"/>
      </w:pPr>
      <w:r>
        <w:rPr>
          <w:rFonts w:ascii="Times New Roman" w:hAnsi="Times New Roman" w:eastAsia="宋体"/>
          <w:b/>
          <w:sz w:val="32"/>
        </w:rPr>
        <w:t>七、AI 使用与代码参考情况</w:t>
      </w:r>
    </w:p>
    <w:p w14:paraId="63AB6358">
      <w:pPr>
        <w:spacing w:after="120" w:line="30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本项目使用</w:t>
      </w:r>
      <w:r>
        <w:rPr>
          <w:rFonts w:hint="eastAsia"/>
          <w:b w:val="0"/>
          <w:sz w:val="24"/>
          <w:lang w:val="en-US" w:eastAsia="zh-CN"/>
        </w:rPr>
        <w:t>cursor和codex</w:t>
      </w:r>
      <w:r>
        <w:rPr>
          <w:rFonts w:ascii="Times New Roman" w:hAnsi="Times New Roman" w:eastAsia="宋体"/>
          <w:b w:val="0"/>
          <w:sz w:val="24"/>
        </w:rPr>
        <w:t>工具辅助完成工程实现和文档整理，但关键技术路线、实验取舍和结果确认均由</w:t>
      </w:r>
      <w:r>
        <w:rPr>
          <w:rFonts w:hint="eastAsia"/>
          <w:b w:val="0"/>
          <w:sz w:val="24"/>
          <w:lang w:val="en-US" w:eastAsia="zh-CN"/>
        </w:rPr>
        <w:t>团队二人</w:t>
      </w:r>
      <w:r>
        <w:rPr>
          <w:rFonts w:ascii="Times New Roman" w:hAnsi="Times New Roman" w:eastAsia="宋体"/>
          <w:b w:val="0"/>
          <w:sz w:val="24"/>
        </w:rPr>
        <w:t>完成。AI 主要承担代码草稿、脚本整理、文档润色和排版辅助等工作；人工负责需求判断、环境配置、实验运行、结果核验以及最终内容取舍。项目中也参考了若干开源项目和公共接口文档，主要用于理解运行环境、模型部署接口和基础图像处理方法。</w:t>
      </w:r>
    </w:p>
    <w:p w14:paraId="3C4A9B25">
      <w:pPr>
        <w:spacing w:before="120" w:after="80"/>
        <w:jc w:val="center"/>
      </w:pPr>
      <w:r>
        <w:rPr>
          <w:rFonts w:ascii="Times New Roman" w:hAnsi="Times New Roman" w:eastAsia="宋体"/>
          <w:b w:val="0"/>
          <w:sz w:val="22"/>
        </w:rPr>
        <w:t xml:space="preserve">表 </w:t>
      </w:r>
      <w:r>
        <w:rPr>
          <w:rFonts w:hint="eastAsia"/>
          <w:b w:val="0"/>
          <w:sz w:val="22"/>
          <w:lang w:val="en-US" w:eastAsia="zh-CN"/>
        </w:rPr>
        <w:t>8</w:t>
      </w:r>
      <w:r>
        <w:rPr>
          <w:rFonts w:ascii="Times New Roman" w:hAnsi="Times New Roman" w:eastAsia="宋体"/>
          <w:b w:val="0"/>
          <w:sz w:val="22"/>
        </w:rPr>
        <w:t xml:space="preserve"> AI 使用与参考代码情况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3D5CE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7CF6A57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类别</w:t>
            </w:r>
          </w:p>
        </w:tc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536DDC5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参与内容</w:t>
            </w:r>
          </w:p>
        </w:tc>
        <w:tc>
          <w:tcPr>
            <w:tcW w:w="3060" w:type="dxa"/>
            <w:tcBorders>
              <w:top w:val="single" w:color="000000" w:sz="12" w:space="0"/>
              <w:bottom w:val="single" w:color="000000" w:sz="8" w:space="0"/>
            </w:tcBorders>
            <w:shd w:val="clear" w:color="auto" w:fill="FFFFFF"/>
            <w:vAlign w:val="center"/>
          </w:tcPr>
          <w:p w14:paraId="7144ADA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 w14:paraId="66C39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45140E1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人工完成</w:t>
            </w:r>
          </w:p>
        </w:tc>
        <w:tc>
          <w:tcPr>
            <w:tcW w:w="3060" w:type="dxa"/>
            <w:vAlign w:val="center"/>
          </w:tcPr>
          <w:p w14:paraId="3978773E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确定任务目标、搭建 StarryOS/QEMU 环境、运行实验、核对指标、判断模型方案</w:t>
            </w:r>
          </w:p>
        </w:tc>
        <w:tc>
          <w:tcPr>
            <w:tcW w:w="3060" w:type="dxa"/>
            <w:vAlign w:val="center"/>
          </w:tcPr>
          <w:p w14:paraId="6BF75384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包括对单帧结果、闭环评测结果和资源占用数据的确认</w:t>
            </w:r>
          </w:p>
        </w:tc>
      </w:tr>
      <w:tr w14:paraId="0E036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3060" w:type="dxa"/>
            <w:vAlign w:val="center"/>
          </w:tcPr>
          <w:p w14:paraId="762177E7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AI 辅助</w:t>
            </w:r>
          </w:p>
        </w:tc>
        <w:tc>
          <w:tcPr>
            <w:tcW w:w="3060" w:type="dxa"/>
            <w:vAlign w:val="center"/>
          </w:tcPr>
          <w:p w14:paraId="131BB27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辅助生成 C++ 推理程序草稿、评测/部署脚本、Markdown 文档</w:t>
            </w:r>
          </w:p>
        </w:tc>
        <w:tc>
          <w:tcPr>
            <w:tcW w:w="3060" w:type="dxa"/>
            <w:vAlign w:val="center"/>
          </w:tcPr>
          <w:p w14:paraId="4652993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AI 生成内容经过人工检查、修改和取舍后使用</w:t>
            </w:r>
          </w:p>
        </w:tc>
      </w:tr>
      <w:tr w14:paraId="437E6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2D9FB9CA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开源/他人代码参考</w:t>
            </w:r>
          </w:p>
        </w:tc>
        <w:tc>
          <w:tcPr>
            <w:tcW w:w="3060" w:type="dxa"/>
            <w:vAlign w:val="center"/>
          </w:tcPr>
          <w:p w14:paraId="679536E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参考 ONNX Runtime 的 C/C++ API 用法、stb_image 图像解码方式、StarryOS 的公开内核代码与 /proc 实现思路</w:t>
            </w:r>
          </w:p>
        </w:tc>
        <w:tc>
          <w:tcPr>
            <w:tcW w:w="3060" w:type="dxa"/>
            <w:vAlign w:val="center"/>
          </w:tcPr>
          <w:p w14:paraId="5204D4B9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用于接口调用和系统适配，</w:t>
            </w:r>
            <w:r>
              <w:rPr>
                <w:rFonts w:hint="eastAsia"/>
                <w:b w:val="0"/>
                <w:sz w:val="24"/>
                <w:lang w:val="en-US" w:eastAsia="zh-CN"/>
              </w:rPr>
              <w:t>未</w:t>
            </w:r>
            <w:r>
              <w:rPr>
                <w:rFonts w:ascii="Times New Roman" w:hAnsi="Times New Roman" w:eastAsia="宋体"/>
                <w:b w:val="0"/>
                <w:sz w:val="24"/>
              </w:rPr>
              <w:t>直接照搬他人完整项目作为本项目成果</w:t>
            </w:r>
          </w:p>
        </w:tc>
      </w:tr>
      <w:tr w14:paraId="42983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6B11695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数据与模型背景参考</w:t>
            </w:r>
          </w:p>
        </w:tc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2A401021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参考赛题仓库和 ACT/LeRobot 相关数据格式说明</w:t>
            </w:r>
          </w:p>
        </w:tc>
        <w:tc>
          <w:tcPr>
            <w:tcW w:w="3060" w:type="dxa"/>
            <w:tcBorders>
              <w:bottom w:val="single" w:color="000000" w:sz="12" w:space="0"/>
            </w:tcBorders>
            <w:vAlign w:val="center"/>
          </w:tcPr>
          <w:p w14:paraId="5EE9173F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用于理解输入输出格式、状态/动作含义和评测数据组织方式</w:t>
            </w:r>
          </w:p>
        </w:tc>
      </w:tr>
    </w:tbl>
    <w:p w14:paraId="4BB1899C"/>
    <w:p w14:paraId="1B694F84">
      <w:pPr>
        <w:spacing w:after="120" w:line="300" w:lineRule="auto"/>
      </w:pPr>
    </w:p>
    <w:p w14:paraId="1685B6F4">
      <w:pPr>
        <w:spacing w:after="120" w:line="300" w:lineRule="auto"/>
        <w:ind w:firstLine="420"/>
      </w:pPr>
    </w:p>
    <w:sectPr>
      <w:pgSz w:w="12240" w:h="15840"/>
      <w:pgMar w:top="1417" w:right="1474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411FB9"/>
    <w:rsid w:val="075C1AB8"/>
    <w:rsid w:val="09F2400E"/>
    <w:rsid w:val="131B45D5"/>
    <w:rsid w:val="1756379F"/>
    <w:rsid w:val="175A228E"/>
    <w:rsid w:val="1795225F"/>
    <w:rsid w:val="24975A86"/>
    <w:rsid w:val="25990B17"/>
    <w:rsid w:val="32146967"/>
    <w:rsid w:val="3E94330A"/>
    <w:rsid w:val="3F4F2BC5"/>
    <w:rsid w:val="40CF0629"/>
    <w:rsid w:val="41B80A98"/>
    <w:rsid w:val="4EC76BAD"/>
    <w:rsid w:val="4FA57B6F"/>
    <w:rsid w:val="50AD025B"/>
    <w:rsid w:val="522620D6"/>
    <w:rsid w:val="522D1654"/>
    <w:rsid w:val="583F79EB"/>
    <w:rsid w:val="5B351579"/>
    <w:rsid w:val="5CC61D78"/>
    <w:rsid w:val="61251748"/>
    <w:rsid w:val="63DA2CBD"/>
    <w:rsid w:val="644811E7"/>
    <w:rsid w:val="6549634D"/>
    <w:rsid w:val="71FD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宋体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893</Words>
  <Characters>1083</Characters>
  <Lines>0</Lines>
  <Paragraphs>0</Paragraphs>
  <TotalTime>0</TotalTime>
  <ScaleCrop>false</ScaleCrop>
  <LinksUpToDate>false</LinksUpToDate>
  <CharactersWithSpaces>1169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朱雅轩</cp:lastModifiedBy>
  <dcterms:modified xsi:type="dcterms:W3CDTF">2026-06-05T02:44:12Z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eyJoZGlkIjoiMTQ2YWYxYzZiNWM2ODFiNjVlN2I0OWE0MTM5OGNmNzUiLCJ1c2VySWQiOiIxNjYyNDgwMTkyIn0=</vt:lpwstr>
  </property>
  <property fmtid="{D5CDD505-2E9C-101B-9397-08002B2CF9AE}" pid="3" name="KSOProductBuildVer">
    <vt:lpwstr>2052-12.1.0.23542</vt:lpwstr>
  </property>
  <property fmtid="{D5CDD505-2E9C-101B-9397-08002B2CF9AE}" pid="4" name="ICV">
    <vt:lpwstr>5DB537BEBE6F4D65A0579ACF881B0542_12</vt:lpwstr>
  </property>
</Properties>
</file>