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0" w:line="240" w:lineRule="auto"/>
      </w:pPr>
      <w:r>
        <w:rPr>
          <w:rFonts w:ascii="Times New Roman" w:hAnsi="Times New Roman" w:eastAsia="宋体"/>
          <w:b w:val="0"/>
          <w:sz w:val="2"/>
        </w:rPr>
      </w:r>
    </w:p>
    <w:p>
      <w:pPr>
        <w:spacing w:after="36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项目申报书</w:t>
      </w:r>
    </w:p>
    <w:p>
      <w:pPr>
        <w:spacing w:after="200" w:line="312" w:lineRule="auto"/>
        <w:jc w:val="center"/>
      </w:pPr>
      <w:r>
        <w:rPr>
          <w:rFonts w:ascii="Times New Roman" w:hAnsi="Times New Roman" w:eastAsia="黑体"/>
          <w:b w:val="0"/>
          <w:sz w:val="44"/>
        </w:rPr>
        <w:t>iCAN大学生创新创业大赛</w:t>
      </w:r>
    </w:p>
    <w:p>
      <w:pPr>
        <w:spacing w:after="920"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示例团队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2026 年 09 月 25 日</w:t>
      </w:r>
    </w:p>
    <w:p>
      <w:r>
        <w:br w:type="page"/>
      </w:r>
    </w:p>
    <w:p>
      <w:pPr>
        <w:spacing w:after="280"/>
        <w:jc w:val="center"/>
      </w:pPr>
      <w:r>
        <w:rPr>
          <w:rFonts w:ascii="Times New Roman" w:hAnsi="Times New Roman" w:eastAsia="黑体"/>
          <w:b/>
          <w:sz w:val="44"/>
        </w:rPr>
        <w:t>目  录</w:t>
      </w:r>
    </w:p>
    <w:p>
      <w:fldSimple w:instr="TOC \o &quot;1-3&quot; \h \z \u" w:dirty="true">
        <w:r>
          <w:t>（打开后若提示更新域，请选择“是”以生成目录页码）</w:t>
        </w:r>
      </w:fldSimple>
    </w:p>
    <w:p>
      <w:r>
        <w:br w:type="page"/>
      </w:r>
    </w:p>
    <w:p>
      <w:pPr>
        <w:keepNext/>
        <w:spacing w:before="280" w:after="120" w:line="360" w:lineRule="auto"/>
        <w:jc w:val="left"/>
      </w:pPr>
      <w:r>
        <w:rPr>
          <w:rFonts w:ascii="Times New Roman" w:hAnsi="Times New Roman" w:eastAsia="黑体"/>
          <w:b/>
          <w:sz w:val="44"/>
        </w:rPr>
        <w:t>一、项目背景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本项目面向老龄化社会的陪护需求，结合多模态感知与边缘计算技术(Edge AI),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构建一套智适应助老陪护机器人系统。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（一）核心评分维度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评分维度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占比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核心考察点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创新性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30%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原创性、新颖性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实用性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是否解决真实问题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技术难度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技术复杂度与壁垒</w:t>
            </w:r>
          </w:p>
        </w:tc>
      </w:tr>
    </w:tbl>
    <w:p>
      <w:pPr>
        <w:spacing w:after="120" w:line="240" w:lineRule="auto"/>
      </w:pPr>
    </w:p>
    <w:p>
      <w:pPr>
        <w:spacing w:before="160" w:after="8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 5-1 评分权重分布表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（二）技术路线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多模态数据采集层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边缘推理层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自适应决策层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低延迟：端侧推理 &lt; 50ms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高可靠：离线可用</w:t>
      </w:r>
    </w:p>
    <w:p>
      <w:pPr>
        <w:spacing w:line="360" w:lineRule="auto" w:before="60" w:after="60"/>
        <w:ind w:left="454" w:right="227"/>
        <w:jc w:val="both"/>
      </w:pPr>
      <w:r>
        <w:rPr>
          <w:rFonts w:ascii="Times New Roman" w:hAnsi="Times New Roman" w:eastAsia="宋体"/>
          <w:b w:val="0"/>
          <w:sz w:val="21"/>
        </w:rPr>
        <w:t>注：以上为通用创新创业竞赛常识推断。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1. 创新点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原创算法</w:t>
      </w:r>
      <w:r>
        <w:rPr>
          <w:rFonts w:ascii="Times New Roman" w:hAnsi="Times New Roman" w:eastAsia="宋体"/>
          <w:b w:val="0"/>
          <w:sz w:val="24"/>
        </w:rPr>
        <w:t>是本项目的核心壁垒。</w:t>
      </w:r>
    </w:p>
    <w:p>
      <w:pPr>
        <w:spacing w:line="300" w:lineRule="auto" w:before="80" w:after="160"/>
        <w:ind w:left="454"/>
      </w:pPr>
      <w:r>
        <w:rPr>
          <w:rFonts w:ascii="Times New Roman" w:hAnsi="Times New Roman" w:eastAsia="Times New Roman"/>
          <w:b w:val="0"/>
          <w:sz w:val="21"/>
        </w:rPr>
        <w:t>def infer(x):</w:t>
      </w:r>
      <w:r>
        <w:br/>
      </w:r>
      <w:r>
        <w:rPr>
          <w:rFonts w:ascii="Times New Roman" w:hAnsi="Times New Roman" w:eastAsia="Times New Roman"/>
          <w:b w:val="0"/>
          <w:sz w:val="21"/>
        </w:rPr>
        <w:t xml:space="preserve">    return model(x)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项目申报书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