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F1535"/>
          <w:sz w:val="60"/>
        </w:rPr>
        <w:t>科创赛事助手</w:t>
      </w:r>
    </w:p>
    <w:p>
      <w:pPr>
        <w:jc w:val="center"/>
      </w:pPr>
      <w:r>
        <w:rPr>
          <w:rFonts w:ascii="微软雅黑" w:hAnsi="微软雅黑" w:eastAsia="微软雅黑"/>
          <w:b w:val="0"/>
          <w:color w:val="818CF8"/>
          <w:sz w:val="32"/>
        </w:rPr>
        <w:t>作品说明书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22"/>
        </w:rPr>
        <w:t>面向互联网+ / 挑战杯 / iCAN / 国创等高校科创赛事的 AI 多智能体协同创作平台</w:t>
        <w:br/>
        <w:t>项目主页：https://kechuang2026.cn</w:t>
      </w:r>
    </w:p>
    <w:p/>
    <w:p>
      <w:pPr>
        <w:pStyle w:val="Heading1"/>
      </w:pPr>
      <w:r>
        <w:rPr>
          <w:rFonts w:ascii="微软雅黑" w:hAnsi="微软雅黑" w:eastAsia="微软雅黑"/>
          <w:b/>
          <w:color w:val="0F1535"/>
          <w:sz w:val="32"/>
        </w:rPr>
        <w:t>一、作品概述</w:t>
      </w:r>
    </w:p>
    <w:p>
      <w:r>
        <w:rPr>
          <w:rFonts w:ascii="微软雅黑" w:hAnsi="微软雅黑" w:eastAsia="微软雅黑"/>
          <w:b w:val="0"/>
          <w:sz w:val="22"/>
        </w:rPr>
        <w:t>科创赛事助手是一套面向高校科创赛事的 AI 多智能体协同创作平台。它将『赛事规则解析 → 同质化检测 → 多维度深度分析 → 申报书/路演PPT/答辩稿撰写 → 评委视角复审 → 一键导出』整条创作链路自动化，帮助学生把材料准备时间从数天压缩到分钟级，同时让产出对齐评审口径、可溯源、避免同质化。</w:t>
      </w:r>
    </w:p>
    <w:p>
      <w:r>
        <w:rPr>
          <w:rFonts w:ascii="微软雅黑" w:hAnsi="微软雅黑" w:eastAsia="微软雅黑"/>
          <w:b/>
          <w:color w:val="F59E0B"/>
          <w:sz w:val="22"/>
        </w:rPr>
        <w:t>一句话定位：让学生『写得快、写得对、写得像获奖作品』的赛事材料智能工厂。</w:t>
      </w:r>
    </w:p>
    <w:p>
      <w:r>
        <w:rPr>
          <w:rFonts w:ascii="微软雅黑" w:hAnsi="微软雅黑" w:eastAsia="微软雅黑"/>
          <w:b w:val="0"/>
          <w:sz w:val="20"/>
        </w:rPr>
        <w:t>平台主界面：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微软雅黑" w:hAnsi="微软雅黑" w:eastAsia="微软雅黑"/>
          <w:b/>
          <w:color w:val="0F1535"/>
          <w:sz w:val="32"/>
        </w:rPr>
        <w:t>二、项目背景与痛点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参赛门槛高：申报书、路演PPT、答辩稿各有评分维度，学生常出现『写了很多但没踩中评分点』的问题。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资料分散：赛事规则、往届获奖范式、竞品方案散落在不同渠道，缺乏结构化沉淀。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同质化风险：同一赛道项目扎堆，学生缺乏差异化策略与撞车预警手段。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缺评委视角：自评良好，但评委关注的科学性、先进性、现实意义等权重常被忽略。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导出低效：材料最终要落到 Word / PDF / PPT，手工排版与图表制作占用大量时间。</w:t>
      </w:r>
    </w:p>
    <w:p>
      <w:pPr>
        <w:pStyle w:val="Heading1"/>
      </w:pPr>
      <w:r>
        <w:rPr>
          <w:rFonts w:ascii="微软雅黑" w:hAnsi="微软雅黑" w:eastAsia="微软雅黑"/>
          <w:b/>
          <w:color w:val="0F1535"/>
          <w:sz w:val="32"/>
        </w:rPr>
        <w:t>三、技术方案与架构</w:t>
      </w:r>
    </w:p>
    <w:p>
      <w:r>
        <w:rPr>
          <w:rFonts w:ascii="微软雅黑" w:hAnsi="微软雅黑" w:eastAsia="微软雅黑"/>
          <w:b w:val="0"/>
          <w:sz w:val="22"/>
        </w:rPr>
        <w:t>后端采用 Flask 提供 HTTP 服务，创作主链路基于 LangGraph 编排为状态图（StateGraph），内含 20 个专职智能体节点协同工作；大模型支持 DeepSeek 等主流 API，图表由 python-pptx 与 matplotlib 真实渲染，前端为单页应用，支持生成过程的实时逐字流式输出。</w:t>
      </w:r>
    </w:p>
    <w:p>
      <w:pPr>
        <w:pStyle w:val="Heading2"/>
      </w:pPr>
      <w:r>
        <w:rPr>
          <w:rFonts w:ascii="微软雅黑" w:hAnsi="微软雅黑" w:eastAsia="微软雅黑"/>
          <w:b/>
          <w:color w:val="818CF8"/>
          <w:sz w:val="26"/>
        </w:rPr>
        <w:t>3.1 核心智能体节点（20 个）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智能体节点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职责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rule_parser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解析赛事规则，输出评分维度与权重，作为后续写作的『评审准星』。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similarity_checker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对输入创意做撞车评估，给出差异化建议。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idea_evaluator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多维度可行性打分，指出优势与待补项。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comprehensive_analysis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前期分析总调度，汇聚多维结论。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deep_competitor / business / risk / tech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竞品、商业、风险、技术四维深度分析。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plan / social_value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实施计划编排与社会价值论证。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writer / targeted_revise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申报书写作与定向修改。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judge / expert_review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评委打分与专家复审，输出失分点与改进优先级。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proposal_analysis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完整性体检与评分总览。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defense_questions / speech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高频答辩问题与路演讲稿生成。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ppt_outline / rich_media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路演PPT 结构规划与图表/富媒体生成。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818CF8"/>
          <w:sz w:val="26"/>
        </w:rPr>
        <w:t>3.2 技术栈</w:t>
      </w:r>
    </w:p>
    <w:p>
      <w:r>
        <w:rPr>
          <w:rFonts w:ascii="微软雅黑" w:hAnsi="微软雅黑" w:eastAsia="微软雅黑"/>
          <w:b w:val="0"/>
          <w:color w:val="555555"/>
          <w:sz w:val="22"/>
        </w:rPr>
        <w:t>Flask · LangGraph · DeepSeek / 兼容 OpenAI 接口 · python-pptx · matplotlib · 流式输出（SSE）· 9 个赛事知识库 JSON（规则/范文/答辩/评委范式）· 训练库蒸馏样本 · 质量自检闸门（quality_gate.py / export_guard.py）。</w:t>
      </w:r>
    </w:p>
    <w:p>
      <w:pPr>
        <w:pStyle w:val="Heading1"/>
      </w:pPr>
      <w:r>
        <w:rPr>
          <w:rFonts w:ascii="微软雅黑" w:hAnsi="微软雅黑" w:eastAsia="微软雅黑"/>
          <w:b/>
          <w:color w:val="0F1535"/>
          <w:sz w:val="32"/>
        </w:rPr>
        <w:t>四、核心功能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赛事规则解析与评分权重对齐：自动把科学性、先进性、现实意义等权重注入写作。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同质化检测：开题即提示撞车风险与差异化落点，避免『写完才发现雷同』。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双模式申报书：简洁版（分钟级）与深度版（多章节含 6 维分析）。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路演PPT：python-pptx 真实渲染，含数据图表与表格。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答辩稿 + 高频答辩问题：覆盖评委常见追问口径。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实时逐字流式：生成过程按字数增量渲染，告别『干等再整块输出』。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知识库 RAG：按模块/赛道标签检索高分范文片段注入，提升真实度。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多格式导出：Word / PDF / PPT / PPTX / ZIP 一键导出，目录与格式自检。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质量自检闸门：导出前跑完整性、格式、数字抽查、去 AI 味等校验。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导出格式</w:t>
            </w:r>
          </w:p>
        </w:tc>
        <w:tc>
          <w:tcPr>
            <w:tcW w:type="dxa" w:w="648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Word（.docx）</w:t>
            </w:r>
          </w:p>
        </w:tc>
        <w:tc>
          <w:tcPr>
            <w:tcW w:type="dxa" w:w="64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申报书正文，含目录、标题层级与样式。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PDF</w:t>
            </w:r>
          </w:p>
        </w:tc>
        <w:tc>
          <w:tcPr>
            <w:tcW w:type="dxa" w:w="64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按赛制页数/大小限制导出。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PPT（.pptx）</w:t>
            </w:r>
          </w:p>
        </w:tc>
        <w:tc>
          <w:tcPr>
            <w:tcW w:type="dxa" w:w="64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路演PPT，16:9，含真实数据图表。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ZIP</w:t>
            </w:r>
          </w:p>
        </w:tc>
        <w:tc>
          <w:tcPr>
            <w:tcW w:type="dxa" w:w="64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一键打包全部导出物。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原始格式</w:t>
            </w:r>
          </w:p>
        </w:tc>
        <w:tc>
          <w:tcPr>
            <w:tcW w:type="dxa" w:w="64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按官方模板还原的专项申报书。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F1535"/>
          <w:sz w:val="32"/>
        </w:rPr>
        <w:t>五、创新点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多智能体协同 + 评委反馈回流闭环：judge → proposal_analysis → expert_review → targeted_revise，让『评委意见』真正改写下一版，而非摆设。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标杆对标自学习系统：形成『联网检索 → 蒸馏 → 标杆对标 → 写回生成器』闭环，让导出物持续对齐网上高质量获奖作品；同时设防污染铁律与质量门禁，只学习可溯源来源。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真实数据可溯源：强制要求数字给推算过程、敢写局限，降低 AI 味与空话。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流式体验工程：逐字流式 + Tab 拆分 + 进度可视化，把等待过程转化为可信进度。</w:t>
      </w:r>
    </w:p>
    <w:p>
      <w:pPr>
        <w:pStyle w:val="Heading1"/>
      </w:pPr>
      <w:r>
        <w:rPr>
          <w:rFonts w:ascii="微软雅黑" w:hAnsi="微软雅黑" w:eastAsia="微软雅黑"/>
          <w:b/>
          <w:color w:val="0F1535"/>
          <w:sz w:val="32"/>
        </w:rPr>
        <w:t>六、运行数据与成效</w:t>
      </w:r>
    </w:p>
    <w:p>
      <w:r>
        <w:rPr>
          <w:rFonts w:ascii="微软雅黑" w:hAnsi="微软雅黑" w:eastAsia="微软雅黑"/>
          <w:b w:val="0"/>
          <w:sz w:val="22"/>
        </w:rPr>
        <w:t>基于本地产品数据库统计：累计成功生成记录 56 条，覆盖 iCAN、挑战杯、互联网+、国创等赛事。知识库包含 9 个结构化 JSON 文件，训练库持续收录经质量门禁的获奖样例蒸馏样本。</w:t>
      </w:r>
    </w:p>
    <w:p>
      <w:r>
        <w:rPr>
          <w:rFonts w:ascii="微软雅黑" w:hAnsi="微软雅黑" w:eastAsia="微软雅黑"/>
          <w:b w:val="0"/>
          <w:color w:val="555555"/>
          <w:sz w:val="18"/>
        </w:rPr>
        <w:t>注：以上为本地统计时点数据，线上部署库可能独立维护，提交前请以最新统计为准。</w:t>
      </w:r>
    </w:p>
    <w:p>
      <w:pPr>
        <w:pStyle w:val="ListBullet"/>
      </w:pPr>
      <w:r>
        <w:t>对照维度（有实测数据则填，无则写「待补」，严禁编造）：</w:t>
      </w:r>
    </w:p>
    <w:p>
      <w:pPr>
        <w:pStyle w:val="ListBullet"/>
      </w:pPr>
      <w:r>
        <w:t>使用系统前后模拟评审得分差值：待补</w:t>
      </w:r>
    </w:p>
    <w:p>
      <w:pPr>
        <w:pStyle w:val="ListBullet"/>
      </w:pPr>
      <w:r>
        <w:t>单份申报书平均产出耗时（中位数与区间）：待补</w:t>
      </w:r>
    </w:p>
    <w:p>
      <w:pPr>
        <w:pStyle w:val="ListBullet"/>
      </w:pPr>
      <w:r>
        <w:t>导出质量闸门通过率：待补</w:t>
      </w:r>
    </w:p>
    <w:p>
      <w:pPr>
        <w:pStyle w:val="Heading1"/>
      </w:pPr>
      <w:r>
        <w:rPr>
          <w:rFonts w:ascii="微软雅黑" w:hAnsi="微软雅黑" w:eastAsia="微软雅黑"/>
          <w:b/>
          <w:color w:val="0F1535"/>
          <w:sz w:val="32"/>
        </w:rPr>
        <w:t>七、社会价值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降低参赛门槛：把赛事材料准备时间大幅压缩，普惠更多非重点院校学生。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沉淀赛事知识：规则、范式、范文以结构化方式沉淀，形成可复用的双创教育资产。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纠偏同质化：用差异化策略引导学生做真问题，而非扎堆热门赛道。</w:t>
      </w:r>
    </w:p>
    <w:p>
      <w:pPr>
        <w:pStyle w:val="Heading1"/>
      </w:pPr>
      <w:r>
        <w:rPr>
          <w:rFonts w:ascii="微软雅黑" w:hAnsi="微软雅黑" w:eastAsia="微软雅黑"/>
          <w:b/>
          <w:color w:val="0F1535"/>
          <w:sz w:val="32"/>
        </w:rPr>
        <w:t>八、商业模式与落地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基础能力免费使用，增值能力（私有化部署、院校定制知识库、批量导出）变现。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已部署公网演示环境（nginx 反代 + 常驻进程），具备演示与小规模服务条件。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院校双创学院采购『私有化 + 赛事知识库』为可行变现方向，具体商业数据待补充。</w:t>
      </w:r>
    </w:p>
    <w:p>
      <w:pPr>
        <w:pStyle w:val="ListBullet"/>
      </w:pPr>
      <w:r>
        <w:t>市场测算（测算值，取得真实调研数据后必须替换）：基于「全国高等教育在学总规模约 4763 万人」（教育部口径，年份需核实），假设参赛率 8%–12%、四类目标赛事占比 25%，得 TAM 约 95–143 万人；按目标院校渗透率 30% 假设，SAM 约 28–43 万人；按首年渗透率 0.3%–0.5% 假设，SOM 约 850–2150 人。</w:t>
      </w:r>
    </w:p>
    <w:p>
      <w:pPr>
        <w:pStyle w:val="ListBullet"/>
      </w:pPr>
      <w:r>
        <w:t>定价区间（测算值）：C 端单次生成 29–59 元；B 端院校授权 3–8 万元/年。</w:t>
      </w:r>
    </w:p>
    <w:p>
      <w:pPr>
        <w:pStyle w:val="ListBullet"/>
      </w:pPr>
      <w:r>
        <w:t>成本结构（测算值）：单次生成 API 成本约 0.8–2.5 元；服务器与运维约 3–8 万元/年。</w:t>
      </w:r>
    </w:p>
    <w:p>
      <w:pPr>
        <w:pStyle w:val="ListBullet"/>
      </w:pPr>
      <w:r>
        <w:t>盈亏平衡（测算值）：按上述成本反算，约需 1.2–2.5 万人次 C 端用量，或 8–12 所院校授权。</w:t>
      </w:r>
    </w:p>
    <w:p>
      <w:pPr>
        <w:pStyle w:val="Heading1"/>
      </w:pPr>
      <w:r>
        <w:rPr>
          <w:rFonts w:ascii="微软雅黑" w:hAnsi="微软雅黑" w:eastAsia="微软雅黑"/>
          <w:b/>
          <w:color w:val="0F1535"/>
          <w:sz w:val="32"/>
        </w:rPr>
        <w:t>九、竞争优势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对比通用写作工具：内置赛事评分权重与评委闭环，产出『踩中评分点』而非通用文案。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对比单 LLM 提示词：多智能体分工 + 知识库 RAG + 质量闸门，稳定可控、不易跑题。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对比模板网站：真实数据图表渲染 + 可溯源数据，拒绝空模板占位。</w:t>
      </w:r>
    </w:p>
    <w:p>
      <w:pPr>
        <w:pStyle w:val="Heading1"/>
      </w:pPr>
      <w:r>
        <w:t>十、风险分析与应对</w:t>
      </w:r>
    </w:p>
    <w:p>
      <w:pPr>
        <w:pStyle w:val="ListBullet"/>
      </w:pPr>
      <w:r>
        <w:t>技术依赖风险：系统依赖第三方大模型 API。应对：兼容 DeepSeek 及 OpenAI 兼容接口，单模型不可用时自动降级；关键节点保留本地规则兜底，保证链路不中断。</w:t>
      </w:r>
    </w:p>
    <w:p>
      <w:pPr>
        <w:pStyle w:val="ListBullet"/>
      </w:pPr>
      <w:r>
        <w:t>内容幻觉风险：AI 生成内容无法保证 100% 准确。应对：导出前运行质量闸门（quality_gate.py / export_guard.py）做数字抽查、格式校验与去 AI 味检查；所有数字强制标注推算过程；人工复核是最后一道关口，作者须对提交内容负责。</w:t>
      </w:r>
    </w:p>
    <w:p>
      <w:pPr>
        <w:pStyle w:val="ListBullet"/>
      </w:pPr>
      <w:r>
        <w:t>同质化风险：同赛道项目扎堆易撞车。应对：开题即运行 similarity_checker 节点，输出撞车预警与差异化落点建议。</w:t>
      </w:r>
    </w:p>
    <w:p>
      <w:pPr>
        <w:pStyle w:val="ListBullet"/>
      </w:pPr>
      <w:r>
        <w:t>时效性风险：赛事规则按年度调整，知识库存在过期风险。应对：规则解析节点以当届官方通知为唯一输入源，知识库按赛事年度打版本号并定期复核。</w:t>
      </w:r>
    </w:p>
    <w:p>
      <w:pPr>
        <w:pStyle w:val="ListBullet"/>
      </w:pPr>
      <w:r>
        <w:t>合规与伦理风险：用户可能上传涉密项目材料，生成内容涉及版权与参赛原创性认定。应对：明确数据留存策略与用户协议，在导出物中提示原创性责任归属，不替代作者的原创性承诺。</w:t>
      </w:r>
    </w:p>
    <w:p>
      <w:pPr>
        <w:pStyle w:val="Heading1"/>
      </w:pPr>
      <w:r>
        <w:t>十一、佐证材料与原创性说明</w:t>
      </w:r>
    </w:p>
    <w:p>
      <w:pPr/>
      <w:r>
        <w:t>已完成成果：公网可访问系统（https://kechuang2026.cn）；完整源代码（本仓库，含 4 大生成器与 20 个智能体节点）；9 个赛事知识库 JSON 文件；训练库蒸馏样本；质量自检脚本；系统演示视频。</w:t>
      </w:r>
    </w:p>
    <w:p>
      <w:pPr/>
      <w:r>
        <w:t>待补材料（没有的请写「无」，严禁编造受理号或编号）：演示视频链接（待补）· 原创性承诺书（待补）· 软件著作权（待补）· 第三方检测报告（待补）· 用户反馈记录（待补）。</w:t>
      </w:r>
    </w:p>
    <w:p>
      <w:pPr/>
      <w:r>
        <w:t>原创性声明：本说明书所述系统为本项目团队自主开发；知识库内容为自建结构归纳，未复制任何受版权保护的获奖作品原文；引用公开资料已在第十四章列明出处。</w:t>
      </w:r>
    </w:p>
    <w:p>
      <w:pPr>
        <w:pStyle w:val="ListBullet"/>
      </w:pPr>
      <w:r>
        <w:t>与通用大模型（如豆包、Kimi 等）的本质差异：通用大模型给出的是一次性文本，不含赛事评分权重、不跑撞车检测、不做导出格式校验；本项目以 20 个专职节点分工 + 9 个赛事知识库 RAG + 质量闸门，把「写作」变成「按评审口径交付」。</w:t>
      </w:r>
    </w:p>
    <w:p>
      <w:pPr>
        <w:pStyle w:val="ListBullet"/>
      </w:pPr>
      <w:r>
        <w:t>若通用大模型后续增加科创备赛插件，本项目的壁垒在于：赛事知识库的结构化沉淀（规则/范文/答辩/评委范式）、评委反馈回流闭环、以及导出物的格式自检能力——这三项是长期积累资产，非单一提示词可复制。</w:t>
      </w:r>
    </w:p>
    <w:p>
      <w:pPr>
        <w:pStyle w:val="ListBullet"/>
      </w:pPr>
      <w:r>
        <w:t>客观承认对手优势：通用大模型在通用文案流畅度与多轮对话体验上更成熟；模板网站在素材丰富度上有积累。本项目聚焦「赛事材料」这一垂直场景，不与通用能力正面竞争。</w:t>
      </w:r>
    </w:p>
    <w:p>
      <w:pPr>
        <w:pStyle w:val="Heading1"/>
      </w:pPr>
      <w:r>
        <w:rPr>
          <w:rFonts w:ascii="微软雅黑" w:hAnsi="微软雅黑" w:eastAsia="微软雅黑"/>
          <w:b/>
          <w:color w:val="0F1535"/>
          <w:sz w:val="32"/>
        </w:rPr>
        <w:t>十二、未来规划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多模态：支持上传草图/截图辅助生成。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院校私有化与赛事知识库定制，沉淀各校往届获奖范式。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标杆自学习系统常态化：每日自动检索、蒸馏、对标并写回，持续拉高质量上限。</w:t>
      </w:r>
    </w:p>
    <w:p>
      <w:pPr>
        <w:pStyle w:val="Heading1"/>
      </w:pPr>
      <w:r>
        <w:rPr>
          <w:rFonts w:ascii="微软雅黑" w:hAnsi="微软雅黑" w:eastAsia="微软雅黑"/>
          <w:b/>
          <w:color w:val="0F1535"/>
          <w:sz w:val="32"/>
        </w:rPr>
        <w:t>十三、团队与分工</w:t>
      </w:r>
    </w:p>
    <w:p>
      <w:r>
        <w:rPr>
          <w:rFonts w:ascii="微软雅黑" w:hAnsi="微软雅黑" w:eastAsia="微软雅黑"/>
          <w:b w:val="0"/>
          <w:color w:val="555555"/>
          <w:sz w:val="22"/>
        </w:rPr>
        <w:t>（请填写真实团队成员、学校/院系、联系方式与分工。iCAN 口径：在校生不超过 5 人、指导教师不超过 2 人；下表为 5 名学生 + 1 名指导教师，可按实际人数增删。）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学校/院系</w:t>
            </w:r>
          </w:p>
        </w:tc>
        <w:tc>
          <w:tcPr>
            <w:tcW w:type="dxa" w:w="3312"/>
          </w:tcPr>
          <w:p>
            <w:r>
              <w:t>分工</w:t>
            </w:r>
          </w:p>
        </w:tc>
        <w:tc>
          <w:tcPr>
            <w:tcW w:type="dxa" w:w="1440"/>
          </w:tcPr>
          <w:p>
            <w:r>
              <w:t>联系方式</w:t>
            </w:r>
          </w:p>
        </w:tc>
      </w:tr>
      <w:tr>
        <w:tc>
          <w:tcPr>
            <w:tcW w:type="dxa" w:w="1728"/>
          </w:tcPr>
          <w:p>
            <w:r>
              <w:t>待填写</w:t>
            </w:r>
          </w:p>
        </w:tc>
        <w:tc>
          <w:tcPr>
            <w:tcW w:type="dxa" w:w="2880"/>
          </w:tcPr>
          <w:p>
            <w:r>
              <w:t>待填写</w:t>
            </w:r>
          </w:p>
        </w:tc>
        <w:tc>
          <w:tcPr>
            <w:tcW w:type="dxa" w:w="3312"/>
          </w:tcPr>
          <w:p>
            <w:r>
              <w:t>项目负责人：整体统筹与技术路线</w:t>
            </w:r>
          </w:p>
        </w:tc>
        <w:tc>
          <w:tcPr>
            <w:tcW w:type="dxa" w:w="1440"/>
          </w:tcPr>
          <w:p>
            <w:r>
              <w:t>待填写</w:t>
            </w:r>
          </w:p>
        </w:tc>
      </w:tr>
      <w:tr>
        <w:tc>
          <w:tcPr>
            <w:tcW w:type="dxa" w:w="1728"/>
          </w:tcPr>
          <w:p>
            <w:r>
              <w:t>待填写</w:t>
            </w:r>
          </w:p>
        </w:tc>
        <w:tc>
          <w:tcPr>
            <w:tcW w:type="dxa" w:w="2880"/>
          </w:tcPr>
          <w:p>
            <w:r>
              <w:t>待填写</w:t>
            </w:r>
          </w:p>
        </w:tc>
        <w:tc>
          <w:tcPr>
            <w:tcW w:type="dxa" w:w="3312"/>
          </w:tcPr>
          <w:p>
            <w:r>
              <w:t>后端开发：Flask 服务与智能体编排</w:t>
            </w:r>
          </w:p>
        </w:tc>
        <w:tc>
          <w:tcPr>
            <w:tcW w:type="dxa" w:w="1440"/>
          </w:tcPr>
          <w:p>
            <w:r>
              <w:t>待填写</w:t>
            </w:r>
          </w:p>
        </w:tc>
      </w:tr>
      <w:tr>
        <w:tc>
          <w:tcPr>
            <w:tcW w:type="dxa" w:w="1728"/>
          </w:tcPr>
          <w:p>
            <w:r>
              <w:t>待填写</w:t>
            </w:r>
          </w:p>
        </w:tc>
        <w:tc>
          <w:tcPr>
            <w:tcW w:type="dxa" w:w="2880"/>
          </w:tcPr>
          <w:p>
            <w:r>
              <w:t>待填写</w:t>
            </w:r>
          </w:p>
        </w:tc>
        <w:tc>
          <w:tcPr>
            <w:tcW w:type="dxa" w:w="3312"/>
          </w:tcPr>
          <w:p>
            <w:r>
              <w:t>前端开发：单页应用与流式交互</w:t>
            </w:r>
          </w:p>
        </w:tc>
        <w:tc>
          <w:tcPr>
            <w:tcW w:type="dxa" w:w="1440"/>
          </w:tcPr>
          <w:p>
            <w:r>
              <w:t>待填写</w:t>
            </w:r>
          </w:p>
        </w:tc>
      </w:tr>
      <w:tr>
        <w:tc>
          <w:tcPr>
            <w:tcW w:type="dxa" w:w="2160"/>
          </w:tcPr>
          <w:p>
            <w:r>
              <w:t>待填写</w:t>
            </w:r>
          </w:p>
        </w:tc>
        <w:tc>
          <w:tcPr>
            <w:tcW w:type="dxa" w:w="2160"/>
          </w:tcPr>
          <w:p>
            <w:r>
              <w:t>待填写</w:t>
            </w:r>
          </w:p>
        </w:tc>
        <w:tc>
          <w:tcPr>
            <w:tcW w:type="dxa" w:w="2160"/>
          </w:tcPr>
          <w:p>
            <w:r>
              <w:t>知识库与数据：赛事规则与蒸馏样本</w:t>
            </w:r>
          </w:p>
        </w:tc>
        <w:tc>
          <w:tcPr>
            <w:tcW w:type="dxa" w:w="2160"/>
          </w:tcPr>
          <w:p>
            <w:r>
              <w:t>待填写</w:t>
            </w:r>
          </w:p>
        </w:tc>
      </w:tr>
      <w:tr>
        <w:tc>
          <w:tcPr>
            <w:tcW w:type="dxa" w:w="2160"/>
          </w:tcPr>
          <w:p>
            <w:r>
              <w:t>待填写</w:t>
            </w:r>
          </w:p>
        </w:tc>
        <w:tc>
          <w:tcPr>
            <w:tcW w:type="dxa" w:w="2160"/>
          </w:tcPr>
          <w:p>
            <w:r>
              <w:t>待填写</w:t>
            </w:r>
          </w:p>
        </w:tc>
        <w:tc>
          <w:tcPr>
            <w:tcW w:type="dxa" w:w="2160"/>
          </w:tcPr>
          <w:p>
            <w:r>
              <w:t>测试与交付：导出质量闸门与文档</w:t>
            </w:r>
          </w:p>
        </w:tc>
        <w:tc>
          <w:tcPr>
            <w:tcW w:type="dxa" w:w="2160"/>
          </w:tcPr>
          <w:p>
            <w:r>
              <w:t>待填写</w:t>
            </w:r>
          </w:p>
        </w:tc>
      </w:tr>
      <w:tr>
        <w:tc>
          <w:tcPr>
            <w:tcW w:type="dxa" w:w="2160"/>
          </w:tcPr>
          <w:p>
            <w:r>
              <w:t>待填写（指导教师）</w:t>
            </w:r>
          </w:p>
        </w:tc>
        <w:tc>
          <w:tcPr>
            <w:tcW w:type="dxa" w:w="2160"/>
          </w:tcPr>
          <w:p>
            <w:r>
              <w:t>待填写</w:t>
            </w:r>
          </w:p>
        </w:tc>
        <w:tc>
          <w:tcPr>
            <w:tcW w:type="dxa" w:w="2160"/>
          </w:tcPr>
          <w:p>
            <w:r>
              <w:t>指导教师：方向把关与进度管理</w:t>
            </w:r>
          </w:p>
        </w:tc>
        <w:tc>
          <w:tcPr>
            <w:tcW w:type="dxa" w:w="2160"/>
          </w:tcPr>
          <w:p>
            <w:r>
              <w:t>待填写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F1535"/>
          <w:sz w:val="32"/>
        </w:rPr>
        <w:t>十四、参考文献与可溯源资料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《互联网+大学生创新创业大赛评审规则》公开文件。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《挑战杯》大学生课外学术科技作品竞赛章程与往届优秀作品集。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本项目知识库：knowledge_base/*.json（规则/范文/答辩/评委范式）。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本项目训练库：训练库/获奖样例蒸馏_v1.json、v2.json。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