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b/>
          <w:color w:val="000000"/>
        </w:rPr>
        <w:t>3.4. Chuẩn hoá, tính điểm trụ và tổng hợp DII-Core</w:t>
      </w:r>
    </w:p>
    <w:p>
      <w:pPr>
        <w:pStyle w:val="Heading3"/>
      </w:pPr>
      <w:r>
        <w:rPr>
          <w:rFonts w:ascii="Times New Roman" w:hAnsi="Times New Roman" w:eastAsia="Times New Roman"/>
          <w:b/>
          <w:color w:val="000000"/>
        </w:rPr>
        <w:t>3.4.1. Chuẩn hoá pooled z-score để đảm bảo so sánh liên thời gian</w:t>
      </w:r>
    </w:p>
    <w:p>
      <w:r>
        <w:t>Các chỉ báo cấu thành DII-Core có đơn vị đo và độ phân tán khác nhau; vì vậy cần đưa chúng về một không gian đo lường thống nhất trước khi tổng hợp. Luận văn sử dụng chuẩn hoá z-score theo hướng pooled standardization trên toàn bộ tập quan sát quốc gia–năm giai đoạn 2015–2022, nhằm đảm bảo điểm số giữa các năm có thể so sánh trong cùng một hệ quy chiếu toàn cầu (Nardo et al., 2008; Greco et al., 2019).</w:t>
      </w:r>
    </w:p>
    <w:p>
      <w:r>
        <w:t>Với mỗi chỉ báo j tại quốc gia c và năm t, giá trị chuẩn hoá được xác định như sau:</w:t>
      </w:r>
    </w:p>
    <w:p>
      <w:pPr>
        <w:jc w:val="center"/>
      </w:pPr>
      <w:r>
        <w:t xml:space="preserve"> (3.4.1)   z_{c,t,j} = (x_{c,t,j} - μ_j) / σ_j</w:t>
      </w:r>
    </w:p>
    <w:p>
      <w:r>
        <w:t>trong đó μ_j và σ_j lần lượt là trung bình và độ lệch chuẩn của chỉ báo j, được ước lượng từ toàn bộ các quan sát hợp lệ trong giai đoạn nghiên cứu. Lựa chọn pooled z-score có ý nghĩa phương pháp: nếu chuẩn hoá theo từng năm, trung bình z-score của mỗi năm sẽ bị ép bằng 0 một cách cơ học, khiến phân tích theo thời gian chủ yếu phản ánh vị trí tương đối trong từng năm thay vì phản ánh dịch chuyển tương đối của phân phối toàn cầu trên cùng một thang chuẩn.</w:t>
      </w:r>
    </w:p>
    <w:p>
      <w:r>
        <w:t>Đối với chỉ báo có phân phối lệch mạnh, luận văn áp dụng biến đổi thang đo ở mức tối thiểu trước chuẩn hoá. Cụ thể, với chỉ báo secure servers, luận văn dùng biến đổi log(1 + x) nhằm giảm lệch phải và giảm ảnh hưởng của ngoại lệ lên bước chuẩn hoá và tổng hợp. Thao tác này được nêu rõ trong phần audit/tiền xử lý để đảm bảo khả năng truy vết và tái lập.</w:t>
      </w:r>
    </w:p>
    <w:p>
      <w:r>
        <w:t>[Chèn Bảng 3.4 (bản nháp cũ) tại đây] Thống kê mô tả (thang sau tiền xử lý) của bộ 6 chỉ báo DII-Core trên toàn bộ panel 2015–2022.</w:t>
      </w:r>
    </w:p>
    <w:p>
      <w:r>
        <w:t xml:space="preserve"> Bảng 3.4 đóng vai trò kiểm tra trước chuẩn hoá: nó mô tả miền giá trị và mức phân tán của từng chỉ báo sau tiền xử lý. Thông tin này được dùng để xác nhận dữ liệu đầu vào phù hợp cho bước chuẩn hoá, không nhằm rút ra kết luận về mức độ bao trùm số.</w:t>
      </w:r>
    </w:p>
    <w:p>
      <w:r>
        <w:t>[Chèn Hình 3.6 (bản nháp cũ) tại đây] Yearly mean z-scores of DII-Core indicators (2015–2022).</w:t>
      </w:r>
    </w:p>
    <w:p>
      <w:r>
        <w:t xml:space="preserve"> Hình 3.6 mô tả trung bình z-score theo năm của từng chỉ báo trên cùng một thang chuẩn pooled. Đây là cơ sở trực quan để kiểm tra rằng so sánh liên thời gian không bị sai lệch bởi việc chuẩn hoá lại theo từng năm.</w:t>
      </w:r>
    </w:p>
    <w:p>
      <w:pPr>
        <w:pStyle w:val="Heading3"/>
      </w:pPr>
      <w:r>
        <w:rPr>
          <w:rFonts w:ascii="Times New Roman" w:hAnsi="Times New Roman" w:eastAsia="Times New Roman"/>
          <w:b/>
          <w:color w:val="000000"/>
        </w:rPr>
        <w:t>3.4.2. Tính điểm trụ và quy tắc missingness ở cấp trụ và cấp chỉ số</w:t>
      </w:r>
    </w:p>
    <w:p>
      <w:r>
        <w:t xml:space="preserve"> Sau chuẩn hoá, luận văn tính điểm trụ nhằm giữ khả năng diễn giải và cho phép phân rã chỉ số tổng theo từng chiều cạnh. Vì mỗi trụ trong DII-Core được cấu thành bởi hai chỉ báo, điểm trụ tại quan sát (c, t) chỉ được tính khi cả hai chỉ báo trong trụ đều có dữ liệu hợp lệ. Quy tắc này nhằm đảm bảo mỗi điểm trụ phản ánh đầy đủ nội dung đo lường tối thiểu của trụ, tránh việc suy diễn từ một chỉ báo đơn lẻ.</w:t>
      </w:r>
    </w:p>
    <w:p>
      <w:r>
        <w:t xml:space="preserve"> Với trụ k gồm hai chỉ báo j1 và j2, điểm trụ được xác định như sau:</w:t>
      </w:r>
    </w:p>
    <w:p>
      <w:pPr>
        <w:jc w:val="center"/>
      </w:pPr>
      <w:r>
        <w:t xml:space="preserve"> (3.4.2)   P_{c,t,k} = 0.5 * (z_{c,t,j1} + z_{c,t,j2})  nếu z_{c,t,j1} và z_{c,t,j2} đều tồn tại; ngược lại: missing</w:t>
      </w:r>
    </w:p>
    <w:p>
      <w:r>
        <w:t xml:space="preserve"> Trên cơ sở điểm trụ, luận văn áp dụng hai cấu hình để đánh giá độ nhạy của kết quả đối với yêu cầu dữ liệu tối thiểu ở cấp chỉ số. Ở cấu hình baseline, DII-Core được tính khi quan sát có ít nhất 2 trong 3 trụ có điểm hợp lệ; ở cấu hình strict, DII-Core chỉ được tính khi quan sát có đủ 3 trong 3 trụ. Hai cấu hình này phản ánh đánh đổi giữa độ phủ quan sát của panel và mức độ nghiêm ngặt về tính đầy đủ thông tin; chúng được sử dụng như kiểm tra độ bền ở phần robustness thay vì được xem là lựa chọn đúng tuyệt đối (Nardo et al., 2008; Saltelli, 2007).</w:t>
      </w:r>
    </w:p>
    <w:p>
      <w:r>
        <w:t xml:space="preserve"> Khi coverage thay đổi theo năm, số quan sát thỏa điều kiện để tính điểm cũng có thể thay đổi theo năm. Vì vậy, các so sánh liên thời gian ở chương kết quả sẽ luôn được đặt trong bối cảnh coverage đã trình bày tại mục 3.3 và sẽ được đối chiếu bằng các kiểm tra độ nhạy theo baseline/strict, nhằm tránh kết luận phụ thuộc vào một cấu hình missingness duy nhất.</w:t>
      </w:r>
    </w:p>
    <w:p>
      <w:pPr>
        <w:pStyle w:val="Heading3"/>
      </w:pPr>
      <w:r>
        <w:rPr>
          <w:rFonts w:ascii="Times New Roman" w:hAnsi="Times New Roman" w:eastAsia="Times New Roman"/>
          <w:b/>
          <w:color w:val="000000"/>
        </w:rPr>
        <w:t>3.4.3. Tổng hợp DII-Core và quy đổi về thang 0–100</w:t>
      </w:r>
    </w:p>
    <w:p>
      <w:r>
        <w:t xml:space="preserve"> Sau khi có điểm trụ, DII-Core được tổng hợp theo hàm tuyến tính với trọng số bằng nhau giữa ba trụ. Lựa chọn này được sử dụng như đặc tả chính để ưu tiên tính minh bạch và khả năng diễn giải, đồng thời giảm mức độ áp đặt chuẩn tắc về việc trụ nào quan trọng hơn khi chưa có cơ sở độc lập đủ mạnh để biện minh cho trọng số không bằng nhau trong bối cảnh dữ liệu toàn cầu 2015–2022 (Nardo et al., 2008; Greco et al., 2019).</w:t>
      </w:r>
    </w:p>
    <w:p>
      <w:r>
        <w:t xml:space="preserve"> Điểm chỉ số tổng chỉ được tính trên các quan sát thỏa điều kiện dữ liệu tối thiểu nêu ở mục 3.4.2 (baseline hoặc strict).</w:t>
      </w:r>
    </w:p>
    <w:p>
      <w:r>
        <w:t xml:space="preserve"> Công thức tổng hợp trên thang z-score:</w:t>
      </w:r>
    </w:p>
    <w:p>
      <w:pPr>
        <w:jc w:val="center"/>
      </w:pPr>
      <w:r>
        <w:t xml:space="preserve"> (3.4.3)   DII^z_{c,t} = (1/3) * (P_{c,t,1} + P_{c,t,2} + P_{c,t,3})</w:t>
      </w:r>
    </w:p>
    <w:p>
      <w:r>
        <w:t xml:space="preserve"> Để thuận tiện trình bày và so sánh mô tả, luận văn quy đổi tuyến tính điểm DII^z sang thang 0–100. Việc quy đổi này giữ nguyên quan hệ thứ bậc giữa các quan sát và chỉ nhằm tăng tính dễ đọc của kết quả. Thang 0–100 trong nghiên cứu là thang quy ước trong mẫu panel 2015–2022, không phải thang tuyệt đối về mức bao trùm số.</w:t>
      </w:r>
    </w:p>
    <w:p>
      <w:r>
        <w:t xml:space="preserve"> Công thức quy đổi tuyến tính (dựa trên cực trị quan sát được trong mẫu):</w:t>
      </w:r>
    </w:p>
    <w:p>
      <w:pPr>
        <w:jc w:val="center"/>
      </w:pPr>
      <w:r>
        <w:t xml:space="preserve"> (3.4.4)   DII^{0-100}_{c,t} = 100 * (DII^z_{c,t} - min(DII^z)) / (max(DII^z) - min(DII^z))</w:t>
      </w:r>
    </w:p>
    <w:p>
      <w:r>
        <w:t>[Chèn Hình 3.7 (bản nháp cũ) tại đây] Phân phối điểm trụ trong toàn bộ panel (2015–2022).</w:t>
      </w:r>
    </w:p>
    <w:p>
      <w:r>
        <w:t xml:space="preserve"> Hình 3.7 là bước kiểm tra trực quan ở cấp trụ trước khi báo cáo chỉ số tổng. Mục tiêu là đánh giá liệu một trụ có phân phối quá lệch hoặc bị chi phối bởi các điểm cực trị hay không, vì các đặc điểm này có thể làm tăng độ nhạy của điểm tổng hợp đối với lựa chọn chuẩn hoá hoặc đối với các quan sát ngoại lệ.</w:t>
      </w:r>
    </w:p>
    <w:p>
      <w:r>
        <w:t>[Chèn Bảng 3.6 (bản nháp cũ) tại đây] Thống kê mô tả điểm trụ và chỉ số DII-Core trên toàn bộ panel (2015–2022).</w:t>
      </w:r>
    </w:p>
    <w:p>
      <w:r>
        <w:t xml:space="preserve"> Bảng 3.6 cung cấp thống kê mô tả cho ba điểm trụ, điểm chỉ số tổng trên thang z-score và điểm đã quy đổi 0–100. Bảng này được dùng để xác nhận thang đo vận hành hợp lệ (có độ phân tán đủ để phân biệt quốc gia) và để đặt nền tảng cho các mô tả theo năm ở các mục tiếp theo.</w:t>
      </w:r>
    </w:p>
    <w:p>
      <w:pPr>
        <w:pStyle w:val="Heading3"/>
      </w:pPr>
      <w:r>
        <w:rPr>
          <w:rFonts w:ascii="Times New Roman" w:hAnsi="Times New Roman" w:eastAsia="Times New Roman"/>
          <w:b/>
          <w:color w:val="000000"/>
        </w:rPr>
        <w:t>3.4.4. Liên kết sang kiểm tra độ bền</w:t>
      </w:r>
    </w:p>
    <w:p>
      <w:r>
        <w:t xml:space="preserve"> Trong xây dựng composite index, các lựa chọn như chính sách missingness và cách quy đổi thang điểm có thể ảnh hưởng đến thứ hạng ở một số trường hợp biên. Vì vậy, luận văn triển khai các kiểm tra độ bền nhằm đánh giá mức độ ổn định của thứ hạng khi thay đổi các giả định kỹ thuật hợp lý, bao gồm so sánh baseline với strict missingness và so sánh các phương án quy đổi thang điểm. Các kiểm tra này giúp đảm bảo rằng các kết luận ở chương kết quả không phụ thuộc quá mức vào một cấu hình kỹ thuật duy nhất (Greco et al., 2019; Saltelli, 2007).</w:t>
      </w:r>
    </w:p>
    <w:p>
      <w:r>
        <w:t xml:space="preserve"> Câu chuyển mạch: Trên nền tảng chuẩn hoá, tính điểm trụ và tổng hợp DII-Core đã nêu, mục tiếp theo trình bày các kiểm tra độ bền và đối chiếu benchmark nhằm đánh giá mức độ ổn định của thứ hạng và độ tin cậy của các kết luận khi thay đổi các giả định kỹ thuật trong phạm vi hợp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