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78B" w:rsidRDefault="00C45189" w:rsidP="001D14E9">
      <w:r>
        <w:rPr>
          <w:noProof/>
        </w:rPr>
        <w:pict>
          <v:group id="_x0000_s1089" style="position:absolute;left:0;text-align:left;margin-left:-26.85pt;margin-top:-67.2pt;width:499.95pt;height:811.65pt;z-index:251673600" coordorigin="1263,96" coordsize="9999,16233">
            <v:oval id="_x0000_s1090" style="position:absolute;left:3993;top:96;width:1454;height:638">
              <v:textbox style="mso-next-textbox:#_x0000_s1090">
                <w:txbxContent>
                  <w:p w:rsidR="004B1710" w:rsidRDefault="004B1710" w:rsidP="004B1710">
                    <w:r>
                      <w:rPr>
                        <w:rFonts w:hint="eastAsia"/>
                      </w:rPr>
                      <w:t xml:space="preserve">  begin</w:t>
                    </w:r>
                  </w:p>
                </w:txbxContent>
              </v:textbox>
            </v:oval>
            <v:rect id="_x0000_s1091" style="position:absolute;left:2188;top:11846;width:5080;height:2092">
              <v:textbox style="mso-next-textbox:#_x0000_s1091">
                <w:txbxContent>
                  <w:p w:rsidR="004B1710" w:rsidRDefault="004B1710" w:rsidP="004B1710">
                    <w:r>
                      <w:rPr>
                        <w:rFonts w:hint="eastAsia"/>
                      </w:rPr>
                      <w:t>dg_return()</w:t>
                    </w:r>
                  </w:p>
                </w:txbxContent>
              </v:textbox>
            </v:rect>
            <v:rect id="_x0000_s1092" style="position:absolute;left:3138;top:2160;width:3437;height:475">
              <v:textbox style="mso-next-textbox:#_x0000_s1092">
                <w:txbxContent>
                  <w:p w:rsidR="004B1710" w:rsidRDefault="004B1710" w:rsidP="004B1710">
                    <w:r>
                      <w:rPr>
                        <w:rFonts w:hint="eastAsia"/>
                      </w:rPr>
                      <w:t>输入</w:t>
                    </w:r>
                    <w:r>
                      <w:rPr>
                        <w:rFonts w:hint="eastAsia"/>
                      </w:rPr>
                      <w:t>DG</w:t>
                    </w:r>
                    <w:r>
                      <w:rPr>
                        <w:rFonts w:hint="eastAsia"/>
                      </w:rPr>
                      <w:t>库</w:t>
                    </w:r>
                    <w:r>
                      <w:rPr>
                        <w:rFonts w:hint="eastAsia"/>
                      </w:rPr>
                      <w:t>ip</w:t>
                    </w:r>
                    <w:r>
                      <w:rPr>
                        <w:rFonts w:hint="eastAsia"/>
                      </w:rPr>
                      <w:t>，实例名，执行时间</w:t>
                    </w:r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93" type="#_x0000_t4" style="position:absolute;left:3520;top:2920;width:2268;height:761">
              <v:textbox>
                <w:txbxContent>
                  <w:p w:rsidR="004B1710" w:rsidRDefault="004B1710" w:rsidP="004B1710">
                    <w:r>
                      <w:rPr>
                        <w:rFonts w:hint="eastAsia"/>
                      </w:rPr>
                      <w:t>是否是</w:t>
                    </w:r>
                    <w:r>
                      <w:rPr>
                        <w:rFonts w:hint="eastAsia"/>
                      </w:rPr>
                      <w:t>DG</w:t>
                    </w:r>
                  </w:p>
                </w:txbxContent>
              </v:textbox>
            </v:shape>
            <v:shape id="_x0000_s1094" type="#_x0000_t4" style="position:absolute;left:3370;top:4157;width:2486;height:693">
              <v:textbox>
                <w:txbxContent>
                  <w:p w:rsidR="004B1710" w:rsidRDefault="004B1710" w:rsidP="004B1710">
                    <w:r>
                      <w:rPr>
                        <w:rFonts w:hint="eastAsia"/>
                      </w:rPr>
                      <w:t>是否有</w:t>
                    </w:r>
                    <w:r>
                      <w:rPr>
                        <w:rFonts w:hint="eastAsia"/>
                      </w:rPr>
                      <w:t>DSG</w:t>
                    </w:r>
                  </w:p>
                </w:txbxContent>
              </v:textbox>
            </v:shape>
            <v:rect id="_x0000_s1095" style="position:absolute;left:7268;top:5053;width:1426;height:462">
              <v:textbox>
                <w:txbxContent>
                  <w:p w:rsidR="004B1710" w:rsidRDefault="004B1710" w:rsidP="004B1710">
                    <w:r>
                      <w:rPr>
                        <w:rFonts w:hint="eastAsia"/>
                      </w:rPr>
                      <w:t>停</w:t>
                    </w:r>
                    <w:r>
                      <w:rPr>
                        <w:rFonts w:hint="eastAsia"/>
                      </w:rPr>
                      <w:t>DSG</w:t>
                    </w:r>
                  </w:p>
                </w:txbxContent>
              </v:textbox>
            </v:rect>
            <v:rect id="_x0000_s1096" style="position:absolute;left:2256;top:6493;width:5203;height:2867">
              <v:textbox>
                <w:txbxContent>
                  <w:p w:rsidR="004B1710" w:rsidRDefault="004B1710" w:rsidP="004B1710">
                    <w:r>
                      <w:rPr>
                        <w:rFonts w:hint="eastAsia"/>
                      </w:rPr>
                      <w:t>dg_convert()</w:t>
                    </w:r>
                  </w:p>
                </w:txbxContent>
              </v:textbox>
            </v:rect>
            <v:rect id="_x0000_s1097" style="position:absolute;left:2757;top:7051;width:4225;height:408">
              <v:textbox>
                <w:txbxContent>
                  <w:p w:rsidR="004B1710" w:rsidRDefault="004B1710" w:rsidP="004B1710">
                    <w:r>
                      <w:rPr>
                        <w:rFonts w:hint="eastAsia"/>
                      </w:rPr>
                      <w:t>建立闪回区，关闭传输通道，关闭日志应用</w:t>
                    </w:r>
                  </w:p>
                  <w:p w:rsidR="004B1710" w:rsidRPr="00242F12" w:rsidRDefault="004B1710" w:rsidP="004B1710"/>
                </w:txbxContent>
              </v:textbox>
            </v:rect>
            <v:rect id="_x0000_s1098" style="position:absolute;left:2962;top:7771;width:3411;height:462">
              <v:textbox>
                <w:txbxContent>
                  <w:p w:rsidR="004B1710" w:rsidRDefault="004B1710" w:rsidP="004B1710">
                    <w:r>
                      <w:rPr>
                        <w:rFonts w:hint="eastAsia"/>
                      </w:rPr>
                      <w:t>停库，新建闪回点，打开</w:t>
                    </w:r>
                    <w:r>
                      <w:rPr>
                        <w:rFonts w:hint="eastAsia"/>
                      </w:rPr>
                      <w:t>snapshot</w:t>
                    </w:r>
                  </w:p>
                  <w:p w:rsidR="004B1710" w:rsidRPr="00242F12" w:rsidRDefault="004B1710" w:rsidP="004B1710"/>
                </w:txbxContent>
              </v:textbox>
            </v:rect>
            <v:shape id="_x0000_s1099" type="#_x0000_t4" style="position:absolute;left:2962;top:8545;width:3260;height:652">
              <v:textbox>
                <w:txbxContent>
                  <w:p w:rsidR="004B1710" w:rsidRDefault="004B1710" w:rsidP="004B1710">
                    <w:r>
                      <w:rPr>
                        <w:rFonts w:hint="eastAsia"/>
                      </w:rPr>
                      <w:t>判断数据库状态</w:t>
                    </w:r>
                  </w:p>
                </w:txbxContent>
              </v:textbox>
            </v:shape>
            <v:shape id="_x0000_s1100" type="#_x0000_t4" style="position:absolute;left:8368;top:7852;width:2894;height:693">
              <v:textbox>
                <w:txbxContent>
                  <w:p w:rsidR="004B1710" w:rsidRDefault="004B1710" w:rsidP="004B1710">
                    <w:r>
                      <w:rPr>
                        <w:rFonts w:hint="eastAsia"/>
                      </w:rPr>
                      <w:t>脚本执行时间</w:t>
                    </w:r>
                  </w:p>
                </w:txbxContent>
              </v:textbox>
            </v:shape>
            <v:shape id="_x0000_s1101" type="#_x0000_t4" style="position:absolute;left:2852;top:10162;width:3342;height:706">
              <v:textbox>
                <w:txbxContent>
                  <w:p w:rsidR="004B1710" w:rsidRDefault="004B1710" w:rsidP="004B1710">
                    <w:r>
                      <w:rPr>
                        <w:rFonts w:hint="eastAsia"/>
                      </w:rPr>
                      <w:t>归档目录使用率</w:t>
                    </w:r>
                  </w:p>
                </w:txbxContent>
              </v:textbox>
            </v:shape>
            <v:rect id="_x0000_s1102" style="position:absolute;left:2852;top:12837;width:3194;height:435">
              <v:textbox>
                <w:txbxContent>
                  <w:p w:rsidR="004B1710" w:rsidRDefault="004B1710" w:rsidP="004B1710">
                    <w:r>
                      <w:rPr>
                        <w:rFonts w:hint="eastAsia"/>
                      </w:rPr>
                      <w:t>删除</w:t>
                    </w:r>
                    <w:r>
                      <w:rPr>
                        <w:rFonts w:hint="eastAsia"/>
                      </w:rPr>
                      <w:t>snapshot</w:t>
                    </w:r>
                    <w:r>
                      <w:rPr>
                        <w:rFonts w:hint="eastAsia"/>
                      </w:rPr>
                      <w:t>期间的归档</w:t>
                    </w:r>
                  </w:p>
                </w:txbxContent>
              </v:textbox>
            </v:rect>
            <v:rect id="_x0000_s1103" style="position:absolute;left:2703;top:13381;width:3343;height:421">
              <v:textbox>
                <w:txbxContent>
                  <w:p w:rsidR="004B1710" w:rsidRDefault="004B1710" w:rsidP="004B1710">
                    <w:r>
                      <w:rPr>
                        <w:rFonts w:hint="eastAsia"/>
                      </w:rPr>
                      <w:t>打开传输通道，开启日志应用</w:t>
                    </w:r>
                  </w:p>
                </w:txbxContent>
              </v:textbox>
            </v:rect>
            <v:rect id="_x0000_s1104" style="position:absolute;left:3232;top:12336;width:1916;height:394">
              <v:textbox>
                <w:txbxContent>
                  <w:p w:rsidR="004B1710" w:rsidRDefault="004B1710" w:rsidP="004B1710">
                    <w:r>
                      <w:rPr>
                        <w:rFonts w:hint="eastAsia"/>
                      </w:rPr>
                      <w:t>回切成</w:t>
                    </w:r>
                    <w:r>
                      <w:rPr>
                        <w:rFonts w:hint="eastAsia"/>
                      </w:rPr>
                      <w:t>DG</w:t>
                    </w:r>
                    <w:r>
                      <w:rPr>
                        <w:rFonts w:hint="eastAsia"/>
                      </w:rPr>
                      <w:t>库</w:t>
                    </w:r>
                  </w:p>
                </w:txbxContent>
              </v:textbox>
            </v:re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105" type="#_x0000_t176" style="position:absolute;left:4700;top:3681;width:666;height:476">
              <v:textbox>
                <w:txbxContent>
                  <w:p w:rsidR="004B1710" w:rsidRDefault="004B1710" w:rsidP="004B1710">
                    <w:r>
                      <w:rPr>
                        <w:rFonts w:hint="eastAsia"/>
                      </w:rPr>
                      <w:t>yes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06" type="#_x0000_t34" style="position:absolute;left:5856;top:4510;width:1412;height:761" o:connectortype="elbow" adj=",-128011,-89582">
              <v:stroke endarrow="block"/>
            </v:shape>
            <v:shape id="_x0000_s1107" type="#_x0000_t176" style="position:absolute;left:6575;top:4266;width:693;height:516">
              <v:textbox>
                <w:txbxContent>
                  <w:p w:rsidR="004B1710" w:rsidRDefault="004B1710" w:rsidP="004B1710">
                    <w:r>
                      <w:rPr>
                        <w:rFonts w:hint="eastAsia"/>
                      </w:rPr>
                      <w:t>yes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8" type="#_x0000_t32" style="position:absolute;left:4619;top:4850;width:0;height:1643" o:connectortype="straight">
              <v:stroke endarrow="block"/>
            </v:shape>
            <v:shape id="_x0000_s1109" type="#_x0000_t176" style="position:absolute;left:4619;top:5189;width:666;height:435">
              <v:textbox>
                <w:txbxContent>
                  <w:p w:rsidR="004B1710" w:rsidRDefault="004B1710" w:rsidP="004B1710">
                    <w:r>
                      <w:rPr>
                        <w:rFonts w:hint="eastAsia"/>
                      </w:rPr>
                      <w:t>no</w:t>
                    </w:r>
                  </w:p>
                </w:txbxContent>
              </v:textbox>
            </v:shape>
            <v:shape id="_x0000_s1110" type="#_x0000_t34" style="position:absolute;left:6854;top:5685;width:978;height:638;rotation:90" o:connectortype="elbow" adj=",-186715,-169222">
              <v:stroke endarrow="block"/>
            </v:shape>
            <v:shape id="_x0000_s1111" type="#_x0000_t176" style="position:absolute;left:7662;top:9727;width:2119;height:435">
              <v:textbox>
                <w:txbxContent>
                  <w:p w:rsidR="004B1710" w:rsidRDefault="004B1710" w:rsidP="004B1710">
                    <w:r>
                      <w:rPr>
                        <w:rFonts w:hint="eastAsia"/>
                      </w:rPr>
                      <w:t>超过设定执行时间</w:t>
                    </w:r>
                  </w:p>
                </w:txbxContent>
              </v:textbox>
            </v:shape>
            <v:shape id="_x0000_s1112" type="#_x0000_t176" style="position:absolute;left:4605;top:11099;width:1183;height:448">
              <v:textbox>
                <w:txbxContent>
                  <w:p w:rsidR="004B1710" w:rsidRDefault="004B1710" w:rsidP="004B1710">
                    <w:r>
                      <w:rPr>
                        <w:rFonts w:hint="eastAsia"/>
                      </w:rPr>
                      <w:t>超过</w:t>
                    </w:r>
                    <w:r>
                      <w:rPr>
                        <w:rFonts w:hint="eastAsia"/>
                      </w:rPr>
                      <w:t>85%</w:t>
                    </w:r>
                  </w:p>
                </w:txbxContent>
              </v:textbox>
            </v:shape>
            <v:shape id="_x0000_s1113" type="#_x0000_t4" style="position:absolute;left:8626;top:12567;width:2514;height:814">
              <v:textbox>
                <w:txbxContent>
                  <w:p w:rsidR="004B1710" w:rsidRDefault="004B1710" w:rsidP="004B1710">
                    <w:r>
                      <w:rPr>
                        <w:rFonts w:hint="eastAsia"/>
                      </w:rPr>
                      <w:t>判断有</w:t>
                    </w:r>
                    <w:r>
                      <w:rPr>
                        <w:rFonts w:hint="eastAsia"/>
                      </w:rPr>
                      <w:t>DSG</w:t>
                    </w:r>
                  </w:p>
                </w:txbxContent>
              </v:textbox>
            </v:shape>
            <v:oval id="_x0000_s1114" style="position:absolute;left:3993;top:15569;width:1440;height:760">
              <v:textbox style="mso-next-textbox:#_x0000_s1114">
                <w:txbxContent>
                  <w:p w:rsidR="004B1710" w:rsidRDefault="004B1710" w:rsidP="004B1710">
                    <w:r>
                      <w:rPr>
                        <w:rFonts w:hint="eastAsia"/>
                      </w:rPr>
                      <w:t>end</w:t>
                    </w:r>
                  </w:p>
                </w:txbxContent>
              </v:textbox>
            </v:oval>
            <v:rect id="_x0000_s1115" style="position:absolute;left:9142;top:14128;width:1508;height:584">
              <v:textbox>
                <w:txbxContent>
                  <w:p w:rsidR="004B1710" w:rsidRDefault="004B1710" w:rsidP="004B1710">
                    <w:r>
                      <w:rPr>
                        <w:rFonts w:hint="eastAsia"/>
                      </w:rPr>
                      <w:t>启</w:t>
                    </w:r>
                    <w:r>
                      <w:rPr>
                        <w:rFonts w:hint="eastAsia"/>
                      </w:rPr>
                      <w:t>DSG</w:t>
                    </w:r>
                  </w:p>
                </w:txbxContent>
              </v:textbox>
            </v:rect>
            <v:shape id="_x0000_s1116" type="#_x0000_t176" style="position:absolute;left:9876;top:13544;width:679;height:516">
              <v:textbox>
                <w:txbxContent>
                  <w:p w:rsidR="004B1710" w:rsidRDefault="004B1710" w:rsidP="004B1710">
                    <w:r>
                      <w:rPr>
                        <w:rFonts w:hint="eastAsia"/>
                      </w:rPr>
                      <w:t>yes</w:t>
                    </w:r>
                  </w:p>
                </w:txbxContent>
              </v:textbox>
            </v:shape>
            <v:shape id="_x0000_s1117" type="#_x0000_t34" style="position:absolute;left:5515;top:13272;width:3940;height:2690;rotation:180;flip:y" o:connectortype="elbow" adj=",106571,-51835">
              <v:stroke endarrow="block"/>
            </v:shape>
            <v:rect id="_x0000_s1118" style="position:absolute;left:3656;top:14223;width:1927;height:407">
              <v:textbox style="mso-next-textbox:#_x0000_s1118">
                <w:txbxContent>
                  <w:p w:rsidR="004B1710" w:rsidRDefault="004B1710" w:rsidP="004B1710">
                    <w:r>
                      <w:rPr>
                        <w:rFonts w:hint="eastAsia"/>
                      </w:rPr>
                      <w:t>判断数据库状态</w:t>
                    </w:r>
                  </w:p>
                </w:txbxContent>
              </v:textbox>
            </v:rect>
            <v:shape id="_x0000_s1119" type="#_x0000_t32" style="position:absolute;left:1263;top:3315;width:0;height:12579" o:connectortype="straight"/>
            <v:shape id="_x0000_s1120" type="#_x0000_t176" style="position:absolute;left:1413;top:3315;width:693;height:407">
              <v:textbox style="mso-next-textbox:#_x0000_s1120">
                <w:txbxContent>
                  <w:p w:rsidR="004B1710" w:rsidRDefault="004B1710" w:rsidP="004B1710">
                    <w:r>
                      <w:rPr>
                        <w:rFonts w:hint="eastAsia"/>
                      </w:rPr>
                      <w:t>no</w:t>
                    </w:r>
                  </w:p>
                </w:txbxContent>
              </v:textbox>
            </v:shape>
            <v:rect id="_x0000_s1121" style="position:absolute;left:3520;top:1114;width:2472;height:448">
              <v:textbox style="mso-next-textbox:#_x0000_s1121">
                <w:txbxContent>
                  <w:p w:rsidR="004B1710" w:rsidRDefault="004B1710" w:rsidP="004B1710">
                    <w:r>
                      <w:rPr>
                        <w:rFonts w:hint="eastAsia"/>
                      </w:rPr>
                      <w:t>主库关闭日志传输通道</w:t>
                    </w:r>
                  </w:p>
                </w:txbxContent>
              </v:textbox>
            </v:rect>
            <v:rect id="_x0000_s1122" style="position:absolute;left:3370;top:14929;width:2418;height:436">
              <v:textbox>
                <w:txbxContent>
                  <w:p w:rsidR="004B1710" w:rsidRDefault="004B1710" w:rsidP="004B1710">
                    <w:r>
                      <w:rPr>
                        <w:rFonts w:hint="eastAsia"/>
                      </w:rPr>
                      <w:t>主库打开日志传输通道</w:t>
                    </w:r>
                  </w:p>
                  <w:p w:rsidR="004B1710" w:rsidRDefault="004B1710" w:rsidP="004B1710"/>
                </w:txbxContent>
              </v:textbox>
            </v:rect>
          </v:group>
        </w:pict>
      </w:r>
      <w:r>
        <w:rPr>
          <w:noProof/>
        </w:rPr>
        <w:pict>
          <v:shape id="_x0000_s1123" type="#_x0000_t32" style="position:absolute;left:0;text-align:left;margin-left:140.95pt;margin-top:659.5pt;width:0;height:14.95pt;z-index:251674624" o:connectortype="straight">
            <v:stroke endarrow="block"/>
          </v:shape>
        </w:pict>
      </w:r>
      <w:r>
        <w:rPr>
          <w:noProof/>
        </w:rPr>
        <w:pict>
          <v:shape id="_x0000_s1124" type="#_x0000_t32" style="position:absolute;left:0;text-align:left;margin-left:140.95pt;margin-top:696.25pt;width:0;height:10.2pt;z-index:251675648" o:connectortype="straight">
            <v:stroke endarrow="block"/>
          </v:shape>
        </w:pict>
      </w:r>
      <w:r>
        <w:rPr>
          <w:noProof/>
        </w:rPr>
        <w:pict>
          <v:shape id="_x0000_s1084" type="#_x0000_t32" style="position:absolute;left:0;text-align:left;margin-left:140.25pt;margin-top:624.9pt;width:0;height:14.25pt;z-index:251668480" o:connectortype="straight">
            <v:stroke endarrow="block"/>
          </v:shape>
        </w:pict>
      </w:r>
      <w:r>
        <w:rPr>
          <w:noProof/>
        </w:rPr>
        <w:pict>
          <v:shape id="_x0000_s1088" type="#_x0000_t32" style="position:absolute;left:0;text-align:left;margin-left:144.35pt;margin-top:6.1pt;width:0;height:29.9pt;z-index:251672576" o:connectortype="straight">
            <v:stroke endarrow="block"/>
          </v:shape>
        </w:pict>
      </w:r>
      <w:r>
        <w:rPr>
          <w:noProof/>
        </w:rPr>
        <w:pict>
          <v:shape id="_x0000_s1087" type="#_x0000_t32" style="position:absolute;left:0;text-align:left;margin-left:145pt;margin-top:-35.3pt;width:.65pt;height:19pt;z-index:251671552" o:connectortype="straight">
            <v:stroke endarrow="block"/>
          </v:shape>
        </w:pict>
      </w:r>
      <w:r>
        <w:rPr>
          <w:noProof/>
        </w:rPr>
        <w:pict>
          <v:shape id="_x0000_s1086" type="#_x0000_t32" style="position:absolute;left:0;text-align:left;margin-left:-26.85pt;margin-top:722.7pt;width:137.2pt;height:3.4pt;z-index:251670528" o:connectortype="straight">
            <v:stroke endarrow="block"/>
          </v:shape>
        </w:pict>
      </w:r>
      <w:r>
        <w:rPr>
          <w:noProof/>
        </w:rPr>
        <w:pict>
          <v:shape id="_x0000_s1085" type="#_x0000_t32" style="position:absolute;left:0;text-align:left;margin-left:-26.85pt;margin-top:93.05pt;width:112.85pt;height:.7pt;flip:x;z-index:251669504" o:connectortype="straight"/>
        </w:pict>
      </w:r>
      <w:r>
        <w:rPr>
          <w:noProof/>
        </w:rPr>
        <w:pict>
          <v:shape id="_x0000_s1083" type="#_x0000_t32" style="position:absolute;left:0;text-align:left;margin-left:403.8pt;margin-top:597.05pt;width:0;height:37.35pt;z-index:251667456" o:connectortype="straight">
            <v:stroke endarrow="block"/>
          </v:shape>
        </w:pict>
      </w:r>
      <w:r>
        <w:rPr>
          <w:noProof/>
        </w:rPr>
        <w:pict>
          <v:shape id="_x0000_s1082" type="#_x0000_t32" style="position:absolute;left:0;text-align:left;margin-left:282.95pt;margin-top:339.65pt;width:50.85pt;height:.05pt;z-index:251666432" o:connectortype="straight">
            <v:stroke endarrow="block"/>
          </v:shape>
        </w:pict>
      </w:r>
      <w:r>
        <w:rPr>
          <w:noProof/>
        </w:rPr>
        <w:pict>
          <v:shape id="_x0000_s1081" type="#_x0000_t32" style="position:absolute;left:0;text-align:left;margin-left:273.4pt;margin-top:577.35pt;width:67.9pt;height:0;z-index:251665408" o:connectortype="straight">
            <v:stroke endarrow="block"/>
          </v:shape>
        </w:pict>
      </w:r>
      <w:r>
        <w:rPr>
          <w:noProof/>
        </w:rPr>
        <w:pict>
          <v:shape id="_x0000_s1080" type="#_x0000_t32" style="position:absolute;left:0;text-align:left;margin-left:136.85pt;margin-top:471.4pt;width:0;height:48.9pt;z-index:251664384" o:connectortype="straight">
            <v:stroke endarrow="block"/>
          </v:shape>
        </w:pict>
      </w:r>
      <w:r>
        <w:rPr>
          <w:noProof/>
        </w:rPr>
        <w:pict>
          <v:shape id="_x0000_s1079" type="#_x0000_t32" style="position:absolute;left:0;text-align:left;margin-left:136.85pt;margin-top:396pt;width:0;height:40.1pt;z-index:251663360" o:connectortype="straight">
            <v:stroke endarrow="block"/>
          </v:shape>
        </w:pict>
      </w:r>
      <w:r>
        <w:rPr>
          <w:noProof/>
        </w:rPr>
        <w:pict>
          <v:shape id="_x0000_s1078" type="#_x0000_t34" style="position:absolute;left:0;text-align:left;margin-left:249.95pt;margin-top:366.5pt;width:165.05pt;height:142.6pt;rotation:90;z-index:251662336" o:connectortype="elbow" adj="10797,-64717,-64623">
            <v:stroke endarrow="block"/>
          </v:shape>
        </w:pict>
      </w:r>
      <w:r>
        <w:rPr>
          <w:noProof/>
        </w:rPr>
        <w:pict>
          <v:shape id="_x0000_s1077" type="#_x0000_t32" style="position:absolute;left:0;text-align:left;margin-left:140.25pt;margin-top:112.05pt;width:.7pt;height:23.8pt;z-index:251661312" o:connectortype="straight">
            <v:stroke endarrow="block"/>
          </v:shape>
        </w:pict>
      </w:r>
      <w:r>
        <w:rPr>
          <w:noProof/>
        </w:rPr>
        <w:pict>
          <v:shape id="_x0000_s1076" type="#_x0000_t32" style="position:absolute;left:0;text-align:left;margin-left:144.35pt;margin-top:59.75pt;width:.65pt;height:14.25pt;z-index:251660288" o:connectortype="straight">
            <v:stroke endarrow="block"/>
          </v:shape>
        </w:pict>
      </w:r>
    </w:p>
    <w:sectPr w:rsidR="0062678B" w:rsidSect="00561F6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57E" w:rsidRDefault="00E7257E" w:rsidP="00CB3F66">
      <w:r>
        <w:separator/>
      </w:r>
    </w:p>
  </w:endnote>
  <w:endnote w:type="continuationSeparator" w:id="1">
    <w:p w:rsidR="00E7257E" w:rsidRDefault="00E7257E" w:rsidP="00CB3F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54526509"/>
      <w:docPartObj>
        <w:docPartGallery w:val="Page Numbers (Bottom of Page)"/>
        <w:docPartUnique/>
      </w:docPartObj>
    </w:sdtPr>
    <w:sdtContent>
      <w:p w:rsidR="0007501A" w:rsidRDefault="00C45189">
        <w:pPr>
          <w:pStyle w:val="a4"/>
          <w:jc w:val="center"/>
        </w:pPr>
        <w:r>
          <w:fldChar w:fldCharType="begin"/>
        </w:r>
        <w:r w:rsidR="0007501A">
          <w:instrText>PAGE   \* MERGEFORMAT</w:instrText>
        </w:r>
        <w:r>
          <w:fldChar w:fldCharType="separate"/>
        </w:r>
        <w:r w:rsidR="001D14E9" w:rsidRPr="001D14E9">
          <w:rPr>
            <w:noProof/>
            <w:lang w:val="zh-CN"/>
          </w:rPr>
          <w:t>1</w:t>
        </w:r>
        <w:r>
          <w:fldChar w:fldCharType="end"/>
        </w:r>
      </w:p>
    </w:sdtContent>
  </w:sdt>
  <w:p w:rsidR="0007501A" w:rsidRDefault="0007501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57E" w:rsidRDefault="00E7257E" w:rsidP="00CB3F66">
      <w:r>
        <w:separator/>
      </w:r>
    </w:p>
  </w:footnote>
  <w:footnote w:type="continuationSeparator" w:id="1">
    <w:p w:rsidR="00E7257E" w:rsidRDefault="00E7257E" w:rsidP="00CB3F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.65pt;height:1.65pt;visibility:visible;mso-wrap-style:square" o:bullet="t">
        <v:imagedata r:id="rId1" o:title=""/>
      </v:shape>
    </w:pict>
  </w:numPicBullet>
  <w:abstractNum w:abstractNumId="0">
    <w:nsid w:val="024A10BC"/>
    <w:multiLevelType w:val="hybridMultilevel"/>
    <w:tmpl w:val="CBA411A2"/>
    <w:lvl w:ilvl="0" w:tplc="D7BAAF84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313905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6EE0970"/>
    <w:multiLevelType w:val="hybridMultilevel"/>
    <w:tmpl w:val="D50CBB2A"/>
    <w:lvl w:ilvl="0" w:tplc="008410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F0E4A07"/>
    <w:multiLevelType w:val="hybridMultilevel"/>
    <w:tmpl w:val="CD805F54"/>
    <w:lvl w:ilvl="0" w:tplc="27D6B1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F137E2"/>
    <w:multiLevelType w:val="hybridMultilevel"/>
    <w:tmpl w:val="78BE93E4"/>
    <w:lvl w:ilvl="0" w:tplc="E1FAE6D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8C39AB"/>
    <w:multiLevelType w:val="hybridMultilevel"/>
    <w:tmpl w:val="30F48AC0"/>
    <w:lvl w:ilvl="0" w:tplc="7FEACC3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DCD68F3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EBAE79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4BA9F4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C1CB64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E35A805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12D6DD0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E36255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EFC606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D5A"/>
    <w:rsid w:val="00003757"/>
    <w:rsid w:val="00012B65"/>
    <w:rsid w:val="0007501A"/>
    <w:rsid w:val="000761F3"/>
    <w:rsid w:val="000A3E13"/>
    <w:rsid w:val="000C5C67"/>
    <w:rsid w:val="000E18E2"/>
    <w:rsid w:val="0013608C"/>
    <w:rsid w:val="001371E3"/>
    <w:rsid w:val="00143760"/>
    <w:rsid w:val="00162C37"/>
    <w:rsid w:val="00166EA2"/>
    <w:rsid w:val="00172D5A"/>
    <w:rsid w:val="001B3300"/>
    <w:rsid w:val="001D14E9"/>
    <w:rsid w:val="0021184A"/>
    <w:rsid w:val="002261E3"/>
    <w:rsid w:val="0023047B"/>
    <w:rsid w:val="00283299"/>
    <w:rsid w:val="00286DE4"/>
    <w:rsid w:val="002A631A"/>
    <w:rsid w:val="0031510B"/>
    <w:rsid w:val="00394ED7"/>
    <w:rsid w:val="003A3AD0"/>
    <w:rsid w:val="003B786B"/>
    <w:rsid w:val="003C27E1"/>
    <w:rsid w:val="003D3E52"/>
    <w:rsid w:val="003E4B46"/>
    <w:rsid w:val="003F08F4"/>
    <w:rsid w:val="0041168C"/>
    <w:rsid w:val="00416DA7"/>
    <w:rsid w:val="00422DA3"/>
    <w:rsid w:val="0045642E"/>
    <w:rsid w:val="00472091"/>
    <w:rsid w:val="00482244"/>
    <w:rsid w:val="004B1710"/>
    <w:rsid w:val="004D6B4A"/>
    <w:rsid w:val="004F3788"/>
    <w:rsid w:val="005072F5"/>
    <w:rsid w:val="005261A3"/>
    <w:rsid w:val="00530141"/>
    <w:rsid w:val="00561F6C"/>
    <w:rsid w:val="00567186"/>
    <w:rsid w:val="005E046B"/>
    <w:rsid w:val="005E4B08"/>
    <w:rsid w:val="005E5083"/>
    <w:rsid w:val="005F0CA6"/>
    <w:rsid w:val="005F5F81"/>
    <w:rsid w:val="00610A0F"/>
    <w:rsid w:val="0062678B"/>
    <w:rsid w:val="00641742"/>
    <w:rsid w:val="00654B17"/>
    <w:rsid w:val="00660EE8"/>
    <w:rsid w:val="006663B0"/>
    <w:rsid w:val="00670D1B"/>
    <w:rsid w:val="00676EF1"/>
    <w:rsid w:val="006D1D59"/>
    <w:rsid w:val="00703861"/>
    <w:rsid w:val="00725ACD"/>
    <w:rsid w:val="00734149"/>
    <w:rsid w:val="007469BE"/>
    <w:rsid w:val="00764EC1"/>
    <w:rsid w:val="00780EE1"/>
    <w:rsid w:val="007C4144"/>
    <w:rsid w:val="007D7D9C"/>
    <w:rsid w:val="007F7C1D"/>
    <w:rsid w:val="0083229A"/>
    <w:rsid w:val="00844CDC"/>
    <w:rsid w:val="00845CB9"/>
    <w:rsid w:val="00863325"/>
    <w:rsid w:val="008A02AF"/>
    <w:rsid w:val="008B2FC5"/>
    <w:rsid w:val="008C5DDD"/>
    <w:rsid w:val="008D4DD8"/>
    <w:rsid w:val="00904B59"/>
    <w:rsid w:val="0090636F"/>
    <w:rsid w:val="00907E6C"/>
    <w:rsid w:val="00912E8B"/>
    <w:rsid w:val="009376BA"/>
    <w:rsid w:val="009B3E2C"/>
    <w:rsid w:val="009D149C"/>
    <w:rsid w:val="009E0EC8"/>
    <w:rsid w:val="00A0591A"/>
    <w:rsid w:val="00A213F2"/>
    <w:rsid w:val="00A21A3E"/>
    <w:rsid w:val="00A26F97"/>
    <w:rsid w:val="00A30607"/>
    <w:rsid w:val="00A31C7E"/>
    <w:rsid w:val="00A430EA"/>
    <w:rsid w:val="00A72D68"/>
    <w:rsid w:val="00AB5E1D"/>
    <w:rsid w:val="00B13691"/>
    <w:rsid w:val="00B16D70"/>
    <w:rsid w:val="00B22840"/>
    <w:rsid w:val="00BD70AA"/>
    <w:rsid w:val="00BE65BD"/>
    <w:rsid w:val="00BE7785"/>
    <w:rsid w:val="00BF6164"/>
    <w:rsid w:val="00C41F7D"/>
    <w:rsid w:val="00C4472A"/>
    <w:rsid w:val="00C45189"/>
    <w:rsid w:val="00C46626"/>
    <w:rsid w:val="00C66A92"/>
    <w:rsid w:val="00C86501"/>
    <w:rsid w:val="00CB3F66"/>
    <w:rsid w:val="00CB656A"/>
    <w:rsid w:val="00CC22F1"/>
    <w:rsid w:val="00CC3EB2"/>
    <w:rsid w:val="00CC6D5B"/>
    <w:rsid w:val="00CE49E1"/>
    <w:rsid w:val="00CF0DE4"/>
    <w:rsid w:val="00CF214F"/>
    <w:rsid w:val="00D04C48"/>
    <w:rsid w:val="00D05E89"/>
    <w:rsid w:val="00D07FA8"/>
    <w:rsid w:val="00D12F60"/>
    <w:rsid w:val="00D52C16"/>
    <w:rsid w:val="00D612BA"/>
    <w:rsid w:val="00DA082C"/>
    <w:rsid w:val="00DD7920"/>
    <w:rsid w:val="00DF269E"/>
    <w:rsid w:val="00E05B20"/>
    <w:rsid w:val="00E12D39"/>
    <w:rsid w:val="00E42DE9"/>
    <w:rsid w:val="00E7257E"/>
    <w:rsid w:val="00E94085"/>
    <w:rsid w:val="00E94642"/>
    <w:rsid w:val="00EB603D"/>
    <w:rsid w:val="00EF13C1"/>
    <w:rsid w:val="00F22F4D"/>
    <w:rsid w:val="00F275E6"/>
    <w:rsid w:val="00F463D4"/>
    <w:rsid w:val="00F65ED7"/>
    <w:rsid w:val="00F675BF"/>
    <w:rsid w:val="00F77037"/>
    <w:rsid w:val="00FA6773"/>
    <w:rsid w:val="00FC2EE8"/>
    <w:rsid w:val="00FD1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1" type="connector" idref="#_x0000_s1084"/>
        <o:r id="V:Rule22" type="connector" idref="#_x0000_s1117"/>
        <o:r id="V:Rule23" type="connector" idref="#_x0000_s1082"/>
        <o:r id="V:Rule24" type="connector" idref="#_x0000_s1083"/>
        <o:r id="V:Rule25" type="connector" idref="#_x0000_s1081"/>
        <o:r id="V:Rule26" type="connector" idref="#_x0000_s1085"/>
        <o:r id="V:Rule27" type="connector" idref="#_x0000_s1119"/>
        <o:r id="V:Rule28" type="connector" idref="#_x0000_s1080"/>
        <o:r id="V:Rule29" type="connector" idref="#_x0000_s1087"/>
        <o:r id="V:Rule30" type="connector" idref="#_x0000_s1086"/>
        <o:r id="V:Rule31" type="connector" idref="#_x0000_s1076"/>
        <o:r id="V:Rule32" type="connector" idref="#_x0000_s1077"/>
        <o:r id="V:Rule33" type="connector" idref="#_x0000_s1124"/>
        <o:r id="V:Rule34" type="connector" idref="#_x0000_s1106"/>
        <o:r id="V:Rule35" type="connector" idref="#_x0000_s1078"/>
        <o:r id="V:Rule36" type="connector" idref="#_x0000_s1079"/>
        <o:r id="V:Rule37" type="connector" idref="#_x0000_s1088"/>
        <o:r id="V:Rule38" type="connector" idref="#_x0000_s1110"/>
        <o:r id="V:Rule39" type="connector" idref="#_x0000_s1108"/>
        <o:r id="V:Rule40" type="connector" idref="#_x0000_s11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F6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5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3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3F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3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3F66"/>
    <w:rPr>
      <w:sz w:val="18"/>
      <w:szCs w:val="18"/>
    </w:rPr>
  </w:style>
  <w:style w:type="paragraph" w:styleId="a5">
    <w:name w:val="List Paragraph"/>
    <w:basedOn w:val="a"/>
    <w:uiPriority w:val="34"/>
    <w:qFormat/>
    <w:rsid w:val="00CB3F66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5301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530141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TableSmHeading">
    <w:name w:val="Table_Sm_Heading"/>
    <w:basedOn w:val="a"/>
    <w:rsid w:val="00530141"/>
    <w:pPr>
      <w:keepNext/>
      <w:keepLines/>
      <w:widowControl/>
      <w:jc w:val="left"/>
    </w:pPr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paragraph" w:styleId="a7">
    <w:name w:val="Balloon Text"/>
    <w:basedOn w:val="a"/>
    <w:link w:val="Char2"/>
    <w:uiPriority w:val="99"/>
    <w:semiHidden/>
    <w:unhideWhenUsed/>
    <w:rsid w:val="0053014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3014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5B2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05B2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05B20"/>
  </w:style>
  <w:style w:type="character" w:styleId="a8">
    <w:name w:val="Hyperlink"/>
    <w:basedOn w:val="a0"/>
    <w:uiPriority w:val="99"/>
    <w:unhideWhenUsed/>
    <w:rsid w:val="00E05B20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E05B20"/>
    <w:pPr>
      <w:ind w:leftChars="200" w:left="420"/>
    </w:pPr>
  </w:style>
  <w:style w:type="table" w:styleId="a9">
    <w:name w:val="Table Grid"/>
    <w:basedOn w:val="a1"/>
    <w:uiPriority w:val="59"/>
    <w:rsid w:val="00A26F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3"/>
    <w:uiPriority w:val="99"/>
    <w:semiHidden/>
    <w:unhideWhenUsed/>
    <w:rsid w:val="00DF269E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DF269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B1589-7D0A-4069-863B-CE4A2FF1A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</Words>
  <Characters>15</Characters>
  <Application>Microsoft Office Word</Application>
  <DocSecurity>0</DocSecurity>
  <Lines>1</Lines>
  <Paragraphs>1</Paragraphs>
  <ScaleCrop>false</ScaleCrop>
  <Company>CPIC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pengxiang-003</dc:creator>
  <cp:lastModifiedBy>helpdesk</cp:lastModifiedBy>
  <cp:revision>10</cp:revision>
  <dcterms:created xsi:type="dcterms:W3CDTF">2019-05-23T08:29:00Z</dcterms:created>
  <dcterms:modified xsi:type="dcterms:W3CDTF">2019-06-26T11:33:00Z</dcterms:modified>
</cp:coreProperties>
</file>