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A2036"/>
          <w:spacing w:val="16"/>
          <w:sz w:val="30"/>
          <w:szCs w:val="30"/>
        </w:rPr>
        <w:t xml:space="preserve">AI STRATEGY BRIEF</w:t>
      </w:r>
    </w:p>
    <w:p>
      <w:pPr>
        <w:spacing w:after="40"/>
      </w:pPr>
      <w:r>
        <w:rPr>
          <w:b/>
          <w:bCs/>
          <w:color w:val="0B5C56"/>
          <w:sz w:val="19"/>
          <w:szCs w:val="19"/>
        </w:rPr>
        <w:t xml:space="preserve">Variant Prioritization &amp; Representation-Confidence Auditor — for the TII Biotechnology Research Center</w:t>
      </w:r>
    </w:p>
    <w:p>
      <w:pPr>
        <w:spacing w:after="100"/>
      </w:pPr>
      <w:r>
        <w:rPr>
          <w:i/>
          <w:iCs/>
          <w:color w:val="5B6B7D"/>
          <w:sz w:val="15"/>
          <w:szCs w:val="15"/>
        </w:rPr>
        <w:t xml:space="preserve">Prepared by May Ahmed Mourad, Grade 12D</w:t>
      </w:r>
    </w:p>
    <w:p>
      <w:pPr>
        <w:pBdr>
          <w:bottom w:val="single" w:color="D9E2E8" w:sz="4"/>
        </w:pBdr>
        <w:spacing w:after="120" w:before="60"/>
      </w:pPr>
    </w:p>
    <w:p>
      <w:pPr>
        <w:spacing w:after="60" w:before="160"/>
      </w:pPr>
      <w:r>
        <w:rPr>
          <w:b/>
          <w:bCs/>
          <w:caps/>
          <w:color w:val="0B5C56"/>
          <w:spacing w:val="10"/>
          <w:sz w:val="19"/>
          <w:szCs w:val="19"/>
        </w:rPr>
        <w:t xml:space="preserve">Organization &amp; Problem</w:t>
      </w:r>
    </w:p>
    <w:p>
      <w:pPr>
        <w:spacing w:after="80"/>
      </w:pPr>
      <w:r>
        <w:rPr>
          <w:b/>
          <w:bCs/>
          <w:color w:val="1A2632"/>
          <w:sz w:val="18"/>
          <w:szCs w:val="18"/>
        </w:rPr>
        <w:t xml:space="preserve">Organization: </w:t>
      </w:r>
      <w:r>
        <w:rPr>
          <w:color w:val="1A2632"/>
          <w:sz w:val="18"/>
          <w:szCs w:val="18"/>
        </w:rPr>
        <w:t xml:space="preserve">Technology Innovation Institute — Biotechnology Research Center (TII BRC), the applied-research pillar of Abu Dhabi's Advanced Technology Research Council (ATRC). BRC's stated mandate is advancing healthcare outcomes through molecular and genomics strategies and AI-enhanced bioinformatics.</w:t>
      </w:r>
    </w:p>
    <w:p>
      <w:pPr>
        <w:spacing w:after="40"/>
      </w:pPr>
      <w:r>
        <w:rPr>
          <w:b/>
          <w:bCs/>
          <w:color w:val="1A2632"/>
          <w:sz w:val="18"/>
          <w:szCs w:val="18"/>
        </w:rPr>
        <w:t xml:space="preserve">Problem: </w:t>
      </w:r>
      <w:r>
        <w:rPr>
          <w:color w:val="1A2632"/>
          <w:sz w:val="18"/>
          <w:szCs w:val="18"/>
        </w:rPr>
        <w:t xml:space="preserve">BRC's genomics work depends on AI variant-prioritization tools trained on global reference databases (gnomAD, ClinVar). These databases severely underrepresent Middle Eastern and Gulf populations: Middle Eastern genomes make up roughly 0.2% of gnomAD, and a 2022 study found 53% of high-impact coding variants in a 2,116-person Middle East cohort were absent from gnomAD entirely. A standard tool inherits this blind spot precisely where BRC's own population, Emirati and Gulf researchers and patients, is concerned.</w:t>
      </w:r>
    </w:p>
    <w:p>
      <w:pPr>
        <w:spacing w:after="60" w:before="160"/>
      </w:pPr>
      <w:r>
        <w:rPr>
          <w:b/>
          <w:bCs/>
          <w:caps/>
          <w:color w:val="0B5C56"/>
          <w:spacing w:val="10"/>
          <w:sz w:val="19"/>
          <w:szCs w:val="19"/>
        </w:rPr>
        <w:t xml:space="preserve">Proposed AI System</w:t>
      </w:r>
    </w:p>
    <w:p>
      <w:pPr>
        <w:spacing w:after="40"/>
      </w:pPr>
      <w:r>
        <w:rPr>
          <w:color w:val="1A2632"/>
          <w:sz w:val="18"/>
          <w:szCs w:val="18"/>
        </w:rPr>
        <w:t xml:space="preserve">A decision-support tool that ranks candidate genetic variants by likely clinical/research significance, and pairs every ranking with a representation-confidence flag (High / Medium / Low) based on how well that variant's genomic region and ancestry context are covered by reference data. Low-confidence variants are routed to mandatory researcher review rather than being silently trusted.</w:t>
      </w:r>
    </w:p>
    <w:p>
      <w:pPr>
        <w:spacing w:after="50"/>
        <w:ind w:left="220" w:hanging="130"/>
      </w:pPr>
      <w:r>
        <w:rPr>
          <w:color w:val="0B5C56"/>
          <w:sz w:val="17"/>
          <w:szCs w:val="17"/>
        </w:rPr>
        <w:t xml:space="preserve">–  </w:t>
      </w:r>
      <w:r>
        <w:rPr>
          <w:color w:val="1A2632"/>
          <w:sz w:val="17"/>
          <w:szCs w:val="17"/>
        </w:rPr>
        <w:t xml:space="preserve">Input: variant list plus optional sample ancestry metadata.</w:t>
      </w:r>
    </w:p>
    <w:p>
      <w:pPr>
        <w:spacing w:after="50"/>
        <w:ind w:left="220" w:hanging="130"/>
      </w:pPr>
      <w:r>
        <w:rPr>
          <w:color w:val="0B5C56"/>
          <w:sz w:val="17"/>
          <w:szCs w:val="17"/>
        </w:rPr>
        <w:t xml:space="preserve">–  </w:t>
      </w:r>
      <w:r>
        <w:rPr>
          <w:color w:val="1A2632"/>
          <w:sz w:val="17"/>
          <w:szCs w:val="17"/>
        </w:rPr>
        <w:t xml:space="preserve">Layer 1: significance/pathogenicity ranking (standard classification).</w:t>
      </w:r>
    </w:p>
    <w:p>
      <w:pPr>
        <w:spacing w:after="50"/>
        <w:ind w:left="220" w:hanging="130"/>
      </w:pPr>
      <w:r>
        <w:rPr>
          <w:color w:val="0B5C56"/>
          <w:sz w:val="17"/>
          <w:szCs w:val="17"/>
        </w:rPr>
        <w:t xml:space="preserve">–  </w:t>
      </w:r>
      <w:r>
        <w:rPr>
          <w:color w:val="1A2632"/>
          <w:sz w:val="17"/>
          <w:szCs w:val="17"/>
        </w:rPr>
        <w:t xml:space="preserve">Layer 2: representation-confidence score, cross-referencing regional resources (UAE Reference Genome, Emirati Genome Program, Middle East Variation database) against gnomAD/ClinVar coverage.</w:t>
      </w:r>
    </w:p>
    <w:p>
      <w:pPr>
        <w:spacing w:after="50"/>
        <w:ind w:left="220" w:hanging="130"/>
      </w:pPr>
      <w:r>
        <w:rPr>
          <w:color w:val="0B5C56"/>
          <w:sz w:val="17"/>
          <w:szCs w:val="17"/>
        </w:rPr>
        <w:t xml:space="preserve">–  </w:t>
      </w:r>
      <w:r>
        <w:rPr>
          <w:color w:val="1A2632"/>
          <w:sz w:val="17"/>
          <w:szCs w:val="17"/>
        </w:rPr>
        <w:t xml:space="preserve">Output: ranked list with dual scores; low-confidence rows flagged for mandatory human review.</w:t>
      </w:r>
    </w:p>
    <w:p>
      <w:pPr>
        <w:spacing w:after="60" w:before="160"/>
      </w:pPr>
      <w:r>
        <w:rPr>
          <w:b/>
          <w:bCs/>
          <w:caps/>
          <w:color w:val="0B5C56"/>
          <w:spacing w:val="10"/>
          <w:sz w:val="19"/>
          <w:szCs w:val="19"/>
        </w:rPr>
        <w:t xml:space="preserve">Evaluation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right w:type="dxa" w:w="200"/>
            </w:tcMar>
          </w:tcPr>
          <w:tbl>
            <w:tblPr>
              <w:tblW w:type="pct" w:w="100%"/>
              <w:tblBorders>
                <w:top w:val="single" w:color="D9E2E8" w:sz="4"/>
                <w:left w:val="single" w:color="D9E2E8" w:sz="4"/>
                <w:bottom w:val="single" w:color="D9E2E8" w:sz="4"/>
                <w:right w:val="single" w:color="D9E2E8" w:sz="4"/>
                <w:insideH w:val="none"/>
                <w:insideV w:val="none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shd w:fill="F5F8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caps/>
                      <w:color w:val="0B5C56"/>
                      <w:spacing w:val="8"/>
                      <w:sz w:val="15"/>
                      <w:szCs w:val="15"/>
                    </w:rPr>
                    <w:t xml:space="preserve">Performance</w:t>
                  </w:r>
                </w:p>
                <w:p>
                  <w:r>
                    <w:rPr>
                      <w:color w:val="1A2632"/>
                      <w:sz w:val="17"/>
                      <w:szCs w:val="17"/>
                    </w:rPr>
                    <w:t xml:space="preserve">Reliable on well-covered variants; measurably weaker on Gulf/Emirati-specific variants, exactly the population BRC serves. Non-uniform performance is the finding this system surfaces, not hides.</w:t>
                  </w:r>
                </w:p>
              </w:tc>
            </w:tr>
          </w:tbl>
          <w:p/>
        </w:tc>
        <w:tc>
          <w:tcPr>
            <w:tcW w:type="dxa" w:w="4680"/>
            <w:tcMar>
              <w:left w:type="dxa" w:w="200"/>
            </w:tcMar>
          </w:tcPr>
          <w:tbl>
            <w:tblPr>
              <w:tblW w:type="pct" w:w="100%"/>
              <w:tblBorders>
                <w:top w:val="single" w:color="D9E2E8" w:sz="4"/>
                <w:left w:val="single" w:color="D9E2E8" w:sz="4"/>
                <w:bottom w:val="single" w:color="D9E2E8" w:sz="4"/>
                <w:right w:val="single" w:color="D9E2E8" w:sz="4"/>
                <w:insideH w:val="none"/>
                <w:insideV w:val="none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shd w:fill="F5F8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caps/>
                      <w:color w:val="A02F2D"/>
                      <w:spacing w:val="8"/>
                      <w:sz w:val="15"/>
                      <w:szCs w:val="15"/>
                    </w:rPr>
                    <w:t xml:space="preserve">Risk</w:t>
                  </w:r>
                </w:p>
                <w:p>
                  <w:r>
                    <w:rPr>
                      <w:color w:val="1A2632"/>
                      <w:sz w:val="17"/>
                      <w:szCs w:val="17"/>
                    </w:rPr>
                    <w:t xml:space="preserve">Main risk is false confidence: silent misclassification could mislead research or clinical interpretation downstream. Secondary risks: genomic data governance, over-reliance on AI without follow-up validation.</w:t>
                  </w:r>
                </w:p>
              </w:tc>
            </w:tr>
          </w:tbl>
          <w:p/>
        </w:tc>
      </w:tr>
    </w:tbl>
    <w:p>
      <w:pPr>
        <w:spacing w:before="100"/>
      </w:pPr>
    </w:p>
    <w:tbl>
      <w:tblPr>
        <w:tblW w:type="pct" w:w="100%"/>
        <w:tblBorders>
          <w:top w:val="single" w:color="D9E2E8" w:sz="4"/>
          <w:left w:val="single" w:color="D9E2E8" w:sz="4"/>
          <w:bottom w:val="single" w:color="D9E2E8" w:sz="4"/>
          <w:right w:val="single" w:color="D9E2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caps/>
                <w:color w:val="0B5C56"/>
                <w:spacing w:val="8"/>
                <w:sz w:val="15"/>
                <w:szCs w:val="15"/>
              </w:rPr>
              <w:t xml:space="preserve">Scalability</w:t>
            </w:r>
          </w:p>
          <w:p>
            <w:r>
              <w:rPr>
                <w:color w:val="1A2632"/>
                <w:sz w:val="17"/>
                <w:szCs w:val="17"/>
              </w:rPr>
              <w:t xml:space="preserve">As BRC's sequencing volume grows (Biofoundry, national programs such as the Emirati Genome Program's 700,000+ sequenced participants), the confidence layer can absorb more local reference data over time, a flywheel where more regional use narrows the blind spot instead of widening it.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0B5C56"/>
          <w:spacing w:val="10"/>
          <w:sz w:val="19"/>
          <w:szCs w:val="19"/>
        </w:rPr>
        <w:t xml:space="preserve">Recommendation: Adopt With Changes</w:t>
      </w:r>
    </w:p>
    <w:p>
      <w:pPr>
        <w:spacing w:after="60"/>
      </w:pPr>
      <w:r>
        <w:rPr>
          <w:color w:val="1A2632"/>
          <w:sz w:val="18"/>
          <w:szCs w:val="18"/>
        </w:rPr>
        <w:t xml:space="preserve">Adopt as a decision-support layer, not an autonomous classifier, conditional on integrating a Middle East/UAE-specific reference layer (UAE Reference Genome, Emirati Genome Program, Middle East Variation database) alongside gnomAD/ClinVar, and enforcing mandatory human review on every low-confidence flag before a ranking is acted on.</w:t>
      </w:r>
    </w:p>
    <w:p>
      <w:pPr>
        <w:spacing w:after="40"/>
      </w:pPr>
      <w:r>
        <w:rPr>
          <w:b/>
          <w:bCs/>
          <w:color w:val="1A2632"/>
          <w:sz w:val="17"/>
          <w:szCs w:val="17"/>
        </w:rPr>
        <w:t xml:space="preserve">Alternatives considered</w:t>
      </w:r>
    </w:p>
    <w:p>
      <w:pPr>
        <w:spacing w:after="50"/>
        <w:ind w:left="220" w:hanging="130"/>
      </w:pPr>
      <w:r>
        <w:rPr>
          <w:color w:val="0B5C56"/>
          <w:sz w:val="17"/>
          <w:szCs w:val="17"/>
        </w:rPr>
        <w:t xml:space="preserve">–  </w:t>
      </w:r>
      <w:r>
        <w:rPr>
          <w:color w:val="1A2632"/>
          <w:sz w:val="17"/>
          <w:szCs w:val="17"/>
        </w:rPr>
        <w:t xml:space="preserve">Do not adopt, keep manual review only — rejected: too slow to scale with BRC's growing sequencing volume.</w:t>
      </w:r>
    </w:p>
    <w:p>
      <w:pPr>
        <w:spacing w:after="50"/>
        <w:ind w:left="220" w:hanging="130"/>
      </w:pPr>
      <w:r>
        <w:rPr>
          <w:color w:val="0B5C56"/>
          <w:sz w:val="17"/>
          <w:szCs w:val="17"/>
        </w:rPr>
        <w:t xml:space="preserve">–  </w:t>
      </w:r>
      <w:r>
        <w:rPr>
          <w:color w:val="1A2632"/>
          <w:sz w:val="17"/>
          <w:szCs w:val="17"/>
        </w:rPr>
        <w:t xml:space="preserve">Adopt as-is, without the confidence layer — rejected: would encode the same gnomAD bias silently, undermining BRC's own regional mission.</w:t>
      </w:r>
    </w:p>
    <w:p>
      <w:pPr>
        <w:spacing w:after="50"/>
        <w:ind w:left="220" w:hanging="130"/>
      </w:pPr>
      <w:r>
        <w:rPr>
          <w:color w:val="0B5C56"/>
          <w:sz w:val="17"/>
          <w:szCs w:val="17"/>
        </w:rPr>
        <w:t xml:space="preserve">–  </w:t>
      </w:r>
      <w:r>
        <w:rPr>
          <w:color w:val="1A2632"/>
          <w:sz w:val="17"/>
          <w:szCs w:val="17"/>
        </w:rPr>
        <w:t xml:space="preserve">Wait for global databases to close the gap organically — rejected: underrepresentation has persisted for years; BRC's own Biofoundry investment and national programs give it more leverage building this now.</w:t>
      </w:r>
    </w:p>
    <w:p>
      <w:pPr>
        <w:spacing w:after="40" w:before="60"/>
      </w:pPr>
      <w:r>
        <w:rPr>
          <w:b/>
          <w:bCs/>
          <w:color w:val="1A2632"/>
          <w:sz w:val="17"/>
          <w:szCs w:val="17"/>
        </w:rPr>
        <w:t xml:space="preserve">Measuring success</w:t>
      </w:r>
    </w:p>
    <w:p>
      <w:pPr>
        <w:spacing w:after="50"/>
        <w:ind w:left="220" w:hanging="130"/>
      </w:pPr>
      <w:r>
        <w:rPr>
          <w:color w:val="0B5C56"/>
          <w:sz w:val="17"/>
          <w:szCs w:val="17"/>
        </w:rPr>
        <w:t xml:space="preserve">–  </w:t>
      </w:r>
      <w:r>
        <w:rPr>
          <w:color w:val="1A2632"/>
          <w:sz w:val="17"/>
          <w:szCs w:val="17"/>
        </w:rPr>
        <w:t xml:space="preserve">% of Gulf/Emirati-ancestry variants flagged Low-confidence, tracked monthly.</w:t>
      </w:r>
    </w:p>
    <w:p>
      <w:pPr>
        <w:spacing w:after="50"/>
        <w:ind w:left="220" w:hanging="130"/>
      </w:pPr>
      <w:r>
        <w:rPr>
          <w:color w:val="0B5C56"/>
          <w:sz w:val="17"/>
          <w:szCs w:val="17"/>
        </w:rPr>
        <w:t xml:space="preserve">–  </w:t>
      </w:r>
      <w:r>
        <w:rPr>
          <w:color w:val="1A2632"/>
          <w:sz w:val="17"/>
          <w:szCs w:val="17"/>
        </w:rPr>
        <w:t xml:space="preserve">Median researcher turnaround time on mandatory low-confidence reviews.</w:t>
      </w:r>
    </w:p>
    <w:p>
      <w:pPr>
        <w:spacing w:after="50"/>
        <w:ind w:left="220" w:hanging="130"/>
      </w:pPr>
      <w:r>
        <w:rPr>
          <w:color w:val="0B5C56"/>
          <w:sz w:val="17"/>
          <w:szCs w:val="17"/>
        </w:rPr>
        <w:t xml:space="preserve">–  </w:t>
      </w:r>
      <w:r>
        <w:rPr>
          <w:color w:val="1A2632"/>
          <w:sz w:val="17"/>
          <w:szCs w:val="17"/>
        </w:rPr>
        <w:t xml:space="preserve">Count of variants where regional data later reclassified an initial ranking.</w:t>
      </w:r>
    </w:p>
    <w:p>
      <w:pPr>
        <w:pBdr>
          <w:bottom w:val="single" w:color="D9E2E8" w:sz="4"/>
        </w:pBdr>
        <w:spacing w:after="120" w:before="60"/>
      </w:pPr>
    </w:p>
    <w:p>
      <w:pPr>
        <w:spacing w:after="20"/>
      </w:pPr>
      <w:r>
        <w:rPr>
          <w:b/>
          <w:bCs/>
          <w:caps/>
          <w:color w:val="5B6B7D"/>
          <w:spacing w:val="6"/>
          <w:sz w:val="13"/>
          <w:szCs w:val="13"/>
        </w:rPr>
        <w:t xml:space="preserve">SOURCES</w:t>
      </w:r>
    </w:p>
    <w:p>
      <w:r>
        <w:rPr>
          <w:color w:val="5B6B7D"/>
          <w:sz w:val="13"/>
          <w:szCs w:val="13"/>
        </w:rPr>
        <w:t xml:space="preserve">Abou Tayoun &amp; Rehm, Genome Medicine, 2020  ·  Ramaswamy et al., J. Personalized Medicine, 2022 (PMC8956070)  ·  Daw Elbait, Henschel, Tay &amp; Al Safar, Frontiers in Genetics, 2021  ·  Kore et al., Nature Communications, 2025  ·  Cheng et al. (AlphaMissense), Science, 2023</w:t>
      </w:r>
    </w:p>
    <w:p>
      <w:pPr>
        <w:spacing w:before="100"/>
      </w:pPr>
      <w:r>
        <w:rPr>
          <w:i/>
          <w:iCs/>
          <w:color w:val="5B6B7D"/>
          <w:sz w:val="13"/>
          <w:szCs w:val="13"/>
        </w:rPr>
        <w:t xml:space="preserve">Unaffiliated student prototype for a Grade 12 AI Strategy assignment. Not affiliated with, endorsed by, or reviewed by the Technology Innovation Institute.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2026-09-26T18:19:23.391Z</dcterms:created>
  <dcterms:modified xsi:type="dcterms:W3CDTF">2026-09-26T18:19:23.392Z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