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Order to Cash</w:t>
      </w:r>
    </w:p>
    <w:p>
      <w:r>
        <w:t>The business invoices customers after delivery &amp; collects payment within 30 days.</w:t>
      </w:r>
    </w:p>
    <w:p>
      <w:pPr>
        <w:pStyle w:val="Heading2"/>
      </w:pPr>
      <w:r>
        <w:t>Invoicing</w:t>
      </w:r>
    </w:p>
    <w:p>
      <w:r>
        <w:t>Invoices must be generated automatically when a delivery is confirmed.</w:t>
      </w:r>
    </w:p>
    <w:p>
      <w:pPr>
        <w:pStyle w:val="Heading2"/>
      </w:pPr>
      <w:r>
        <w:t>Collections</w:t>
      </w:r>
    </w:p>
    <w:p>
      <w:r>
        <w:t>Overdue invoices trigger a reminder after 7 days.</w:t>
      </w:r>
    </w:p>
    <w:p>
      <w:pPr>
        <w:pStyle w:val="Heading1"/>
      </w:pPr>
      <w:r>
        <w:t>Procure to Pay</w:t>
      </w:r>
    </w:p>
    <w:p>
      <w:r>
        <w:t>Purchase orders above 10,000 require manager approval.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