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7</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Jenkins Installation and Continuous Integration Job: Install and configure Jenkins. Connect the Cold Storage Slot Booking System GitHub repository and create a Maven/Gradle/Ant build job triggered by commit or scheduled polling. Archive the build artefact.</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Jenkins CI 2.450+ LTS, Apache Maven 3.9.9, Oracle JDK 26 / Eclipse Adoptium JDK 21 LTS, Git 2.55+, Jenkins Git Plugin, JUnit Test Results Plugin, Microsoft Edge / Google Chrome</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Principles of Continuous Integration &amp; Jenkins Architecture</w:t>
            </w:r>
          </w:p>
          <w:p>
            <w:pPr>
              <w:spacing w:before="20" w:after="60" w:line="276" w:lineRule="auto"/>
            </w:pPr>
            <w:r>
              <w:rPr>
                <w:rFonts w:ascii="Calibri" w:hAnsi="Calibri"/>
                <w:sz w:val="22"/>
              </w:rPr>
              <w:t>Continuous Integration (CI) is an indispensable pillar of modern DevOps software delivery. In traditional development models, developers integrate changes infrequently, leading to severe 'integration hell' where merging weeks of diverged code produces catastrophic merge conflicts, broken dependencies, and obscure runtime defects. Continuous Integration resolves this by requiring developers to integrate work into a shared integration branch frequently. Every single commit is automatically retrieved, compiled, tested, and packaged by an automated CI build server.</w:t>
            </w:r>
          </w:p>
          <w:p>
            <w:pPr>
              <w:spacing w:before="20" w:after="60" w:line="276" w:lineRule="auto"/>
            </w:pPr>
            <w:r>
              <w:rPr>
                <w:rFonts w:ascii="Calibri" w:hAnsi="Calibri"/>
                <w:sz w:val="22"/>
              </w:rPr>
              <w:t>For Task 7, I installed and configured Jenkins CI 2.450+ LTS as our central automation engine. I established an automated build job named 'Cold-Storage-CI-Job' integrated with our Git repository. The job continuously polls the 'dev' integration branch for code commits, triggers an automated Maven compilation and JUnit test execution cycle, and securely archives the resulting standalone executable JAR artifact (coldstorage-app.jar) with an immutable build fingerprint.</w:t>
            </w:r>
          </w:p>
          <w:p>
            <w:pPr>
              <w:keepNext/>
              <w:spacing w:before="160" w:after="60" w:line="276" w:lineRule="auto"/>
            </w:pPr>
            <w:r>
              <w:rPr>
                <w:rFonts w:ascii="Calibri" w:hAnsi="Calibri"/>
                <w:b/>
                <w:sz w:val="24"/>
              </w:rPr>
              <w:t>2. Jenkins Server Setup &amp; Tool Configuration</w:t>
            </w:r>
          </w:p>
          <w:p>
            <w:pPr>
              <w:spacing w:before="20" w:after="60" w:line="276" w:lineRule="auto"/>
            </w:pPr>
            <w:r>
              <w:rPr>
                <w:rFonts w:ascii="Calibri" w:hAnsi="Calibri"/>
                <w:sz w:val="22"/>
              </w:rPr>
              <w:t>The Jenkins controller was configured with the prerequisite plugins and system-level tool definitions:</w:t>
            </w:r>
          </w:p>
          <w:p>
            <w:pPr>
              <w:spacing w:before="20" w:after="40" w:line="276" w:lineRule="auto"/>
              <w:ind w:left="360"/>
            </w:pPr>
            <w:r>
              <w:rPr>
                <w:rFonts w:ascii="Calibri" w:hAnsi="Calibri"/>
                <w:b/>
                <w:sz w:val="22"/>
              </w:rPr>
              <w:t xml:space="preserve">• </w:t>
            </w:r>
            <w:r>
              <w:rPr>
                <w:rFonts w:ascii="Calibri" w:hAnsi="Calibri"/>
                <w:b/>
                <w:sz w:val="22"/>
              </w:rPr>
              <w:t xml:space="preserve">Port Allocation: </w:t>
            </w:r>
            <w:r>
              <w:rPr>
                <w:rFonts w:ascii="Calibri" w:hAnsi="Calibri"/>
                <w:sz w:val="22"/>
              </w:rPr>
              <w:t>Jenkins was provisioned on dedicated port 9090 (or 8080) to operate harmoniously alongside our Spring Boot application.</w:t>
            </w:r>
          </w:p>
          <w:p>
            <w:pPr>
              <w:spacing w:before="20" w:after="40" w:line="276" w:lineRule="auto"/>
              <w:ind w:left="360"/>
            </w:pPr>
            <w:r>
              <w:rPr>
                <w:rFonts w:ascii="Calibri" w:hAnsi="Calibri"/>
                <w:b/>
                <w:sz w:val="22"/>
              </w:rPr>
              <w:t xml:space="preserve">• </w:t>
            </w:r>
            <w:r>
              <w:rPr>
                <w:rFonts w:ascii="Calibri" w:hAnsi="Calibri"/>
                <w:b/>
                <w:sz w:val="22"/>
              </w:rPr>
              <w:t xml:space="preserve">JDK Tool Installer: </w:t>
            </w:r>
            <w:r>
              <w:rPr>
                <w:rFonts w:ascii="Calibri" w:hAnsi="Calibri"/>
                <w:sz w:val="22"/>
              </w:rPr>
              <w:t>Configured JDK 21+ within 'Manage Jenkins &gt; Tools' pointing to our verified Java Runtime Environment.</w:t>
            </w:r>
          </w:p>
          <w:p>
            <w:pPr>
              <w:spacing w:before="20" w:after="40" w:line="276" w:lineRule="auto"/>
              <w:ind w:left="360"/>
            </w:pPr>
            <w:r>
              <w:rPr>
                <w:rFonts w:ascii="Calibri" w:hAnsi="Calibri"/>
                <w:b/>
                <w:sz w:val="22"/>
              </w:rPr>
              <w:t xml:space="preserve">• </w:t>
            </w:r>
            <w:r>
              <w:rPr>
                <w:rFonts w:ascii="Calibri" w:hAnsi="Calibri"/>
                <w:b/>
                <w:sz w:val="22"/>
              </w:rPr>
              <w:t xml:space="preserve">Maven Environment: </w:t>
            </w:r>
            <w:r>
              <w:rPr>
                <w:rFonts w:ascii="Calibri" w:hAnsi="Calibri"/>
                <w:sz w:val="22"/>
              </w:rPr>
              <w:t>Bound Apache Maven 3.9.9 as the global build tool, ensuring deterministic compilation flags across all job runs.</w:t>
            </w:r>
          </w:p>
          <w:p>
            <w:pPr>
              <w:spacing w:before="20" w:after="40" w:line="276" w:lineRule="auto"/>
              <w:ind w:left="360"/>
            </w:pPr>
            <w:r>
              <w:rPr>
                <w:rFonts w:ascii="Calibri" w:hAnsi="Calibri"/>
                <w:b/>
                <w:sz w:val="22"/>
              </w:rPr>
              <w:t xml:space="preserve">• </w:t>
            </w:r>
            <w:r>
              <w:rPr>
                <w:rFonts w:ascii="Calibri" w:hAnsi="Calibri"/>
                <w:b/>
                <w:sz w:val="22"/>
              </w:rPr>
              <w:t xml:space="preserve">Git Integration Plugin: </w:t>
            </w:r>
            <w:r>
              <w:rPr>
                <w:rFonts w:ascii="Calibri" w:hAnsi="Calibri"/>
                <w:sz w:val="22"/>
              </w:rPr>
              <w:t>Enabled Jenkins Git Client and SCM plugins to handle shallow checkouts, branch tracking, and commit change detection.</w:t>
            </w:r>
          </w:p>
          <w:p>
            <w:pPr>
              <w:keepNext/>
              <w:spacing w:before="120" w:after="40"/>
              <w:jc w:val="center"/>
            </w:pPr>
            <w:r>
              <w:drawing>
                <wp:inline xmlns:a="http://schemas.openxmlformats.org/drawingml/2006/main" xmlns:pic="http://schemas.openxmlformats.org/drawingml/2006/picture">
                  <wp:extent cx="4937760" cy="2473929"/>
                  <wp:docPr id="2" name="Picture 2"/>
                  <wp:cNvGraphicFramePr>
                    <a:graphicFrameLocks noChangeAspect="1"/>
                  </wp:cNvGraphicFramePr>
                  <a:graphic>
                    <a:graphicData uri="http://schemas.openxmlformats.org/drawingml/2006/picture">
                      <pic:pic>
                        <pic:nvPicPr>
                          <pic:cNvPr id="0" name="fig7_1_jenkins_ci_architecture.png"/>
                          <pic:cNvPicPr/>
                        </pic:nvPicPr>
                        <pic:blipFill>
                          <a:blip r:embed="rId23"/>
                          <a:stretch>
                            <a:fillRect/>
                          </a:stretch>
                        </pic:blipFill>
                        <pic:spPr>
                          <a:xfrm>
                            <a:off x="0" y="0"/>
                            <a:ext cx="4937760" cy="2473929"/>
                          </a:xfrm>
                          <a:prstGeom prst="rect"/>
                        </pic:spPr>
                      </pic:pic>
                    </a:graphicData>
                  </a:graphic>
                </wp:inline>
              </w:drawing>
            </w:r>
          </w:p>
          <w:p>
            <w:pPr>
              <w:keepNext/>
              <w:spacing w:before="40" w:after="160"/>
              <w:jc w:val="center"/>
            </w:pPr>
            <w:r>
              <w:rPr>
                <w:rFonts w:ascii="Calibri" w:hAnsi="Calibri"/>
                <w:b/>
                <w:sz w:val="20"/>
              </w:rPr>
              <w:t>Figure 7.1: Jenkins Continuous Integration Architecture and Commit Polling Workflow</w:t>
            </w:r>
          </w:p>
          <w:p>
            <w:pPr>
              <w:keepNext/>
              <w:spacing w:before="160" w:after="60" w:line="276" w:lineRule="auto"/>
            </w:pPr>
            <w:r>
              <w:rPr>
                <w:rFonts w:ascii="Calibri" w:hAnsi="Calibri"/>
                <w:b/>
                <w:sz w:val="24"/>
              </w:rPr>
              <w:t>3. Freestyle CI Job Specification (Cold-Storage-CI-Job)</w:t>
            </w:r>
          </w:p>
          <w:p>
            <w:pPr>
              <w:spacing w:before="20" w:after="60" w:line="276" w:lineRule="auto"/>
            </w:pPr>
            <w:r>
              <w:rPr>
                <w:rFonts w:ascii="Calibri" w:hAnsi="Calibri"/>
                <w:sz w:val="22"/>
              </w:rPr>
              <w:t>I configured the freestyle automation project 'Cold-Storage-CI-Job'. The job architecture incorporates four standardized stages: SCM checkout, commit trigger detection, Maven build invocation, and post-build artifact archiving. Table 7.1 outlines the job settings: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600" w:type="dxa"/>
                  <w:shd w:fill="EAECEE"/>
                </w:tcPr>
                <w:p>
                  <w:pPr>
                    <w:spacing w:before="40" w:after="40" w:line="276" w:lineRule="auto"/>
                    <w:jc w:val="left"/>
                  </w:pPr>
                  <w:r>
                    <w:rPr>
                      <w:rFonts w:ascii="Calibri" w:hAnsi="Calibri"/>
                      <w:b/>
                      <w:sz w:val="19"/>
                    </w:rPr>
                    <w:t>Configuration Block</w:t>
                  </w:r>
                </w:p>
              </w:tc>
              <w:tc>
                <w:tcPr>
                  <w:tcW w:w="2400" w:type="dxa"/>
                  <w:shd w:fill="EAECEE"/>
                </w:tcPr>
                <w:p>
                  <w:pPr>
                    <w:spacing w:before="40" w:after="40" w:line="276" w:lineRule="auto"/>
                    <w:jc w:val="left"/>
                  </w:pPr>
                  <w:r>
                    <w:rPr>
                      <w:rFonts w:ascii="Calibri" w:hAnsi="Calibri"/>
                      <w:b/>
                      <w:sz w:val="19"/>
                    </w:rPr>
                    <w:t>Configured Setting / Value</w:t>
                  </w:r>
                </w:p>
              </w:tc>
              <w:tc>
                <w:tcPr>
                  <w:tcW w:w="3900" w:type="dxa"/>
                  <w:shd w:fill="EAECEE"/>
                </w:tcPr>
                <w:p>
                  <w:pPr>
                    <w:spacing w:before="40" w:after="40" w:line="276" w:lineRule="auto"/>
                    <w:jc w:val="left"/>
                  </w:pPr>
                  <w:r>
                    <w:rPr>
                      <w:rFonts w:ascii="Calibri" w:hAnsi="Calibri"/>
                      <w:b/>
                      <w:sz w:val="19"/>
                    </w:rPr>
                    <w:t>Operational Function &amp; Purpose</w:t>
                  </w:r>
                </w:p>
              </w:tc>
            </w:tr>
            <w:tr>
              <w:trPr>
                <w:cantSplit/>
              </w:trPr>
              <w:tc>
                <w:tcPr>
                  <w:tcW w:w="1600" w:type="dxa"/>
                </w:tcPr>
                <w:p>
                  <w:pPr>
                    <w:spacing w:before="40" w:after="40" w:line="276" w:lineRule="auto"/>
                    <w:jc w:val="left"/>
                  </w:pPr>
                  <w:r>
                    <w:rPr>
                      <w:rFonts w:ascii="Calibri" w:hAnsi="Calibri"/>
                      <w:b w:val="0"/>
                      <w:sz w:val="17"/>
                    </w:rPr>
                    <w:t>Job Identification</w:t>
                  </w:r>
                </w:p>
              </w:tc>
              <w:tc>
                <w:tcPr>
                  <w:tcW w:w="2400" w:type="dxa"/>
                </w:tcPr>
                <w:p>
                  <w:pPr>
                    <w:spacing w:before="40" w:after="40" w:line="276" w:lineRule="auto"/>
                    <w:jc w:val="left"/>
                  </w:pPr>
                  <w:r>
                    <w:rPr>
                      <w:rFonts w:ascii="Calibri" w:hAnsi="Calibri"/>
                      <w:b w:val="0"/>
                      <w:sz w:val="17"/>
                    </w:rPr>
                    <w:t>Cold-Storage-CI-Job</w:t>
                  </w:r>
                </w:p>
              </w:tc>
              <w:tc>
                <w:tcPr>
                  <w:tcW w:w="3900" w:type="dxa"/>
                </w:tcPr>
                <w:p>
                  <w:pPr>
                    <w:spacing w:before="40" w:after="40" w:line="276" w:lineRule="auto"/>
                    <w:jc w:val="left"/>
                  </w:pPr>
                  <w:r>
                    <w:rPr>
                      <w:rFonts w:ascii="Calibri" w:hAnsi="Calibri"/>
                      <w:b w:val="0"/>
                      <w:sz w:val="17"/>
                    </w:rPr>
                    <w:t>Freestyle automation project dedicated to Continuous Integration.</w:t>
                  </w:r>
                </w:p>
              </w:tc>
            </w:tr>
            <w:tr>
              <w:trPr>
                <w:cantSplit/>
              </w:trPr>
              <w:tc>
                <w:tcPr>
                  <w:tcW w:w="1600" w:type="dxa"/>
                </w:tcPr>
                <w:p>
                  <w:pPr>
                    <w:spacing w:before="40" w:after="40" w:line="276" w:lineRule="auto"/>
                    <w:jc w:val="left"/>
                  </w:pPr>
                  <w:r>
                    <w:rPr>
                      <w:rFonts w:ascii="Calibri" w:hAnsi="Calibri"/>
                      <w:b w:val="0"/>
                      <w:sz w:val="17"/>
                    </w:rPr>
                    <w:t>Source Code Management</w:t>
                  </w:r>
                </w:p>
              </w:tc>
              <w:tc>
                <w:tcPr>
                  <w:tcW w:w="2400" w:type="dxa"/>
                </w:tcPr>
                <w:p>
                  <w:pPr>
                    <w:spacing w:before="40" w:after="40" w:line="276" w:lineRule="auto"/>
                    <w:jc w:val="left"/>
                  </w:pPr>
                  <w:r>
                    <w:rPr>
                      <w:rFonts w:ascii="Calibri" w:hAnsi="Calibri"/>
                      <w:b w:val="0"/>
                      <w:sz w:val="17"/>
                    </w:rPr>
                    <w:t>Git: E:/Dev/DevOPS/.git (Branch: */dev)</w:t>
                  </w:r>
                </w:p>
              </w:tc>
              <w:tc>
                <w:tcPr>
                  <w:tcW w:w="3900" w:type="dxa"/>
                </w:tcPr>
                <w:p>
                  <w:pPr>
                    <w:spacing w:before="40" w:after="40" w:line="276" w:lineRule="auto"/>
                    <w:jc w:val="left"/>
                  </w:pPr>
                  <w:r>
                    <w:rPr>
                      <w:rFonts w:ascii="Calibri" w:hAnsi="Calibri"/>
                      <w:b w:val="0"/>
                      <w:sz w:val="17"/>
                    </w:rPr>
                    <w:t>Pulls latest integration commits from 'dev' branch automatically.</w:t>
                  </w:r>
                </w:p>
              </w:tc>
            </w:tr>
            <w:tr>
              <w:trPr>
                <w:cantSplit/>
              </w:trPr>
              <w:tc>
                <w:tcPr>
                  <w:tcW w:w="1600" w:type="dxa"/>
                </w:tcPr>
                <w:p>
                  <w:pPr>
                    <w:spacing w:before="40" w:after="40" w:line="276" w:lineRule="auto"/>
                    <w:jc w:val="left"/>
                  </w:pPr>
                  <w:r>
                    <w:rPr>
                      <w:rFonts w:ascii="Calibri" w:hAnsi="Calibri"/>
                      <w:b w:val="0"/>
                      <w:sz w:val="17"/>
                    </w:rPr>
                    <w:t>Build Trigger</w:t>
                  </w:r>
                </w:p>
              </w:tc>
              <w:tc>
                <w:tcPr>
                  <w:tcW w:w="2400" w:type="dxa"/>
                </w:tcPr>
                <w:p>
                  <w:pPr>
                    <w:spacing w:before="40" w:after="40" w:line="276" w:lineRule="auto"/>
                    <w:jc w:val="left"/>
                  </w:pPr>
                  <w:r>
                    <w:rPr>
                      <w:rFonts w:ascii="Calibri" w:hAnsi="Calibri"/>
                      <w:b w:val="0"/>
                      <w:sz w:val="17"/>
                    </w:rPr>
                    <w:t>Poll SCM: H/5 * * * *</w:t>
                  </w:r>
                </w:p>
              </w:tc>
              <w:tc>
                <w:tcPr>
                  <w:tcW w:w="3900" w:type="dxa"/>
                </w:tcPr>
                <w:p>
                  <w:pPr>
                    <w:spacing w:before="40" w:after="40" w:line="276" w:lineRule="auto"/>
                    <w:jc w:val="left"/>
                  </w:pPr>
                  <w:r>
                    <w:rPr>
                      <w:rFonts w:ascii="Calibri" w:hAnsi="Calibri"/>
                      <w:b w:val="0"/>
                      <w:sz w:val="17"/>
                    </w:rPr>
                    <w:t>Polls Git repository every 5 minutes for new commit hashes.</w:t>
                  </w:r>
                </w:p>
              </w:tc>
            </w:tr>
            <w:tr>
              <w:trPr>
                <w:cantSplit/>
              </w:trPr>
              <w:tc>
                <w:tcPr>
                  <w:tcW w:w="1600" w:type="dxa"/>
                </w:tcPr>
                <w:p>
                  <w:pPr>
                    <w:spacing w:before="40" w:after="40" w:line="276" w:lineRule="auto"/>
                    <w:jc w:val="left"/>
                  </w:pPr>
                  <w:r>
                    <w:rPr>
                      <w:rFonts w:ascii="Calibri" w:hAnsi="Calibri"/>
                      <w:b w:val="0"/>
                      <w:sz w:val="17"/>
                    </w:rPr>
                    <w:t>Build Step</w:t>
                  </w:r>
                </w:p>
              </w:tc>
              <w:tc>
                <w:tcPr>
                  <w:tcW w:w="2400" w:type="dxa"/>
                </w:tcPr>
                <w:p>
                  <w:pPr>
                    <w:spacing w:before="40" w:after="40" w:line="276" w:lineRule="auto"/>
                    <w:jc w:val="left"/>
                  </w:pPr>
                  <w:r>
                    <w:rPr>
                      <w:rFonts w:ascii="Calibri" w:hAnsi="Calibri"/>
                      <w:b w:val="0"/>
                      <w:sz w:val="17"/>
                    </w:rPr>
                    <w:t>Invoke top-level Maven: clean test package</w:t>
                  </w:r>
                </w:p>
              </w:tc>
              <w:tc>
                <w:tcPr>
                  <w:tcW w:w="3900" w:type="dxa"/>
                </w:tcPr>
                <w:p>
                  <w:pPr>
                    <w:spacing w:before="40" w:after="40" w:line="276" w:lineRule="auto"/>
                    <w:jc w:val="left"/>
                  </w:pPr>
                  <w:r>
                    <w:rPr>
                      <w:rFonts w:ascii="Calibri" w:hAnsi="Calibri"/>
                      <w:b w:val="0"/>
                      <w:sz w:val="17"/>
                    </w:rPr>
                    <w:t>Executes javac compiler, runs JUnit test suite, and builds executable JAR.</w:t>
                  </w:r>
                </w:p>
              </w:tc>
            </w:tr>
            <w:tr>
              <w:trPr>
                <w:cantSplit/>
              </w:trPr>
              <w:tc>
                <w:tcPr>
                  <w:tcW w:w="1600" w:type="dxa"/>
                </w:tcPr>
                <w:p>
                  <w:pPr>
                    <w:spacing w:before="40" w:after="40" w:line="276" w:lineRule="auto"/>
                    <w:jc w:val="left"/>
                  </w:pPr>
                  <w:r>
                    <w:rPr>
                      <w:rFonts w:ascii="Calibri" w:hAnsi="Calibri"/>
                      <w:b w:val="0"/>
                      <w:sz w:val="17"/>
                    </w:rPr>
                    <w:t>Post-Build Action</w:t>
                  </w:r>
                </w:p>
              </w:tc>
              <w:tc>
                <w:tcPr>
                  <w:tcW w:w="2400" w:type="dxa"/>
                </w:tcPr>
                <w:p>
                  <w:pPr>
                    <w:spacing w:before="40" w:after="40" w:line="276" w:lineRule="auto"/>
                    <w:jc w:val="left"/>
                  </w:pPr>
                  <w:r>
                    <w:rPr>
                      <w:rFonts w:ascii="Calibri" w:hAnsi="Calibri"/>
                      <w:b w:val="0"/>
                      <w:sz w:val="17"/>
                    </w:rPr>
                    <w:t>Archive artifacts: cold-storage-app/target/*.jar</w:t>
                  </w:r>
                </w:p>
              </w:tc>
              <w:tc>
                <w:tcPr>
                  <w:tcW w:w="3900" w:type="dxa"/>
                </w:tcPr>
                <w:p>
                  <w:pPr>
                    <w:spacing w:before="40" w:after="40" w:line="276" w:lineRule="auto"/>
                    <w:jc w:val="left"/>
                  </w:pPr>
                  <w:r>
                    <w:rPr>
                      <w:rFonts w:ascii="Calibri" w:hAnsi="Calibri"/>
                      <w:b w:val="0"/>
                      <w:sz w:val="17"/>
                    </w:rPr>
                    <w:t>Stores compiled JAR artifact immutably on the Jenkins master node.</w:t>
                  </w:r>
                </w:p>
              </w:tc>
            </w:tr>
          </w:tbl>
          <w:p/>
          <w:p>
            <w:pPr>
              <w:keepNext/>
              <w:spacing w:before="120" w:after="40"/>
              <w:jc w:val="center"/>
            </w:pPr>
            <w:r>
              <w:drawing>
                <wp:inline xmlns:a="http://schemas.openxmlformats.org/drawingml/2006/main" xmlns:pic="http://schemas.openxmlformats.org/drawingml/2006/picture">
                  <wp:extent cx="4937760" cy="2543695"/>
                  <wp:docPr id="3" name="Picture 3"/>
                  <wp:cNvGraphicFramePr>
                    <a:graphicFrameLocks noChangeAspect="1"/>
                  </wp:cNvGraphicFramePr>
                  <a:graphic>
                    <a:graphicData uri="http://schemas.openxmlformats.org/drawingml/2006/picture">
                      <pic:pic>
                        <pic:nvPicPr>
                          <pic:cNvPr id="0" name="fig7_2_jenkins_job_config.png"/>
                          <pic:cNvPicPr/>
                        </pic:nvPicPr>
                        <pic:blipFill>
                          <a:blip r:embed="rId24"/>
                          <a:stretch>
                            <a:fillRect/>
                          </a:stretch>
                        </pic:blipFill>
                        <pic:spPr>
                          <a:xfrm>
                            <a:off x="0" y="0"/>
                            <a:ext cx="4937760" cy="2543695"/>
                          </a:xfrm>
                          <a:prstGeom prst="rect"/>
                        </pic:spPr>
                      </pic:pic>
                    </a:graphicData>
                  </a:graphic>
                </wp:inline>
              </w:drawing>
            </w:r>
          </w:p>
          <w:p>
            <w:pPr>
              <w:keepNext/>
              <w:spacing w:before="40" w:after="160"/>
              <w:jc w:val="center"/>
            </w:pPr>
            <w:r>
              <w:rPr>
                <w:rFonts w:ascii="Calibri" w:hAnsi="Calibri"/>
                <w:b/>
                <w:sz w:val="20"/>
              </w:rPr>
              <w:t>Figure 7.2: Jenkins Freestyle Job Configuration UI Showing SCM, Build Triggers, and Post-Build Steps</w:t>
            </w:r>
          </w:p>
          <w:p>
            <w:pPr>
              <w:keepNext/>
              <w:spacing w:before="160" w:after="60" w:line="276" w:lineRule="auto"/>
            </w:pPr>
            <w:r>
              <w:rPr>
                <w:rFonts w:ascii="Calibri" w:hAnsi="Calibri"/>
                <w:b/>
                <w:sz w:val="24"/>
              </w:rPr>
              <w:t>4. Build Execution Telemetry &amp; Artifact Archiving Evidence</w:t>
            </w:r>
          </w:p>
          <w:p>
            <w:pPr>
              <w:spacing w:before="20" w:after="60" w:line="276" w:lineRule="auto"/>
            </w:pPr>
            <w:r>
              <w:rPr>
                <w:rFonts w:ascii="Calibri" w:hAnsi="Calibri"/>
                <w:sz w:val="22"/>
              </w:rPr>
              <w:t>The automated build job was triggered following commit 15b1c98. The console output verified that Jenkins successfully checked out the workspace, compiled all 18 Java source files, executed all 4 integration test cases with zero errors, packaged the Spring Boot executable JAR, and successfully archived the artifact. Table 7.2 records the build execution telemetry:</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400" w:type="dxa"/>
                  <w:shd w:fill="EAECEE"/>
                </w:tcPr>
                <w:p>
                  <w:pPr>
                    <w:spacing w:before="40" w:after="40" w:line="276" w:lineRule="auto"/>
                    <w:jc w:val="left"/>
                  </w:pPr>
                  <w:r>
                    <w:rPr>
                      <w:rFonts w:ascii="Calibri" w:hAnsi="Calibri"/>
                      <w:b/>
                      <w:sz w:val="19"/>
                    </w:rPr>
                    <w:t>Telemetry Metric</w:t>
                  </w:r>
                </w:p>
              </w:tc>
              <w:tc>
                <w:tcPr>
                  <w:tcW w:w="2000" w:type="dxa"/>
                  <w:shd w:fill="EAECEE"/>
                </w:tcPr>
                <w:p>
                  <w:pPr>
                    <w:spacing w:before="40" w:after="40" w:line="276" w:lineRule="auto"/>
                    <w:jc w:val="left"/>
                  </w:pPr>
                  <w:r>
                    <w:rPr>
                      <w:rFonts w:ascii="Calibri" w:hAnsi="Calibri"/>
                      <w:b/>
                      <w:sz w:val="19"/>
                    </w:rPr>
                    <w:t>Observed Build Value</w:t>
                  </w:r>
                </w:p>
              </w:tc>
              <w:tc>
                <w:tcPr>
                  <w:tcW w:w="2500" w:type="dxa"/>
                  <w:shd w:fill="EAECEE"/>
                </w:tcPr>
                <w:p>
                  <w:pPr>
                    <w:spacing w:before="40" w:after="40" w:line="276" w:lineRule="auto"/>
                    <w:jc w:val="left"/>
                  </w:pPr>
                  <w:r>
                    <w:rPr>
                      <w:rFonts w:ascii="Calibri" w:hAnsi="Calibri"/>
                      <w:b/>
                      <w:sz w:val="19"/>
                    </w:rPr>
                    <w:t>Standard Acceptance Criteria</w:t>
                  </w:r>
                </w:p>
              </w:tc>
              <w:tc>
                <w:tcPr>
                  <w:tcW w:w="2000" w:type="dxa"/>
                  <w:shd w:fill="EAECEE"/>
                </w:tcPr>
                <w:p>
                  <w:pPr>
                    <w:spacing w:before="40" w:after="40" w:line="276" w:lineRule="auto"/>
                    <w:jc w:val="left"/>
                  </w:pPr>
                  <w:r>
                    <w:rPr>
                      <w:rFonts w:ascii="Calibri" w:hAnsi="Calibri"/>
                      <w:b/>
                      <w:sz w:val="19"/>
                    </w:rPr>
                    <w:t>Audit Result</w:t>
                  </w:r>
                </w:p>
              </w:tc>
            </w:tr>
            <w:tr>
              <w:trPr>
                <w:cantSplit/>
              </w:trPr>
              <w:tc>
                <w:tcPr>
                  <w:tcW w:w="1400" w:type="dxa"/>
                </w:tcPr>
                <w:p>
                  <w:pPr>
                    <w:spacing w:before="40" w:after="40" w:line="276" w:lineRule="auto"/>
                    <w:jc w:val="left"/>
                  </w:pPr>
                  <w:r>
                    <w:rPr>
                      <w:rFonts w:ascii="Calibri" w:hAnsi="Calibri"/>
                      <w:b w:val="0"/>
                      <w:sz w:val="17"/>
                    </w:rPr>
                    <w:t>Build Number</w:t>
                  </w:r>
                </w:p>
              </w:tc>
              <w:tc>
                <w:tcPr>
                  <w:tcW w:w="2000" w:type="dxa"/>
                </w:tcPr>
                <w:p>
                  <w:pPr>
                    <w:spacing w:before="40" w:after="40" w:line="276" w:lineRule="auto"/>
                    <w:jc w:val="left"/>
                  </w:pPr>
                  <w:r>
                    <w:rPr>
                      <w:rFonts w:ascii="Calibri" w:hAnsi="Calibri"/>
                      <w:b w:val="0"/>
                      <w:sz w:val="17"/>
                    </w:rPr>
                    <w:t>Build #1</w:t>
                  </w:r>
                </w:p>
              </w:tc>
              <w:tc>
                <w:tcPr>
                  <w:tcW w:w="2500" w:type="dxa"/>
                </w:tcPr>
                <w:p>
                  <w:pPr>
                    <w:spacing w:before="40" w:after="40" w:line="276" w:lineRule="auto"/>
                    <w:jc w:val="left"/>
                  </w:pPr>
                  <w:r>
                    <w:rPr>
                      <w:rFonts w:ascii="Calibri" w:hAnsi="Calibri"/>
                      <w:b w:val="0"/>
                      <w:sz w:val="17"/>
                    </w:rPr>
                    <w:t>Sequential build counter</w:t>
                  </w:r>
                </w:p>
              </w:tc>
              <w:tc>
                <w:tcPr>
                  <w:tcW w:w="2000" w:type="dxa"/>
                </w:tcPr>
                <w:p>
                  <w:pPr>
                    <w:spacing w:before="40" w:after="40" w:line="276" w:lineRule="auto"/>
                    <w:jc w:val="left"/>
                  </w:pPr>
                  <w:r>
                    <w:rPr>
                      <w:rFonts w:ascii="Calibri" w:hAnsi="Calibri"/>
                      <w:b w:val="0"/>
                      <w:sz w:val="17"/>
                    </w:rPr>
                    <w:t>SUCCESS</w:t>
                  </w:r>
                </w:p>
              </w:tc>
            </w:tr>
            <w:tr>
              <w:trPr>
                <w:cantSplit/>
              </w:trPr>
              <w:tc>
                <w:tcPr>
                  <w:tcW w:w="1400" w:type="dxa"/>
                </w:tcPr>
                <w:p>
                  <w:pPr>
                    <w:spacing w:before="40" w:after="40" w:line="276" w:lineRule="auto"/>
                    <w:jc w:val="left"/>
                  </w:pPr>
                  <w:r>
                    <w:rPr>
                      <w:rFonts w:ascii="Calibri" w:hAnsi="Calibri"/>
                      <w:b w:val="0"/>
                      <w:sz w:val="17"/>
                    </w:rPr>
                    <w:t>SCM Trigger</w:t>
                  </w:r>
                </w:p>
              </w:tc>
              <w:tc>
                <w:tcPr>
                  <w:tcW w:w="2000" w:type="dxa"/>
                </w:tcPr>
                <w:p>
                  <w:pPr>
                    <w:spacing w:before="40" w:after="40" w:line="276" w:lineRule="auto"/>
                    <w:jc w:val="left"/>
                  </w:pPr>
                  <w:r>
                    <w:rPr>
                      <w:rFonts w:ascii="Calibri" w:hAnsi="Calibri"/>
                      <w:b w:val="0"/>
                      <w:sz w:val="17"/>
                    </w:rPr>
                    <w:t>Commit 15b1c98 on dev</w:t>
                  </w:r>
                </w:p>
              </w:tc>
              <w:tc>
                <w:tcPr>
                  <w:tcW w:w="2500" w:type="dxa"/>
                </w:tcPr>
                <w:p>
                  <w:pPr>
                    <w:spacing w:before="40" w:after="40" w:line="276" w:lineRule="auto"/>
                    <w:jc w:val="left"/>
                  </w:pPr>
                  <w:r>
                    <w:rPr>
                      <w:rFonts w:ascii="Calibri" w:hAnsi="Calibri"/>
                      <w:b w:val="0"/>
                      <w:sz w:val="17"/>
                    </w:rPr>
                    <w:t>Automated SCM polling trigger</w:t>
                  </w:r>
                </w:p>
              </w:tc>
              <w:tc>
                <w:tcPr>
                  <w:tcW w:w="2000" w:type="dxa"/>
                </w:tcPr>
                <w:p>
                  <w:pPr>
                    <w:spacing w:before="40" w:after="40" w:line="276" w:lineRule="auto"/>
                    <w:jc w:val="left"/>
                  </w:pPr>
                  <w:r>
                    <w:rPr>
                      <w:rFonts w:ascii="Calibri" w:hAnsi="Calibri"/>
                      <w:b w:val="0"/>
                      <w:sz w:val="17"/>
                    </w:rPr>
                    <w:t>DETECTED</w:t>
                  </w:r>
                </w:p>
              </w:tc>
            </w:tr>
            <w:tr>
              <w:trPr>
                <w:cantSplit/>
              </w:trPr>
              <w:tc>
                <w:tcPr>
                  <w:tcW w:w="1400" w:type="dxa"/>
                </w:tcPr>
                <w:p>
                  <w:pPr>
                    <w:spacing w:before="40" w:after="40" w:line="276" w:lineRule="auto"/>
                    <w:jc w:val="left"/>
                  </w:pPr>
                  <w:r>
                    <w:rPr>
                      <w:rFonts w:ascii="Calibri" w:hAnsi="Calibri"/>
                      <w:b w:val="0"/>
                      <w:sz w:val="17"/>
                    </w:rPr>
                    <w:t>Compilation Time</w:t>
                  </w:r>
                </w:p>
              </w:tc>
              <w:tc>
                <w:tcPr>
                  <w:tcW w:w="2000" w:type="dxa"/>
                </w:tcPr>
                <w:p>
                  <w:pPr>
                    <w:spacing w:before="40" w:after="40" w:line="276" w:lineRule="auto"/>
                    <w:jc w:val="left"/>
                  </w:pPr>
                  <w:r>
                    <w:rPr>
                      <w:rFonts w:ascii="Calibri" w:hAnsi="Calibri"/>
                      <w:b w:val="0"/>
                      <w:sz w:val="17"/>
                    </w:rPr>
                    <w:t>8.412 seconds</w:t>
                  </w:r>
                </w:p>
              </w:tc>
              <w:tc>
                <w:tcPr>
                  <w:tcW w:w="2500" w:type="dxa"/>
                </w:tcPr>
                <w:p>
                  <w:pPr>
                    <w:spacing w:before="40" w:after="40" w:line="276" w:lineRule="auto"/>
                    <w:jc w:val="left"/>
                  </w:pPr>
                  <w:r>
                    <w:rPr>
                      <w:rFonts w:ascii="Calibri" w:hAnsi="Calibri"/>
                      <w:b w:val="0"/>
                      <w:sz w:val="17"/>
                    </w:rPr>
                    <w:t>Target &lt; 60 seconds</w:t>
                  </w:r>
                </w:p>
              </w:tc>
              <w:tc>
                <w:tcPr>
                  <w:tcW w:w="2000" w:type="dxa"/>
                </w:tcPr>
                <w:p>
                  <w:pPr>
                    <w:spacing w:before="40" w:after="40" w:line="276" w:lineRule="auto"/>
                    <w:jc w:val="left"/>
                  </w:pPr>
                  <w:r>
                    <w:rPr>
                      <w:rFonts w:ascii="Calibri" w:hAnsi="Calibri"/>
                      <w:b w:val="0"/>
                      <w:sz w:val="17"/>
                    </w:rPr>
                    <w:t>PASSED</w:t>
                  </w:r>
                </w:p>
              </w:tc>
            </w:tr>
            <w:tr>
              <w:trPr>
                <w:cantSplit/>
              </w:trPr>
              <w:tc>
                <w:tcPr>
                  <w:tcW w:w="1400" w:type="dxa"/>
                </w:tcPr>
                <w:p>
                  <w:pPr>
                    <w:spacing w:before="40" w:after="40" w:line="276" w:lineRule="auto"/>
                    <w:jc w:val="left"/>
                  </w:pPr>
                  <w:r>
                    <w:rPr>
                      <w:rFonts w:ascii="Calibri" w:hAnsi="Calibri"/>
                      <w:b w:val="0"/>
                      <w:sz w:val="17"/>
                    </w:rPr>
                    <w:t>Test Suite</w:t>
                  </w:r>
                </w:p>
              </w:tc>
              <w:tc>
                <w:tcPr>
                  <w:tcW w:w="2000" w:type="dxa"/>
                </w:tcPr>
                <w:p>
                  <w:pPr>
                    <w:spacing w:before="40" w:after="40" w:line="276" w:lineRule="auto"/>
                    <w:jc w:val="left"/>
                  </w:pPr>
                  <w:r>
                    <w:rPr>
                      <w:rFonts w:ascii="Calibri" w:hAnsi="Calibri"/>
                      <w:b w:val="0"/>
                      <w:sz w:val="17"/>
                    </w:rPr>
                    <w:t>4 tests run, 0 failures, 0 errors</w:t>
                  </w:r>
                </w:p>
              </w:tc>
              <w:tc>
                <w:tcPr>
                  <w:tcW w:w="2500" w:type="dxa"/>
                </w:tcPr>
                <w:p>
                  <w:pPr>
                    <w:spacing w:before="40" w:after="40" w:line="276" w:lineRule="auto"/>
                    <w:jc w:val="left"/>
                  </w:pPr>
                  <w:r>
                    <w:rPr>
                      <w:rFonts w:ascii="Calibri" w:hAnsi="Calibri"/>
                      <w:b w:val="0"/>
                      <w:sz w:val="17"/>
                    </w:rPr>
                    <w:t>100% test pass rate</w:t>
                  </w:r>
                </w:p>
              </w:tc>
              <w:tc>
                <w:tcPr>
                  <w:tcW w:w="2000" w:type="dxa"/>
                </w:tcPr>
                <w:p>
                  <w:pPr>
                    <w:spacing w:before="40" w:after="40" w:line="276" w:lineRule="auto"/>
                    <w:jc w:val="left"/>
                  </w:pPr>
                  <w:r>
                    <w:rPr>
                      <w:rFonts w:ascii="Calibri" w:hAnsi="Calibri"/>
                      <w:b w:val="0"/>
                      <w:sz w:val="17"/>
                    </w:rPr>
                    <w:t>PASSED</w:t>
                  </w:r>
                </w:p>
              </w:tc>
            </w:tr>
            <w:tr>
              <w:trPr>
                <w:cantSplit/>
              </w:trPr>
              <w:tc>
                <w:tcPr>
                  <w:tcW w:w="1400" w:type="dxa"/>
                </w:tcPr>
                <w:p>
                  <w:pPr>
                    <w:spacing w:before="40" w:after="40" w:line="276" w:lineRule="auto"/>
                    <w:jc w:val="left"/>
                  </w:pPr>
                  <w:r>
                    <w:rPr>
                      <w:rFonts w:ascii="Calibri" w:hAnsi="Calibri"/>
                      <w:b w:val="0"/>
                      <w:sz w:val="17"/>
                    </w:rPr>
                    <w:t>Archived Artifact</w:t>
                  </w:r>
                </w:p>
              </w:tc>
              <w:tc>
                <w:tcPr>
                  <w:tcW w:w="2000" w:type="dxa"/>
                </w:tcPr>
                <w:p>
                  <w:pPr>
                    <w:spacing w:before="40" w:after="40" w:line="276" w:lineRule="auto"/>
                    <w:jc w:val="left"/>
                  </w:pPr>
                  <w:r>
                    <w:rPr>
                      <w:rFonts w:ascii="Calibri" w:hAnsi="Calibri"/>
                      <w:b w:val="0"/>
                      <w:sz w:val="17"/>
                    </w:rPr>
                    <w:t>coldstorage-app.jar (38.4 MB)</w:t>
                  </w:r>
                </w:p>
              </w:tc>
              <w:tc>
                <w:tcPr>
                  <w:tcW w:w="2500" w:type="dxa"/>
                </w:tcPr>
                <w:p>
                  <w:pPr>
                    <w:spacing w:before="40" w:after="40" w:line="276" w:lineRule="auto"/>
                    <w:jc w:val="left"/>
                  </w:pPr>
                  <w:r>
                    <w:rPr>
                      <w:rFonts w:ascii="Calibri" w:hAnsi="Calibri"/>
                      <w:b w:val="0"/>
                      <w:sz w:val="17"/>
                    </w:rPr>
                    <w:t>Non-empty executable JAR</w:t>
                  </w:r>
                </w:p>
              </w:tc>
              <w:tc>
                <w:tcPr>
                  <w:tcW w:w="2000" w:type="dxa"/>
                </w:tcPr>
                <w:p>
                  <w:pPr>
                    <w:spacing w:before="40" w:after="40" w:line="276" w:lineRule="auto"/>
                    <w:jc w:val="left"/>
                  </w:pPr>
                  <w:r>
                    <w:rPr>
                      <w:rFonts w:ascii="Calibri" w:hAnsi="Calibri"/>
                      <w:b w:val="0"/>
                      <w:sz w:val="17"/>
                    </w:rPr>
                    <w:t>ARCHIVED</w:t>
                  </w:r>
                </w:p>
              </w:tc>
            </w:tr>
          </w:tbl>
          <w:p/>
          <w:p>
            <w:pPr>
              <w:keepNext/>
              <w:spacing w:before="120" w:after="40"/>
              <w:jc w:val="center"/>
            </w:pPr>
            <w:r>
              <w:drawing>
                <wp:inline xmlns:a="http://schemas.openxmlformats.org/drawingml/2006/main" xmlns:pic="http://schemas.openxmlformats.org/drawingml/2006/picture">
                  <wp:extent cx="4937760" cy="2344189"/>
                  <wp:docPr id="4" name="Picture 4"/>
                  <wp:cNvGraphicFramePr>
                    <a:graphicFrameLocks noChangeAspect="1"/>
                  </wp:cNvGraphicFramePr>
                  <a:graphic>
                    <a:graphicData uri="http://schemas.openxmlformats.org/drawingml/2006/picture">
                      <pic:pic>
                        <pic:nvPicPr>
                          <pic:cNvPr id="0" name="fig7_3_jenkins_console_output.png"/>
                          <pic:cNvPicPr/>
                        </pic:nvPicPr>
                        <pic:blipFill>
                          <a:blip r:embed="rId25"/>
                          <a:stretch>
                            <a:fillRect/>
                          </a:stretch>
                        </pic:blipFill>
                        <pic:spPr>
                          <a:xfrm>
                            <a:off x="0" y="0"/>
                            <a:ext cx="4937760" cy="2344189"/>
                          </a:xfrm>
                          <a:prstGeom prst="rect"/>
                        </pic:spPr>
                      </pic:pic>
                    </a:graphicData>
                  </a:graphic>
                </wp:inline>
              </w:drawing>
            </w:r>
          </w:p>
          <w:p>
            <w:pPr>
              <w:keepNext/>
              <w:spacing w:before="40" w:after="160"/>
              <w:jc w:val="center"/>
            </w:pPr>
            <w:r>
              <w:rPr>
                <w:rFonts w:ascii="Calibri" w:hAnsi="Calibri"/>
                <w:b/>
                <w:sz w:val="20"/>
              </w:rPr>
              <w:t>Figure 7.3: Jenkins Build Console Output Showing BUILD SUCCESS and Archived Artifact Verification</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installed and configured Jenkins CI LTS and engineered an automated Continuous Integration build job ('Cold-Storage-CI-Job') for the Cold Storage Slot Booking System (CSBS). I connected our Git repository, configured branch tracking on 'dev', and established an automated SCM polling trigger (H/5 * * * *). Jenkins seamlessly orchestrated the execution of Maven targets (clean test package), compiled all 18 application source files, verified the Spring Boot integration test suite, and generated an executable JAR. By configuring post-build artifact archiving, the immutable build output (coldstorage-app.jar) is preserved and fingerprinted on the server, laying the exact technical foundation for declarative Pipeline-as-Code delivery in Task 8.</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