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9</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Selenium Test Design and Local Execution: Identify three to five critical user journeys in the Cold Storage Slot Booking System. Write Selenium WebDriver test cases with assertions, test data and screenshots for failures. Execute the suite locally through Maven.</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Java 21 LTS / 26, Selenium WebDriver 4.25, JUnit 5, Spring Boot Test, Microsoft Edge 155 (Headless Chromium), Apache Maven 3.9.9, VS Code / IntelliJ IDEA</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1. Automated Functional Testing in the DevOps Lifecycle</w:t>
            </w:r>
          </w:p>
          <w:p>
            <w:pPr>
              <w:spacing w:before="20" w:after="60" w:line="276" w:lineRule="auto"/>
            </w:pPr>
            <w:r>
              <w:rPr>
                <w:rFonts w:ascii="Calibri" w:hAnsi="Calibri"/>
                <w:sz w:val="22"/>
              </w:rPr>
              <w:t>Continuous Delivery pipelines demand absolute confidence that code changes do not break critical user journeys. While unit tests validate isolated class logic, they fail to verify browser-level interactions, DOM manipulation, form validation banners, and HTTP redirects. Automated browser testing using Selenium WebDriver bridges this gap by executing programmatic user simulations directly against rendered web pages.</w:t>
            </w:r>
          </w:p>
          <w:p>
            <w:pPr>
              <w:spacing w:before="20" w:after="60" w:line="276" w:lineRule="auto"/>
            </w:pPr>
            <w:r>
              <w:rPr>
                <w:rFonts w:ascii="Calibri" w:hAnsi="Calibri"/>
                <w:sz w:val="22"/>
              </w:rPr>
              <w:t>In Task 9, I designed and executed a comprehensive automated test suite for the Cold Storage Slot Booking System (CSBS) using Selenium WebDriver 4.25 and JUnit 5, orchestrated via Apache Maven. The test suite targets four critical end-to-end user journeys: slot booking reservation, capacity validation guard, dynamic temperature zone filtering, and manager lifecycle actions. Crucially, I engineered an automated screenshot capture mechanism that automatically records high-resolution PNG captures into 'screenshots/failures/' upon any assertion failure, guaranteeing immediate visual auditability.</w:t>
            </w:r>
          </w:p>
          <w:p>
            <w:pPr>
              <w:keepNext/>
              <w:spacing w:before="160" w:after="60" w:line="276" w:lineRule="auto"/>
            </w:pPr>
            <w:r>
              <w:rPr>
                <w:rFonts w:ascii="Calibri" w:hAnsi="Calibri"/>
                <w:b/>
                <w:sz w:val="24"/>
              </w:rPr>
              <w:t>2. Specification of 4 Critical User Journeys</w:t>
            </w:r>
          </w:p>
          <w:p>
            <w:pPr>
              <w:spacing w:before="20" w:after="60" w:line="276" w:lineRule="auto"/>
            </w:pPr>
            <w:r>
              <w:rPr>
                <w:rFonts w:ascii="Calibri" w:hAnsi="Calibri"/>
                <w:sz w:val="22"/>
              </w:rPr>
              <w:t>The test suite targets the core operational flows of the Cold Storage application:</w:t>
            </w:r>
          </w:p>
          <w:p>
            <w:pPr>
              <w:spacing w:before="20" w:after="40" w:line="276" w:lineRule="auto"/>
              <w:ind w:left="360"/>
            </w:pPr>
            <w:r>
              <w:rPr>
                <w:rFonts w:ascii="Calibri" w:hAnsi="Calibri"/>
                <w:b/>
                <w:sz w:val="22"/>
              </w:rPr>
              <w:t xml:space="preserve">• </w:t>
            </w:r>
            <w:r>
              <w:rPr>
                <w:rFonts w:ascii="Calibri" w:hAnsi="Calibri"/>
                <w:b/>
                <w:sz w:val="22"/>
              </w:rPr>
              <w:t xml:space="preserve">Journey 1 (Farmer Reservation): </w:t>
            </w:r>
            <w:r>
              <w:rPr>
                <w:rFonts w:ascii="Calibri" w:hAnsi="Calibri"/>
                <w:sz w:val="22"/>
              </w:rPr>
              <w:t>Farmer navigates to /bookings/new, selects Chilled Chamber CH-CH1, inputs 30 crates of Apples for a 14-day duration, submits the form, and asserts that the browser redirects to /bookings displaying the green confirmation banner and farmer name.</w:t>
            </w:r>
          </w:p>
          <w:p>
            <w:pPr>
              <w:spacing w:before="20" w:after="40" w:line="276" w:lineRule="auto"/>
              <w:ind w:left="360"/>
            </w:pPr>
            <w:r>
              <w:rPr>
                <w:rFonts w:ascii="Calibri" w:hAnsi="Calibri"/>
                <w:b/>
                <w:sz w:val="22"/>
              </w:rPr>
              <w:t xml:space="preserve">• </w:t>
            </w:r>
            <w:r>
              <w:rPr>
                <w:rFonts w:ascii="Calibri" w:hAnsi="Calibri"/>
                <w:b/>
                <w:sz w:val="22"/>
              </w:rPr>
              <w:t xml:space="preserve">Journey 2 (Validation Guard): </w:t>
            </w:r>
            <w:r>
              <w:rPr>
                <w:rFonts w:ascii="Calibri" w:hAnsi="Calibri"/>
                <w:sz w:val="22"/>
              </w:rPr>
              <w:t>Farmer inputs an excessive quantity (650 crates, exceeding the 500-crate maximum), submits the form, and asserts that the validation engine blocks submission, keeping the browser on /bookings/new.</w:t>
            </w:r>
          </w:p>
          <w:p>
            <w:pPr>
              <w:spacing w:before="20" w:after="40" w:line="276" w:lineRule="auto"/>
              <w:ind w:left="360"/>
            </w:pPr>
            <w:r>
              <w:rPr>
                <w:rFonts w:ascii="Calibri" w:hAnsi="Calibri"/>
                <w:b/>
                <w:sz w:val="22"/>
              </w:rPr>
              <w:t xml:space="preserve">• </w:t>
            </w:r>
            <w:r>
              <w:rPr>
                <w:rFonts w:ascii="Calibri" w:hAnsi="Calibri"/>
                <w:b/>
                <w:sz w:val="22"/>
              </w:rPr>
              <w:t xml:space="preserve">Journey 3 (Thermal Zone Filter): </w:t>
            </w:r>
            <w:r>
              <w:rPr>
                <w:rFonts w:ascii="Calibri" w:hAnsi="Calibri"/>
                <w:sz w:val="22"/>
              </w:rPr>
              <w:t>User navigates to /slots, clicks the 'Deep Freeze' filter button, and asserts that the URL updates to ?zone=DEEP_FREEZE and only certified deep freeze chambers (CH-DF1) are visible in the DOM.</w:t>
            </w:r>
          </w:p>
          <w:p>
            <w:pPr>
              <w:spacing w:before="20" w:after="40" w:line="276" w:lineRule="auto"/>
              <w:ind w:left="360"/>
            </w:pPr>
            <w:r>
              <w:rPr>
                <w:rFonts w:ascii="Calibri" w:hAnsi="Calibri"/>
                <w:b/>
                <w:sz w:val="22"/>
              </w:rPr>
              <w:t xml:space="preserve">• </w:t>
            </w:r>
            <w:r>
              <w:rPr>
                <w:rFonts w:ascii="Calibri" w:hAnsi="Calibri"/>
                <w:b/>
                <w:sz w:val="22"/>
              </w:rPr>
              <w:t xml:space="preserve">Journey 4 (Manager Status Action): </w:t>
            </w:r>
            <w:r>
              <w:rPr>
                <w:rFonts w:ascii="Calibri" w:hAnsi="Calibri"/>
                <w:sz w:val="22"/>
              </w:rPr>
              <w:t>Warehouse manager inspects the bookings management directory on /bookings, asserts table presence, and verifies that PENDING and CONFIRMED lifecycle status badges are accurately rendered.</w:t>
            </w:r>
          </w:p>
          <w:p>
            <w:pPr>
              <w:keepNext/>
              <w:spacing w:before="120" w:after="40"/>
              <w:jc w:val="center"/>
            </w:pPr>
            <w:r>
              <w:drawing>
                <wp:inline xmlns:a="http://schemas.openxmlformats.org/drawingml/2006/main" xmlns:pic="http://schemas.openxmlformats.org/drawingml/2006/picture">
                  <wp:extent cx="4937760" cy="2522943"/>
                  <wp:docPr id="2" name="Picture 2"/>
                  <wp:cNvGraphicFramePr>
                    <a:graphicFrameLocks noChangeAspect="1"/>
                  </wp:cNvGraphicFramePr>
                  <a:graphic>
                    <a:graphicData uri="http://schemas.openxmlformats.org/drawingml/2006/picture">
                      <pic:pic>
                        <pic:nvPicPr>
                          <pic:cNvPr id="0" name="fig9_1_selenium_architecture.png"/>
                          <pic:cNvPicPr/>
                        </pic:nvPicPr>
                        <pic:blipFill>
                          <a:blip r:embed="rId23"/>
                          <a:stretch>
                            <a:fillRect/>
                          </a:stretch>
                        </pic:blipFill>
                        <pic:spPr>
                          <a:xfrm>
                            <a:off x="0" y="0"/>
                            <a:ext cx="4937760" cy="2522943"/>
                          </a:xfrm>
                          <a:prstGeom prst="rect"/>
                        </pic:spPr>
                      </pic:pic>
                    </a:graphicData>
                  </a:graphic>
                </wp:inline>
              </w:drawing>
            </w:r>
          </w:p>
          <w:p>
            <w:pPr>
              <w:keepNext/>
              <w:spacing w:before="40" w:after="160"/>
              <w:jc w:val="center"/>
            </w:pPr>
            <w:r>
              <w:rPr>
                <w:rFonts w:ascii="Calibri" w:hAnsi="Calibri"/>
                <w:b/>
                <w:sz w:val="20"/>
              </w:rPr>
              <w:t>Figure 9.1: Automated Selenium WebDriver Testing Architecture and Failure Screenshot Lifecycle</w:t>
            </w:r>
          </w:p>
          <w:p>
            <w:pPr>
              <w:keepNext/>
              <w:spacing w:before="120" w:after="40"/>
              <w:jc w:val="center"/>
            </w:pPr>
            <w:r>
              <w:drawing>
                <wp:inline xmlns:a="http://schemas.openxmlformats.org/drawingml/2006/main" xmlns:pic="http://schemas.openxmlformats.org/drawingml/2006/picture">
                  <wp:extent cx="4937760" cy="2516383"/>
                  <wp:docPr id="3" name="Picture 3"/>
                  <wp:cNvGraphicFramePr>
                    <a:graphicFrameLocks noChangeAspect="1"/>
                  </wp:cNvGraphicFramePr>
                  <a:graphic>
                    <a:graphicData uri="http://schemas.openxmlformats.org/drawingml/2006/picture">
                      <pic:pic>
                        <pic:nvPicPr>
                          <pic:cNvPr id="0" name="fig9_2_user_journeys_flow.png"/>
                          <pic:cNvPicPr/>
                        </pic:nvPicPr>
                        <pic:blipFill>
                          <a:blip r:embed="rId24"/>
                          <a:stretch>
                            <a:fillRect/>
                          </a:stretch>
                        </pic:blipFill>
                        <pic:spPr>
                          <a:xfrm>
                            <a:off x="0" y="0"/>
                            <a:ext cx="4937760" cy="2516383"/>
                          </a:xfrm>
                          <a:prstGeom prst="rect"/>
                        </pic:spPr>
                      </pic:pic>
                    </a:graphicData>
                  </a:graphic>
                </wp:inline>
              </w:drawing>
            </w:r>
          </w:p>
          <w:p>
            <w:pPr>
              <w:keepNext/>
              <w:spacing w:before="40" w:after="160"/>
              <w:jc w:val="center"/>
            </w:pPr>
            <w:r>
              <w:rPr>
                <w:rFonts w:ascii="Calibri" w:hAnsi="Calibri"/>
                <w:b/>
                <w:sz w:val="20"/>
              </w:rPr>
              <w:t>Figure 9.2: Four Critical End-to-End User Journeys and Quality Assertion Gates</w:t>
            </w:r>
          </w:p>
          <w:p>
            <w:pPr>
              <w:keepNext/>
              <w:spacing w:before="160" w:after="60" w:line="276" w:lineRule="auto"/>
            </w:pPr>
            <w:r>
              <w:rPr>
                <w:rFonts w:ascii="Calibri" w:hAnsi="Calibri"/>
                <w:b/>
                <w:sz w:val="24"/>
              </w:rPr>
              <w:t>3. Test Plan and Test Data Matrix</w:t>
            </w:r>
          </w:p>
          <w:p>
            <w:pPr>
              <w:spacing w:before="20" w:after="60" w:line="276" w:lineRule="auto"/>
            </w:pPr>
            <w:r>
              <w:rPr>
                <w:rFonts w:ascii="Calibri" w:hAnsi="Calibri"/>
                <w:sz w:val="22"/>
              </w:rPr>
              <w:t>Table 9.1 summarizes the formal test plan, input test vectors, expected outcomes, and assertion mechanisms: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800" w:type="dxa"/>
                  <w:shd w:fill="EAECEE"/>
                </w:tcPr>
                <w:p>
                  <w:pPr>
                    <w:spacing w:before="40" w:after="40" w:line="276" w:lineRule="auto"/>
                    <w:jc w:val="left"/>
                  </w:pPr>
                  <w:r>
                    <w:rPr>
                      <w:rFonts w:ascii="Calibri" w:hAnsi="Calibri"/>
                      <w:b/>
                      <w:sz w:val="19"/>
                    </w:rPr>
                    <w:t>TC ID</w:t>
                  </w:r>
                </w:p>
              </w:tc>
              <w:tc>
                <w:tcPr>
                  <w:tcW w:w="1600" w:type="dxa"/>
                  <w:shd w:fill="EAECEE"/>
                </w:tcPr>
                <w:p>
                  <w:pPr>
                    <w:spacing w:before="40" w:after="40" w:line="276" w:lineRule="auto"/>
                    <w:jc w:val="left"/>
                  </w:pPr>
                  <w:r>
                    <w:rPr>
                      <w:rFonts w:ascii="Calibri" w:hAnsi="Calibri"/>
                      <w:b/>
                      <w:sz w:val="19"/>
                    </w:rPr>
                    <w:t>Target Journey</w:t>
                  </w:r>
                </w:p>
              </w:tc>
              <w:tc>
                <w:tcPr>
                  <w:tcW w:w="2500" w:type="dxa"/>
                  <w:shd w:fill="EAECEE"/>
                </w:tcPr>
                <w:p>
                  <w:pPr>
                    <w:spacing w:before="40" w:after="40" w:line="276" w:lineRule="auto"/>
                    <w:jc w:val="left"/>
                  </w:pPr>
                  <w:r>
                    <w:rPr>
                      <w:rFonts w:ascii="Calibri" w:hAnsi="Calibri"/>
                      <w:b/>
                      <w:sz w:val="19"/>
                    </w:rPr>
                    <w:t>Input Test Data</w:t>
                  </w:r>
                </w:p>
              </w:tc>
              <w:tc>
                <w:tcPr>
                  <w:tcW w:w="1800" w:type="dxa"/>
                  <w:shd w:fill="EAECEE"/>
                </w:tcPr>
                <w:p>
                  <w:pPr>
                    <w:spacing w:before="40" w:after="40" w:line="276" w:lineRule="auto"/>
                    <w:jc w:val="left"/>
                  </w:pPr>
                  <w:r>
                    <w:rPr>
                      <w:rFonts w:ascii="Calibri" w:hAnsi="Calibri"/>
                      <w:b/>
                      <w:sz w:val="19"/>
                    </w:rPr>
                    <w:t>Expected Output / Assertion</w:t>
                  </w:r>
                </w:p>
              </w:tc>
              <w:tc>
                <w:tcPr>
                  <w:tcW w:w="1200" w:type="dxa"/>
                  <w:shd w:fill="EAECEE"/>
                </w:tcPr>
                <w:p>
                  <w:pPr>
                    <w:spacing w:before="40" w:after="40" w:line="276" w:lineRule="auto"/>
                    <w:jc w:val="left"/>
                  </w:pPr>
                  <w:r>
                    <w:rPr>
                      <w:rFonts w:ascii="Calibri" w:hAnsi="Calibri"/>
                      <w:b/>
                      <w:sz w:val="19"/>
                    </w:rPr>
                    <w:t>Result</w:t>
                  </w:r>
                </w:p>
              </w:tc>
            </w:tr>
            <w:tr>
              <w:trPr>
                <w:cantSplit/>
              </w:trPr>
              <w:tc>
                <w:tcPr>
                  <w:tcW w:w="800" w:type="dxa"/>
                </w:tcPr>
                <w:p>
                  <w:pPr>
                    <w:spacing w:before="40" w:after="40" w:line="276" w:lineRule="auto"/>
                    <w:jc w:val="left"/>
                  </w:pPr>
                  <w:r>
                    <w:rPr>
                      <w:rFonts w:ascii="Calibri" w:hAnsi="Calibri"/>
                      <w:b w:val="0"/>
                      <w:sz w:val="17"/>
                    </w:rPr>
                    <w:t>TC-01</w:t>
                  </w:r>
                </w:p>
              </w:tc>
              <w:tc>
                <w:tcPr>
                  <w:tcW w:w="1600" w:type="dxa"/>
                </w:tcPr>
                <w:p>
                  <w:pPr>
                    <w:spacing w:before="40" w:after="40" w:line="276" w:lineRule="auto"/>
                    <w:jc w:val="left"/>
                  </w:pPr>
                  <w:r>
                    <w:rPr>
                      <w:rFonts w:ascii="Calibri" w:hAnsi="Calibri"/>
                      <w:b w:val="0"/>
                      <w:sz w:val="17"/>
                    </w:rPr>
                    <w:t>Farmer Reservation</w:t>
                  </w:r>
                </w:p>
              </w:tc>
              <w:tc>
                <w:tcPr>
                  <w:tcW w:w="2500" w:type="dxa"/>
                </w:tcPr>
                <w:p>
                  <w:pPr>
                    <w:spacing w:before="40" w:after="40" w:line="276" w:lineRule="auto"/>
                    <w:jc w:val="left"/>
                  </w:pPr>
                  <w:r>
                    <w:rPr>
                      <w:rFonts w:ascii="Calibri" w:hAnsi="Calibri"/>
                      <w:b w:val="0"/>
                      <w:sz w:val="17"/>
                    </w:rPr>
                    <w:t>Farmer: Suresh Deshmukh, Ph: 9890123456, Chamber: CH-CH1, Commodity: Apples, Crates: 30, Days: 14</w:t>
                  </w:r>
                </w:p>
              </w:tc>
              <w:tc>
                <w:tcPr>
                  <w:tcW w:w="1800" w:type="dxa"/>
                </w:tcPr>
                <w:p>
                  <w:pPr>
                    <w:spacing w:before="40" w:after="40" w:line="276" w:lineRule="auto"/>
                    <w:jc w:val="left"/>
                  </w:pPr>
                  <w:r>
                    <w:rPr>
                      <w:rFonts w:ascii="Calibri" w:hAnsi="Calibri"/>
                      <w:b w:val="0"/>
                      <w:sz w:val="17"/>
                    </w:rPr>
                    <w:t>URL contains /bookings; success-alert element contains 'Slot reserved successfully'</w:t>
                  </w:r>
                </w:p>
              </w:tc>
              <w:tc>
                <w:tcPr>
                  <w:tcW w:w="1200" w:type="dxa"/>
                </w:tcPr>
                <w:p>
                  <w:pPr>
                    <w:spacing w:before="40" w:after="40" w:line="276" w:lineRule="auto"/>
                    <w:jc w:val="left"/>
                  </w:pPr>
                  <w:r>
                    <w:rPr>
                      <w:rFonts w:ascii="Calibri" w:hAnsi="Calibri"/>
                      <w:b w:val="0"/>
                      <w:sz w:val="17"/>
                    </w:rPr>
                    <w:t>PASSED</w:t>
                  </w:r>
                </w:p>
              </w:tc>
            </w:tr>
            <w:tr>
              <w:trPr>
                <w:cantSplit/>
              </w:trPr>
              <w:tc>
                <w:tcPr>
                  <w:tcW w:w="800" w:type="dxa"/>
                </w:tcPr>
                <w:p>
                  <w:pPr>
                    <w:spacing w:before="40" w:after="40" w:line="276" w:lineRule="auto"/>
                    <w:jc w:val="left"/>
                  </w:pPr>
                  <w:r>
                    <w:rPr>
                      <w:rFonts w:ascii="Calibri" w:hAnsi="Calibri"/>
                      <w:b w:val="0"/>
                      <w:sz w:val="17"/>
                    </w:rPr>
                    <w:t>TC-02</w:t>
                  </w:r>
                </w:p>
              </w:tc>
              <w:tc>
                <w:tcPr>
                  <w:tcW w:w="1600" w:type="dxa"/>
                </w:tcPr>
                <w:p>
                  <w:pPr>
                    <w:spacing w:before="40" w:after="40" w:line="276" w:lineRule="auto"/>
                    <w:jc w:val="left"/>
                  </w:pPr>
                  <w:r>
                    <w:rPr>
                      <w:rFonts w:ascii="Calibri" w:hAnsi="Calibri"/>
                      <w:b w:val="0"/>
                      <w:sz w:val="17"/>
                    </w:rPr>
                    <w:t>Validation Guard</w:t>
                  </w:r>
                </w:p>
              </w:tc>
              <w:tc>
                <w:tcPr>
                  <w:tcW w:w="2500" w:type="dxa"/>
                </w:tcPr>
                <w:p>
                  <w:pPr>
                    <w:spacing w:before="40" w:after="40" w:line="276" w:lineRule="auto"/>
                    <w:jc w:val="left"/>
                  </w:pPr>
                  <w:r>
                    <w:rPr>
                      <w:rFonts w:ascii="Calibri" w:hAnsi="Calibri"/>
                      <w:b w:val="0"/>
                      <w:sz w:val="17"/>
                    </w:rPr>
                    <w:t>Farmer: Invalid Tester, Chamber: CH-DF1, Commodity: Seafood, Crates: 650 (&gt;500 limit)</w:t>
                  </w:r>
                </w:p>
              </w:tc>
              <w:tc>
                <w:tcPr>
                  <w:tcW w:w="1800" w:type="dxa"/>
                </w:tcPr>
                <w:p>
                  <w:pPr>
                    <w:spacing w:before="40" w:after="40" w:line="276" w:lineRule="auto"/>
                    <w:jc w:val="left"/>
                  </w:pPr>
                  <w:r>
                    <w:rPr>
                      <w:rFonts w:ascii="Calibri" w:hAnsi="Calibri"/>
                      <w:b w:val="0"/>
                      <w:sz w:val="17"/>
                    </w:rPr>
                    <w:t>URL stays on /bookings/new; form submission rejected by validation guard</w:t>
                  </w:r>
                </w:p>
              </w:tc>
              <w:tc>
                <w:tcPr>
                  <w:tcW w:w="1200" w:type="dxa"/>
                </w:tcPr>
                <w:p>
                  <w:pPr>
                    <w:spacing w:before="40" w:after="40" w:line="276" w:lineRule="auto"/>
                    <w:jc w:val="left"/>
                  </w:pPr>
                  <w:r>
                    <w:rPr>
                      <w:rFonts w:ascii="Calibri" w:hAnsi="Calibri"/>
                      <w:b w:val="0"/>
                      <w:sz w:val="17"/>
                    </w:rPr>
                    <w:t>PASSED</w:t>
                  </w:r>
                </w:p>
              </w:tc>
            </w:tr>
            <w:tr>
              <w:trPr>
                <w:cantSplit/>
              </w:trPr>
              <w:tc>
                <w:tcPr>
                  <w:tcW w:w="800" w:type="dxa"/>
                </w:tcPr>
                <w:p>
                  <w:pPr>
                    <w:spacing w:before="40" w:after="40" w:line="276" w:lineRule="auto"/>
                    <w:jc w:val="left"/>
                  </w:pPr>
                  <w:r>
                    <w:rPr>
                      <w:rFonts w:ascii="Calibri" w:hAnsi="Calibri"/>
                      <w:b w:val="0"/>
                      <w:sz w:val="17"/>
                    </w:rPr>
                    <w:t>TC-03</w:t>
                  </w:r>
                </w:p>
              </w:tc>
              <w:tc>
                <w:tcPr>
                  <w:tcW w:w="1600" w:type="dxa"/>
                </w:tcPr>
                <w:p>
                  <w:pPr>
                    <w:spacing w:before="40" w:after="40" w:line="276" w:lineRule="auto"/>
                    <w:jc w:val="left"/>
                  </w:pPr>
                  <w:r>
                    <w:rPr>
                      <w:rFonts w:ascii="Calibri" w:hAnsi="Calibri"/>
                      <w:b w:val="0"/>
                      <w:sz w:val="17"/>
                    </w:rPr>
                    <w:t>Thermal Zone Filter</w:t>
                  </w:r>
                </w:p>
              </w:tc>
              <w:tc>
                <w:tcPr>
                  <w:tcW w:w="2500" w:type="dxa"/>
                </w:tcPr>
                <w:p>
                  <w:pPr>
                    <w:spacing w:before="40" w:after="40" w:line="276" w:lineRule="auto"/>
                    <w:jc w:val="left"/>
                  </w:pPr>
                  <w:r>
                    <w:rPr>
                      <w:rFonts w:ascii="Calibri" w:hAnsi="Calibri"/>
                      <w:b w:val="0"/>
                      <w:sz w:val="17"/>
                    </w:rPr>
                    <w:t>Target Zone: DEEP_FREEZE (-25°C to -18°C)</w:t>
                  </w:r>
                </w:p>
              </w:tc>
              <w:tc>
                <w:tcPr>
                  <w:tcW w:w="1800" w:type="dxa"/>
                </w:tcPr>
                <w:p>
                  <w:pPr>
                    <w:spacing w:before="40" w:after="40" w:line="276" w:lineRule="auto"/>
                    <w:jc w:val="left"/>
                  </w:pPr>
                  <w:r>
                    <w:rPr>
                      <w:rFonts w:ascii="Calibri" w:hAnsi="Calibri"/>
                      <w:b w:val="0"/>
                      <w:sz w:val="17"/>
                    </w:rPr>
                    <w:t>URL contains zone=DEEP_FREEZE; filter-deep-freeze button has active class; CH-DF1 visible</w:t>
                  </w:r>
                </w:p>
              </w:tc>
              <w:tc>
                <w:tcPr>
                  <w:tcW w:w="1200" w:type="dxa"/>
                </w:tcPr>
                <w:p>
                  <w:pPr>
                    <w:spacing w:before="40" w:after="40" w:line="276" w:lineRule="auto"/>
                    <w:jc w:val="left"/>
                  </w:pPr>
                  <w:r>
                    <w:rPr>
                      <w:rFonts w:ascii="Calibri" w:hAnsi="Calibri"/>
                      <w:b w:val="0"/>
                      <w:sz w:val="17"/>
                    </w:rPr>
                    <w:t>PASSED</w:t>
                  </w:r>
                </w:p>
              </w:tc>
            </w:tr>
            <w:tr>
              <w:trPr>
                <w:cantSplit/>
              </w:trPr>
              <w:tc>
                <w:tcPr>
                  <w:tcW w:w="800" w:type="dxa"/>
                </w:tcPr>
                <w:p>
                  <w:pPr>
                    <w:spacing w:before="40" w:after="40" w:line="276" w:lineRule="auto"/>
                    <w:jc w:val="left"/>
                  </w:pPr>
                  <w:r>
                    <w:rPr>
                      <w:rFonts w:ascii="Calibri" w:hAnsi="Calibri"/>
                      <w:b w:val="0"/>
                      <w:sz w:val="17"/>
                    </w:rPr>
                    <w:t>TC-04</w:t>
                  </w:r>
                </w:p>
              </w:tc>
              <w:tc>
                <w:tcPr>
                  <w:tcW w:w="1600" w:type="dxa"/>
                </w:tcPr>
                <w:p>
                  <w:pPr>
                    <w:spacing w:before="40" w:after="40" w:line="276" w:lineRule="auto"/>
                    <w:jc w:val="left"/>
                  </w:pPr>
                  <w:r>
                    <w:rPr>
                      <w:rFonts w:ascii="Calibri" w:hAnsi="Calibri"/>
                      <w:b w:val="0"/>
                      <w:sz w:val="17"/>
                    </w:rPr>
                    <w:t>Manager Status</w:t>
                  </w:r>
                </w:p>
              </w:tc>
              <w:tc>
                <w:tcPr>
                  <w:tcW w:w="2500" w:type="dxa"/>
                </w:tcPr>
                <w:p>
                  <w:pPr>
                    <w:spacing w:before="40" w:after="40" w:line="276" w:lineRule="auto"/>
                    <w:jc w:val="left"/>
                  </w:pPr>
                  <w:r>
                    <w:rPr>
                      <w:rFonts w:ascii="Calibri" w:hAnsi="Calibri"/>
                      <w:b w:val="0"/>
                      <w:sz w:val="17"/>
                    </w:rPr>
                    <w:t>Inspect /bookings directory table</w:t>
                  </w:r>
                </w:p>
              </w:tc>
              <w:tc>
                <w:tcPr>
                  <w:tcW w:w="1800" w:type="dxa"/>
                </w:tcPr>
                <w:p>
                  <w:pPr>
                    <w:spacing w:before="40" w:after="40" w:line="276" w:lineRule="auto"/>
                    <w:jc w:val="left"/>
                  </w:pPr>
                  <w:r>
                    <w:rPr>
                      <w:rFonts w:ascii="Calibri" w:hAnsi="Calibri"/>
                      <w:b w:val="0"/>
                      <w:sz w:val="17"/>
                    </w:rPr>
                    <w:t>bookings-management-table is displayed; status badges rendered with correct CSS classes</w:t>
                  </w:r>
                </w:p>
              </w:tc>
              <w:tc>
                <w:tcPr>
                  <w:tcW w:w="1200" w:type="dxa"/>
                </w:tcPr>
                <w:p>
                  <w:pPr>
                    <w:spacing w:before="40" w:after="40" w:line="276" w:lineRule="auto"/>
                    <w:jc w:val="left"/>
                  </w:pPr>
                  <w:r>
                    <w:rPr>
                      <w:rFonts w:ascii="Calibri" w:hAnsi="Calibri"/>
                      <w:b w:val="0"/>
                      <w:sz w:val="17"/>
                    </w:rPr>
                    <w:t>PASSED</w:t>
                  </w:r>
                </w:p>
              </w:tc>
            </w:tr>
          </w:tbl>
          <w:p/>
          <w:p>
            <w:pPr>
              <w:keepNext/>
              <w:spacing w:before="160" w:after="60" w:line="276" w:lineRule="auto"/>
            </w:pPr>
            <w:r>
              <w:rPr>
                <w:rFonts w:ascii="Calibri" w:hAnsi="Calibri"/>
                <w:b/>
                <w:sz w:val="24"/>
              </w:rPr>
              <w:t>4. Failure Screenshot Mechanism Implementation &amp; Verification</w:t>
            </w:r>
          </w:p>
          <w:p>
            <w:pPr>
              <w:spacing w:before="20" w:after="60" w:line="276" w:lineRule="auto"/>
            </w:pPr>
            <w:r>
              <w:rPr>
                <w:rFonts w:ascii="Calibri" w:hAnsi="Calibri"/>
                <w:sz w:val="22"/>
              </w:rPr>
              <w:t>To satisfy the academic and DevOps failure-audit requirement, I implemented the takeFailureScreenshot(String testName) hook. Whenever any assertion throws a Throwable exception, the hook casts the active WebDriver instance to TakesScreenshot, extracts the browser viewport as a temporary file, and writes a timestamped PNG into 'screenshots/failures/'.</w:t>
            </w:r>
          </w:p>
          <w:p>
            <w:pPr>
              <w:spacing w:before="20" w:after="60" w:line="276" w:lineRule="auto"/>
            </w:pPr>
            <w:r>
              <w:rPr>
                <w:rFonts w:ascii="Calibri" w:hAnsi="Calibri"/>
                <w:sz w:val="22"/>
              </w:rPr>
              <w:t>Figure 9.4 illustrates the concrete evidence captured by this mechanism when an intentional validation timeout was evaluated, proving that the failure capture pipeline functions deterministically without breaking the test runner:</w:t>
            </w:r>
          </w:p>
          <w:p>
            <w:pPr>
              <w:keepNext/>
              <w:spacing w:before="120" w:after="40"/>
              <w:jc w:val="center"/>
            </w:pPr>
            <w:r>
              <w:drawing>
                <wp:inline xmlns:a="http://schemas.openxmlformats.org/drawingml/2006/main" xmlns:pic="http://schemas.openxmlformats.org/drawingml/2006/picture">
                  <wp:extent cx="4937760" cy="2598614"/>
                  <wp:docPr id="4" name="Picture 4"/>
                  <wp:cNvGraphicFramePr>
                    <a:graphicFrameLocks noChangeAspect="1"/>
                  </wp:cNvGraphicFramePr>
                  <a:graphic>
                    <a:graphicData uri="http://schemas.openxmlformats.org/drawingml/2006/picture">
                      <pic:pic>
                        <pic:nvPicPr>
                          <pic:cNvPr id="0" name="fig9_4_failure_screenshot.png"/>
                          <pic:cNvPicPr/>
                        </pic:nvPicPr>
                        <pic:blipFill>
                          <a:blip r:embed="rId25"/>
                          <a:stretch>
                            <a:fillRect/>
                          </a:stretch>
                        </pic:blipFill>
                        <pic:spPr>
                          <a:xfrm>
                            <a:off x="0" y="0"/>
                            <a:ext cx="4937760" cy="2598614"/>
                          </a:xfrm>
                          <a:prstGeom prst="rect"/>
                        </pic:spPr>
                      </pic:pic>
                    </a:graphicData>
                  </a:graphic>
                </wp:inline>
              </w:drawing>
            </w:r>
          </w:p>
          <w:p>
            <w:pPr>
              <w:keepNext/>
              <w:spacing w:before="40" w:after="160"/>
              <w:jc w:val="center"/>
            </w:pPr>
            <w:r>
              <w:rPr>
                <w:rFonts w:ascii="Calibri" w:hAnsi="Calibri"/>
                <w:b/>
                <w:sz w:val="20"/>
              </w:rPr>
              <w:t>Figure 9.4: Concrete Verification Evidence Captured by Automated Failure Screenshot Hook</w:t>
            </w:r>
          </w:p>
          <w:p>
            <w:pPr>
              <w:keepNext/>
              <w:spacing w:before="160" w:after="60" w:line="276" w:lineRule="auto"/>
            </w:pPr>
            <w:r>
              <w:rPr>
                <w:rFonts w:ascii="Calibri" w:hAnsi="Calibri"/>
                <w:b/>
                <w:sz w:val="24"/>
              </w:rPr>
              <w:t>5. Local Maven Test Execution Report &amp; Telemetry</w:t>
            </w:r>
          </w:p>
          <w:p>
            <w:pPr>
              <w:spacing w:before="20" w:after="60" w:line="276" w:lineRule="auto"/>
            </w:pPr>
            <w:r>
              <w:rPr>
                <w:rFonts w:ascii="Calibri" w:hAnsi="Calibri"/>
                <w:sz w:val="22"/>
              </w:rPr>
              <w:t>The complete test suite was executed locally via Maven Surefire: 'mvn test -Dtest=ColdStorageSeleniumTest'. The test suite spun up an ephemeral Spring Boot instance on dynamic port 55844, launched headless Edge, executed all four journeys, and completed with zero errors in 7.901 seconds. Table 9.2 documents the execution telemetry: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Test Suite Metric</w:t>
                  </w:r>
                </w:p>
              </w:tc>
              <w:tc>
                <w:tcPr>
                  <w:tcW w:w="2200" w:type="dxa"/>
                  <w:shd w:fill="EAECEE"/>
                </w:tcPr>
                <w:p>
                  <w:pPr>
                    <w:spacing w:before="40" w:after="40" w:line="276" w:lineRule="auto"/>
                    <w:jc w:val="left"/>
                  </w:pPr>
                  <w:r>
                    <w:rPr>
                      <w:rFonts w:ascii="Calibri" w:hAnsi="Calibri"/>
                      <w:b/>
                      <w:sz w:val="19"/>
                    </w:rPr>
                    <w:t>Observed Measurement</w:t>
                  </w:r>
                </w:p>
              </w:tc>
              <w:tc>
                <w:tcPr>
                  <w:tcW w:w="2500" w:type="dxa"/>
                  <w:shd w:fill="EAECEE"/>
                </w:tcPr>
                <w:p>
                  <w:pPr>
                    <w:spacing w:before="40" w:after="40" w:line="276" w:lineRule="auto"/>
                    <w:jc w:val="left"/>
                  </w:pPr>
                  <w:r>
                    <w:rPr>
                      <w:rFonts w:ascii="Calibri" w:hAnsi="Calibri"/>
                      <w:b/>
                      <w:sz w:val="19"/>
                    </w:rPr>
                    <w:t>Acceptance Benchmark</w:t>
                  </w:r>
                </w:p>
              </w:tc>
              <w:tc>
                <w:tcPr>
                  <w:tcW w:w="1800" w:type="dxa"/>
                  <w:shd w:fill="EAECEE"/>
                </w:tcPr>
                <w:p>
                  <w:pPr>
                    <w:spacing w:before="40" w:after="40" w:line="276" w:lineRule="auto"/>
                    <w:jc w:val="left"/>
                  </w:pPr>
                  <w:r>
                    <w:rPr>
                      <w:rFonts w:ascii="Calibri" w:hAnsi="Calibri"/>
                      <w:b/>
                      <w:sz w:val="19"/>
                    </w:rPr>
                    <w:t>Evaluation Verdict</w:t>
                  </w:r>
                </w:p>
              </w:tc>
            </w:tr>
            <w:tr>
              <w:trPr>
                <w:cantSplit/>
              </w:trPr>
              <w:tc>
                <w:tcPr>
                  <w:tcW w:w="1400" w:type="dxa"/>
                </w:tcPr>
                <w:p>
                  <w:pPr>
                    <w:spacing w:before="40" w:after="40" w:line="276" w:lineRule="auto"/>
                    <w:jc w:val="left"/>
                  </w:pPr>
                  <w:r>
                    <w:rPr>
                      <w:rFonts w:ascii="Calibri" w:hAnsi="Calibri"/>
                      <w:b w:val="0"/>
                      <w:sz w:val="17"/>
                    </w:rPr>
                    <w:t>Total Tests Executed</w:t>
                  </w:r>
                </w:p>
              </w:tc>
              <w:tc>
                <w:tcPr>
                  <w:tcW w:w="2200" w:type="dxa"/>
                </w:tcPr>
                <w:p>
                  <w:pPr>
                    <w:spacing w:before="40" w:after="40" w:line="276" w:lineRule="auto"/>
                    <w:jc w:val="left"/>
                  </w:pPr>
                  <w:r>
                    <w:rPr>
                      <w:rFonts w:ascii="Calibri" w:hAnsi="Calibri"/>
                      <w:b w:val="0"/>
                      <w:sz w:val="17"/>
                    </w:rPr>
                    <w:t>4 test journeys</w:t>
                  </w:r>
                </w:p>
              </w:tc>
              <w:tc>
                <w:tcPr>
                  <w:tcW w:w="2500" w:type="dxa"/>
                </w:tcPr>
                <w:p>
                  <w:pPr>
                    <w:spacing w:before="40" w:after="40" w:line="276" w:lineRule="auto"/>
                    <w:jc w:val="left"/>
                  </w:pPr>
                  <w:r>
                    <w:rPr>
                      <w:rFonts w:ascii="Calibri" w:hAnsi="Calibri"/>
                      <w:b w:val="0"/>
                      <w:sz w:val="17"/>
                    </w:rPr>
                    <w:t>4 tests specified</w:t>
                  </w:r>
                </w:p>
              </w:tc>
              <w:tc>
                <w:tcPr>
                  <w:tcW w:w="1800" w:type="dxa"/>
                </w:tcPr>
                <w:p>
                  <w:pPr>
                    <w:spacing w:before="40" w:after="40" w:line="276" w:lineRule="auto"/>
                    <w:jc w:val="left"/>
                  </w:pPr>
                  <w:r>
                    <w:rPr>
                      <w:rFonts w:ascii="Calibri" w:hAnsi="Calibri"/>
                      <w:b w:val="0"/>
                      <w:sz w:val="17"/>
                    </w:rPr>
                    <w:t>100% EXECUTED</w:t>
                  </w:r>
                </w:p>
              </w:tc>
            </w:tr>
            <w:tr>
              <w:trPr>
                <w:cantSplit/>
              </w:trPr>
              <w:tc>
                <w:tcPr>
                  <w:tcW w:w="1400" w:type="dxa"/>
                </w:tcPr>
                <w:p>
                  <w:pPr>
                    <w:spacing w:before="40" w:after="40" w:line="276" w:lineRule="auto"/>
                    <w:jc w:val="left"/>
                  </w:pPr>
                  <w:r>
                    <w:rPr>
                      <w:rFonts w:ascii="Calibri" w:hAnsi="Calibri"/>
                      <w:b w:val="0"/>
                      <w:sz w:val="17"/>
                    </w:rPr>
                    <w:t>Pass / Failure Count</w:t>
                  </w:r>
                </w:p>
              </w:tc>
              <w:tc>
                <w:tcPr>
                  <w:tcW w:w="2200" w:type="dxa"/>
                </w:tcPr>
                <w:p>
                  <w:pPr>
                    <w:spacing w:before="40" w:after="40" w:line="276" w:lineRule="auto"/>
                    <w:jc w:val="left"/>
                  </w:pPr>
                  <w:r>
                    <w:rPr>
                      <w:rFonts w:ascii="Calibri" w:hAnsi="Calibri"/>
                      <w:b w:val="0"/>
                      <w:sz w:val="17"/>
                    </w:rPr>
                    <w:t>4 Passed, 0 Failures, 0 Errors</w:t>
                  </w:r>
                </w:p>
              </w:tc>
              <w:tc>
                <w:tcPr>
                  <w:tcW w:w="2500" w:type="dxa"/>
                </w:tcPr>
                <w:p>
                  <w:pPr>
                    <w:spacing w:before="40" w:after="40" w:line="276" w:lineRule="auto"/>
                    <w:jc w:val="left"/>
                  </w:pPr>
                  <w:r>
                    <w:rPr>
                      <w:rFonts w:ascii="Calibri" w:hAnsi="Calibri"/>
                      <w:b w:val="0"/>
                      <w:sz w:val="17"/>
                    </w:rPr>
                    <w:t>0 failures allowed</w:t>
                  </w:r>
                </w:p>
              </w:tc>
              <w:tc>
                <w:tcPr>
                  <w:tcW w:w="1800" w:type="dxa"/>
                </w:tcPr>
                <w:p>
                  <w:pPr>
                    <w:spacing w:before="40" w:after="40" w:line="276" w:lineRule="auto"/>
                    <w:jc w:val="left"/>
                  </w:pPr>
                  <w:r>
                    <w:rPr>
                      <w:rFonts w:ascii="Calibri" w:hAnsi="Calibri"/>
                      <w:b w:val="0"/>
                      <w:sz w:val="17"/>
                    </w:rPr>
                    <w:t>100% PASSED</w:t>
                  </w:r>
                </w:p>
              </w:tc>
            </w:tr>
            <w:tr>
              <w:trPr>
                <w:cantSplit/>
              </w:trPr>
              <w:tc>
                <w:tcPr>
                  <w:tcW w:w="1400" w:type="dxa"/>
                </w:tcPr>
                <w:p>
                  <w:pPr>
                    <w:spacing w:before="40" w:after="40" w:line="276" w:lineRule="auto"/>
                    <w:jc w:val="left"/>
                  </w:pPr>
                  <w:r>
                    <w:rPr>
                      <w:rFonts w:ascii="Calibri" w:hAnsi="Calibri"/>
                      <w:b w:val="0"/>
                      <w:sz w:val="17"/>
                    </w:rPr>
                    <w:t>Total Elapsed Time</w:t>
                  </w:r>
                </w:p>
              </w:tc>
              <w:tc>
                <w:tcPr>
                  <w:tcW w:w="2200" w:type="dxa"/>
                </w:tcPr>
                <w:p>
                  <w:pPr>
                    <w:spacing w:before="40" w:after="40" w:line="276" w:lineRule="auto"/>
                    <w:jc w:val="left"/>
                  </w:pPr>
                  <w:r>
                    <w:rPr>
                      <w:rFonts w:ascii="Calibri" w:hAnsi="Calibri"/>
                      <w:b w:val="0"/>
                      <w:sz w:val="17"/>
                    </w:rPr>
                    <w:t>7.901 seconds</w:t>
                  </w:r>
                </w:p>
              </w:tc>
              <w:tc>
                <w:tcPr>
                  <w:tcW w:w="2500" w:type="dxa"/>
                </w:tcPr>
                <w:p>
                  <w:pPr>
                    <w:spacing w:before="40" w:after="40" w:line="276" w:lineRule="auto"/>
                    <w:jc w:val="left"/>
                  </w:pPr>
                  <w:r>
                    <w:rPr>
                      <w:rFonts w:ascii="Calibri" w:hAnsi="Calibri"/>
                      <w:b w:val="0"/>
                      <w:sz w:val="17"/>
                    </w:rPr>
                    <w:t>&lt; 30 seconds threshold</w:t>
                  </w:r>
                </w:p>
              </w:tc>
              <w:tc>
                <w:tcPr>
                  <w:tcW w:w="1800" w:type="dxa"/>
                </w:tcPr>
                <w:p>
                  <w:pPr>
                    <w:spacing w:before="40" w:after="40" w:line="276" w:lineRule="auto"/>
                    <w:jc w:val="left"/>
                  </w:pPr>
                  <w:r>
                    <w:rPr>
                      <w:rFonts w:ascii="Calibri" w:hAnsi="Calibri"/>
                      <w:b w:val="0"/>
                      <w:sz w:val="17"/>
                    </w:rPr>
                    <w:t>HIGH VELOCITY</w:t>
                  </w:r>
                </w:p>
              </w:tc>
            </w:tr>
            <w:tr>
              <w:trPr>
                <w:cantSplit/>
              </w:trPr>
              <w:tc>
                <w:tcPr>
                  <w:tcW w:w="1400" w:type="dxa"/>
                </w:tcPr>
                <w:p>
                  <w:pPr>
                    <w:spacing w:before="40" w:after="40" w:line="276" w:lineRule="auto"/>
                    <w:jc w:val="left"/>
                  </w:pPr>
                  <w:r>
                    <w:rPr>
                      <w:rFonts w:ascii="Calibri" w:hAnsi="Calibri"/>
                      <w:b w:val="0"/>
                      <w:sz w:val="17"/>
                    </w:rPr>
                    <w:t>Browser Driver Mode</w:t>
                  </w:r>
                </w:p>
              </w:tc>
              <w:tc>
                <w:tcPr>
                  <w:tcW w:w="2200" w:type="dxa"/>
                </w:tcPr>
                <w:p>
                  <w:pPr>
                    <w:spacing w:before="40" w:after="40" w:line="276" w:lineRule="auto"/>
                    <w:jc w:val="left"/>
                  </w:pPr>
                  <w:r>
                    <w:rPr>
                      <w:rFonts w:ascii="Calibri" w:hAnsi="Calibri"/>
                      <w:b w:val="0"/>
                      <w:sz w:val="17"/>
                    </w:rPr>
                    <w:t>Headless Microsoft Edge (1280x800)</w:t>
                  </w:r>
                </w:p>
              </w:tc>
              <w:tc>
                <w:tcPr>
                  <w:tcW w:w="2500" w:type="dxa"/>
                </w:tcPr>
                <w:p>
                  <w:pPr>
                    <w:spacing w:before="40" w:after="40" w:line="276" w:lineRule="auto"/>
                    <w:jc w:val="left"/>
                  </w:pPr>
                  <w:r>
                    <w:rPr>
                      <w:rFonts w:ascii="Calibri" w:hAnsi="Calibri"/>
                      <w:b w:val="0"/>
                      <w:sz w:val="17"/>
                    </w:rPr>
                    <w:t>CI Headless Compatible</w:t>
                  </w:r>
                </w:p>
              </w:tc>
              <w:tc>
                <w:tcPr>
                  <w:tcW w:w="1800" w:type="dxa"/>
                </w:tcPr>
                <w:p>
                  <w:pPr>
                    <w:spacing w:before="40" w:after="40" w:line="276" w:lineRule="auto"/>
                    <w:jc w:val="left"/>
                  </w:pPr>
                  <w:r>
                    <w:rPr>
                      <w:rFonts w:ascii="Calibri" w:hAnsi="Calibri"/>
                      <w:b w:val="0"/>
                      <w:sz w:val="17"/>
                    </w:rPr>
                    <w:t>VERIFIED</w:t>
                  </w:r>
                </w:p>
              </w:tc>
            </w:tr>
            <w:tr>
              <w:trPr>
                <w:cantSplit/>
              </w:trPr>
              <w:tc>
                <w:tcPr>
                  <w:tcW w:w="1400" w:type="dxa"/>
                </w:tcPr>
                <w:p>
                  <w:pPr>
                    <w:spacing w:before="40" w:after="40" w:line="276" w:lineRule="auto"/>
                    <w:jc w:val="left"/>
                  </w:pPr>
                  <w:r>
                    <w:rPr>
                      <w:rFonts w:ascii="Calibri" w:hAnsi="Calibri"/>
                      <w:b w:val="0"/>
                      <w:sz w:val="17"/>
                    </w:rPr>
                    <w:t>Surefire XML Report</w:t>
                  </w:r>
                </w:p>
              </w:tc>
              <w:tc>
                <w:tcPr>
                  <w:tcW w:w="2200" w:type="dxa"/>
                </w:tcPr>
                <w:p>
                  <w:pPr>
                    <w:spacing w:before="40" w:after="40" w:line="276" w:lineRule="auto"/>
                    <w:jc w:val="left"/>
                  </w:pPr>
                  <w:r>
                    <w:rPr>
                      <w:rFonts w:ascii="Calibri" w:hAnsi="Calibri"/>
                      <w:b w:val="0"/>
                      <w:sz w:val="17"/>
                    </w:rPr>
                    <w:t>target/surefire-reports/TEST-*.xml</w:t>
                  </w:r>
                </w:p>
              </w:tc>
              <w:tc>
                <w:tcPr>
                  <w:tcW w:w="2500" w:type="dxa"/>
                </w:tcPr>
                <w:p>
                  <w:pPr>
                    <w:spacing w:before="40" w:after="40" w:line="276" w:lineRule="auto"/>
                    <w:jc w:val="left"/>
                  </w:pPr>
                  <w:r>
                    <w:rPr>
                      <w:rFonts w:ascii="Calibri" w:hAnsi="Calibri"/>
                      <w:b w:val="0"/>
                      <w:sz w:val="17"/>
                    </w:rPr>
                    <w:t>JUnit XML standard</w:t>
                  </w:r>
                </w:p>
              </w:tc>
              <w:tc>
                <w:tcPr>
                  <w:tcW w:w="1800" w:type="dxa"/>
                </w:tcPr>
                <w:p>
                  <w:pPr>
                    <w:spacing w:before="40" w:after="40" w:line="276" w:lineRule="auto"/>
                    <w:jc w:val="left"/>
                  </w:pPr>
                  <w:r>
                    <w:rPr>
                      <w:rFonts w:ascii="Calibri" w:hAnsi="Calibri"/>
                      <w:b w:val="0"/>
                      <w:sz w:val="17"/>
                    </w:rPr>
                    <w:t>GENERATED</w:t>
                  </w:r>
                </w:p>
              </w:tc>
            </w:tr>
          </w:tbl>
          <w:p/>
          <w:p>
            <w:pPr>
              <w:keepNext/>
              <w:spacing w:before="120" w:after="40"/>
              <w:jc w:val="center"/>
            </w:pPr>
            <w:r>
              <w:drawing>
                <wp:inline xmlns:a="http://schemas.openxmlformats.org/drawingml/2006/main" xmlns:pic="http://schemas.openxmlformats.org/drawingml/2006/picture">
                  <wp:extent cx="4937760" cy="2344189"/>
                  <wp:docPr id="5" name="Picture 5"/>
                  <wp:cNvGraphicFramePr>
                    <a:graphicFrameLocks noChangeAspect="1"/>
                  </wp:cNvGraphicFramePr>
                  <a:graphic>
                    <a:graphicData uri="http://schemas.openxmlformats.org/drawingml/2006/picture">
                      <pic:pic>
                        <pic:nvPicPr>
                          <pic:cNvPr id="0" name="fig9_3_test_report_terminal.png"/>
                          <pic:cNvPicPr/>
                        </pic:nvPicPr>
                        <pic:blipFill>
                          <a:blip r:embed="rId26"/>
                          <a:stretch>
                            <a:fillRect/>
                          </a:stretch>
                        </pic:blipFill>
                        <pic:spPr>
                          <a:xfrm>
                            <a:off x="0" y="0"/>
                            <a:ext cx="4937760" cy="2344189"/>
                          </a:xfrm>
                          <a:prstGeom prst="rect"/>
                        </pic:spPr>
                      </pic:pic>
                    </a:graphicData>
                  </a:graphic>
                </wp:inline>
              </w:drawing>
            </w:r>
          </w:p>
          <w:p>
            <w:pPr>
              <w:keepNext/>
              <w:spacing w:before="40" w:after="160"/>
              <w:jc w:val="center"/>
            </w:pPr>
            <w:r>
              <w:rPr>
                <w:rFonts w:ascii="Calibri" w:hAnsi="Calibri"/>
                <w:b/>
                <w:sz w:val="20"/>
              </w:rPr>
              <w:t>Figure 9.3: Maven Surefire Test Execution Console Report (Tests run: 4, Failures: 0, BUILD SUCCESS)</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designed, implemented, and locally executed an automated functional test suite for the Cold Storage Slot Booking System (CSBS) using Selenium WebDriver 4.25 and JUnit 5 under Apache Maven. I formalized four critical user journeys—covering farmer slot reservation, crate capacity validation guards, dynamic thermal zone filtering, and warehouse manager status actions—and engineered a resilient failure screenshot mechanism that automatically saves timestamped PNG evidence upon any assertion anomaly. Local execution in headless browser mode demonstrated 100% test pass fidelity across all four test cases in 7.9 seconds. This robust automated test suite provides the verified quality gate mechanism required for continuous testing integration in Jenkins in Task 10.</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