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8</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Pipeline as Code and Server Deployment: Create a Jenkinsfile for the Cold Storage Slot Booking System with checkout, build, package and deploy stages. Deploy the build to Tomcat or Nginx and parameterize at least one environment setting.</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Jenkins CI 2.450+ LTS (Pipeline Plugin, Stage View Plugin), Git 2.55+, Apache Maven 3.9.9, Java 21 LTS, Embedded Apache Tomcat 11, Spring Boot Actuator, cURL, Microsoft Edge / Chrome</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Principles of Pipeline as Code (PaC) and Declarative Delivery</w:t>
            </w:r>
          </w:p>
          <w:p>
            <w:pPr>
              <w:spacing w:before="20" w:after="60" w:line="276" w:lineRule="auto"/>
            </w:pPr>
            <w:r>
              <w:rPr>
                <w:rFonts w:ascii="Calibri" w:hAnsi="Calibri"/>
                <w:sz w:val="22"/>
              </w:rPr>
              <w:t>In modern DevOps engineering, managing CI/CD jobs through point-and-click graphical web interfaces introduces critical operational risks: job configurations are unversioned, modifications cannot be peer-reviewed through pull requests, and recreating build infrastructure following a disaster is notoriously error-prone. Pipeline as Code (PaC) resolves these deficiencies by treating the deployment workflow itself as version-controlled software.</w:t>
            </w:r>
          </w:p>
          <w:p>
            <w:pPr>
              <w:spacing w:before="20" w:after="60" w:line="276" w:lineRule="auto"/>
            </w:pPr>
            <w:r>
              <w:rPr>
                <w:rFonts w:ascii="Calibri" w:hAnsi="Calibri"/>
                <w:sz w:val="22"/>
              </w:rPr>
              <w:t>In Task 8, I engineered a comprehensive declarative Jenkinsfile for the Cold Storage Slot Booking System (CSBS). The pipeline is committed directly to the root of our Git repository alongside the application code. It defines five automated stages: Checkout SCM, Build &amp; Test, Package Artifact, Deploy to Server (embedded Tomcat container), and Automated Health Verification. Furthermore, I parameterized the deployment configuration to support multi-environment targeting (staging vs. production) and configurable HTTP listener port binding.</w:t>
            </w:r>
          </w:p>
          <w:p>
            <w:pPr>
              <w:keepNext/>
              <w:spacing w:before="160" w:after="60" w:line="276" w:lineRule="auto"/>
            </w:pPr>
            <w:r>
              <w:rPr>
                <w:rFonts w:ascii="Calibri" w:hAnsi="Calibri"/>
                <w:b/>
                <w:sz w:val="24"/>
              </w:rPr>
              <w:t>2. Pipeline Architecture &amp; Parameterized Controls</w:t>
            </w:r>
          </w:p>
          <w:p>
            <w:pPr>
              <w:spacing w:before="20" w:after="60" w:line="276" w:lineRule="auto"/>
            </w:pPr>
            <w:r>
              <w:rPr>
                <w:rFonts w:ascii="Calibri" w:hAnsi="Calibri"/>
                <w:sz w:val="22"/>
              </w:rPr>
              <w:t>The declarative Jenkinsfile incorporates parameterized execution controls allowing operators to dynamically dictate runtime behavior:</w:t>
            </w:r>
          </w:p>
          <w:p>
            <w:pPr>
              <w:spacing w:before="20" w:after="40" w:line="276" w:lineRule="auto"/>
              <w:ind w:left="360"/>
            </w:pPr>
            <w:r>
              <w:rPr>
                <w:rFonts w:ascii="Calibri" w:hAnsi="Calibri"/>
                <w:b/>
                <w:sz w:val="22"/>
              </w:rPr>
              <w:t xml:space="preserve">• </w:t>
            </w:r>
            <w:r>
              <w:rPr>
                <w:rFonts w:ascii="Calibri" w:hAnsi="Calibri"/>
                <w:b/>
                <w:sz w:val="22"/>
              </w:rPr>
              <w:t xml:space="preserve">ENVIRONMENT: </w:t>
            </w:r>
            <w:r>
              <w:rPr>
                <w:rFonts w:ascii="Calibri" w:hAnsi="Calibri"/>
                <w:sz w:val="22"/>
              </w:rPr>
              <w:t>Choice parameter allowing deployment to 'staging' or 'production' environments.</w:t>
            </w:r>
          </w:p>
          <w:p>
            <w:pPr>
              <w:spacing w:before="20" w:after="40" w:line="276" w:lineRule="auto"/>
              <w:ind w:left="360"/>
            </w:pPr>
            <w:r>
              <w:rPr>
                <w:rFonts w:ascii="Calibri" w:hAnsi="Calibri"/>
                <w:b/>
                <w:sz w:val="22"/>
              </w:rPr>
              <w:t xml:space="preserve">• </w:t>
            </w:r>
            <w:r>
              <w:rPr>
                <w:rFonts w:ascii="Calibri" w:hAnsi="Calibri"/>
                <w:b/>
                <w:sz w:val="22"/>
              </w:rPr>
              <w:t xml:space="preserve">SERVER_PORT: </w:t>
            </w:r>
            <w:r>
              <w:rPr>
                <w:rFonts w:ascii="Calibri" w:hAnsi="Calibri"/>
                <w:sz w:val="22"/>
              </w:rPr>
              <w:t>String parameter specifying the target HTTP port (default 8080) for the Tomcat web server.</w:t>
            </w:r>
          </w:p>
          <w:p>
            <w:pPr>
              <w:spacing w:before="20" w:after="40" w:line="276" w:lineRule="auto"/>
              <w:ind w:left="360"/>
            </w:pPr>
            <w:r>
              <w:rPr>
                <w:rFonts w:ascii="Calibri" w:hAnsi="Calibri"/>
                <w:b/>
                <w:sz w:val="22"/>
              </w:rPr>
              <w:t xml:space="preserve">• </w:t>
            </w:r>
            <w:r>
              <w:rPr>
                <w:rFonts w:ascii="Calibri" w:hAnsi="Calibri"/>
                <w:b/>
                <w:sz w:val="22"/>
              </w:rPr>
              <w:t xml:space="preserve">RUN_INTEGRATION_TESTS: </w:t>
            </w:r>
            <w:r>
              <w:rPr>
                <w:rFonts w:ascii="Calibri" w:hAnsi="Calibri"/>
                <w:sz w:val="22"/>
              </w:rPr>
              <w:t>Boolean flag enabling or bypassing full integration regression suites during hotfix cycles.</w:t>
            </w:r>
          </w:p>
          <w:p>
            <w:pPr>
              <w:keepNext/>
              <w:spacing w:before="120" w:after="40"/>
              <w:jc w:val="center"/>
            </w:pPr>
            <w:r>
              <w:drawing>
                <wp:inline xmlns:a="http://schemas.openxmlformats.org/drawingml/2006/main" xmlns:pic="http://schemas.openxmlformats.org/drawingml/2006/picture">
                  <wp:extent cx="4937760" cy="2443942"/>
                  <wp:docPr id="2" name="Picture 2"/>
                  <wp:cNvGraphicFramePr>
                    <a:graphicFrameLocks noChangeAspect="1"/>
                  </wp:cNvGraphicFramePr>
                  <a:graphic>
                    <a:graphicData uri="http://schemas.openxmlformats.org/drawingml/2006/picture">
                      <pic:pic>
                        <pic:nvPicPr>
                          <pic:cNvPr id="0" name="fig8_1_pipeline_architecture.png"/>
                          <pic:cNvPicPr/>
                        </pic:nvPicPr>
                        <pic:blipFill>
                          <a:blip r:embed="rId23"/>
                          <a:stretch>
                            <a:fillRect/>
                          </a:stretch>
                        </pic:blipFill>
                        <pic:spPr>
                          <a:xfrm>
                            <a:off x="0" y="0"/>
                            <a:ext cx="4937760" cy="2443942"/>
                          </a:xfrm>
                          <a:prstGeom prst="rect"/>
                        </pic:spPr>
                      </pic:pic>
                    </a:graphicData>
                  </a:graphic>
                </wp:inline>
              </w:drawing>
            </w:r>
          </w:p>
          <w:p>
            <w:pPr>
              <w:keepNext/>
              <w:spacing w:before="40" w:after="160"/>
              <w:jc w:val="center"/>
            </w:pPr>
            <w:r>
              <w:rPr>
                <w:rFonts w:ascii="Calibri" w:hAnsi="Calibri"/>
                <w:b/>
                <w:sz w:val="20"/>
              </w:rPr>
              <w:t>Figure 8.1: Declarative Jenkins Pipeline as Code Stage Architecture and Parameterized Controls</w:t>
            </w:r>
          </w:p>
          <w:p>
            <w:pPr>
              <w:keepNext/>
              <w:spacing w:before="160" w:after="60" w:line="276" w:lineRule="auto"/>
            </w:pPr>
            <w:r>
              <w:rPr>
                <w:rFonts w:ascii="Calibri" w:hAnsi="Calibri"/>
                <w:b/>
                <w:sz w:val="24"/>
              </w:rPr>
              <w:t>3. Stage-by-Stage Operational Breakdown</w:t>
            </w:r>
          </w:p>
          <w:p>
            <w:pPr>
              <w:spacing w:before="20" w:after="60" w:line="276" w:lineRule="auto"/>
            </w:pPr>
            <w:r>
              <w:rPr>
                <w:rFonts w:ascii="Calibri" w:hAnsi="Calibri"/>
                <w:sz w:val="22"/>
              </w:rPr>
              <w:t>Each stage within the Jenkinsfile enforces specific quality checkpoints before allowing the build to proceed to subsequent phases:</w:t>
            </w:r>
          </w:p>
          <w:p>
            <w:pPr>
              <w:spacing w:before="20" w:after="40" w:line="276" w:lineRule="auto"/>
              <w:ind w:left="360"/>
            </w:pPr>
            <w:r>
              <w:rPr>
                <w:rFonts w:ascii="Calibri" w:hAnsi="Calibri"/>
                <w:b/>
                <w:sz w:val="22"/>
              </w:rPr>
              <w:t xml:space="preserve">• </w:t>
            </w:r>
            <w:r>
              <w:rPr>
                <w:rFonts w:ascii="Calibri" w:hAnsi="Calibri"/>
                <w:b/>
                <w:sz w:val="22"/>
              </w:rPr>
              <w:t xml:space="preserve">Stage 1 (Checkout SCM): </w:t>
            </w:r>
            <w:r>
              <w:rPr>
                <w:rFonts w:ascii="Calibri" w:hAnsi="Calibri"/>
                <w:sz w:val="22"/>
              </w:rPr>
              <w:t>Pulls latest commit baseline from the Git repository, printing student metadata (Mayuresh Sawant, 23102A0029).</w:t>
            </w:r>
          </w:p>
          <w:p>
            <w:pPr>
              <w:spacing w:before="20" w:after="40" w:line="276" w:lineRule="auto"/>
              <w:ind w:left="360"/>
            </w:pPr>
            <w:r>
              <w:rPr>
                <w:rFonts w:ascii="Calibri" w:hAnsi="Calibri"/>
                <w:b/>
                <w:sz w:val="22"/>
              </w:rPr>
              <w:t xml:space="preserve">• </w:t>
            </w:r>
            <w:r>
              <w:rPr>
                <w:rFonts w:ascii="Calibri" w:hAnsi="Calibri"/>
                <w:b/>
                <w:sz w:val="22"/>
              </w:rPr>
              <w:t xml:space="preserve">Stage 2 (Build &amp; Test): </w:t>
            </w:r>
            <w:r>
              <w:rPr>
                <w:rFonts w:ascii="Calibri" w:hAnsi="Calibri"/>
                <w:sz w:val="22"/>
              </w:rPr>
              <w:t>Executes 'mvn clean test', running all JUnit 5 unit tests with automated surefire test report publishing.</w:t>
            </w:r>
          </w:p>
          <w:p>
            <w:pPr>
              <w:spacing w:before="20" w:after="40" w:line="276" w:lineRule="auto"/>
              <w:ind w:left="360"/>
            </w:pPr>
            <w:r>
              <w:rPr>
                <w:rFonts w:ascii="Calibri" w:hAnsi="Calibri"/>
                <w:b/>
                <w:sz w:val="22"/>
              </w:rPr>
              <w:t xml:space="preserve">• </w:t>
            </w:r>
            <w:r>
              <w:rPr>
                <w:rFonts w:ascii="Calibri" w:hAnsi="Calibri"/>
                <w:b/>
                <w:sz w:val="22"/>
              </w:rPr>
              <w:t xml:space="preserve">Stage 3 (Package Artifact): </w:t>
            </w:r>
            <w:r>
              <w:rPr>
                <w:rFonts w:ascii="Calibri" w:hAnsi="Calibri"/>
                <w:sz w:val="22"/>
              </w:rPr>
              <w:t>Compiles the production artifact 'target/coldstorage-app.jar' with embedded Tomcat and in-memory H2 database.</w:t>
            </w:r>
          </w:p>
          <w:p>
            <w:pPr>
              <w:spacing w:before="20" w:after="40" w:line="276" w:lineRule="auto"/>
              <w:ind w:left="360"/>
            </w:pPr>
            <w:r>
              <w:rPr>
                <w:rFonts w:ascii="Calibri" w:hAnsi="Calibri"/>
                <w:b/>
                <w:sz w:val="22"/>
              </w:rPr>
              <w:t xml:space="preserve">• </w:t>
            </w:r>
            <w:r>
              <w:rPr>
                <w:rFonts w:ascii="Calibri" w:hAnsi="Calibri"/>
                <w:b/>
                <w:sz w:val="22"/>
              </w:rPr>
              <w:t xml:space="preserve">Stage 4 (Deploy to Server): </w:t>
            </w:r>
            <w:r>
              <w:rPr>
                <w:rFonts w:ascii="Calibri" w:hAnsi="Calibri"/>
                <w:sz w:val="22"/>
              </w:rPr>
              <w:t>Provisions the application to the selected target environment (${params.ENVIRONMENT}) binding port ${params.SERVER_PORT}.</w:t>
            </w:r>
          </w:p>
          <w:p>
            <w:pPr>
              <w:spacing w:before="20" w:after="40" w:line="276" w:lineRule="auto"/>
              <w:ind w:left="360"/>
            </w:pPr>
            <w:r>
              <w:rPr>
                <w:rFonts w:ascii="Calibri" w:hAnsi="Calibri"/>
                <w:b/>
                <w:sz w:val="22"/>
              </w:rPr>
              <w:t xml:space="preserve">• </w:t>
            </w:r>
            <w:r>
              <w:rPr>
                <w:rFonts w:ascii="Calibri" w:hAnsi="Calibri"/>
                <w:b/>
                <w:sz w:val="22"/>
              </w:rPr>
              <w:t xml:space="preserve">Stage 5 (Health Verification): </w:t>
            </w:r>
            <w:r>
              <w:rPr>
                <w:rFonts w:ascii="Calibri" w:hAnsi="Calibri"/>
                <w:sz w:val="22"/>
              </w:rPr>
              <w:t>Executes an automated cURL health probe against /actuator/health to confirm HTTP 200 OK and JSON status 'UP'.</w:t>
            </w:r>
          </w:p>
          <w:p>
            <w:pPr>
              <w:keepNext/>
              <w:spacing w:before="160" w:after="60" w:line="276" w:lineRule="auto"/>
            </w:pPr>
            <w:r>
              <w:rPr>
                <w:rFonts w:ascii="Calibri" w:hAnsi="Calibri"/>
                <w:b/>
                <w:sz w:val="24"/>
              </w:rPr>
              <w:t>4. Pipeline Execution Telemetry &amp; Stage View Metrics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1644"/>
              <w:gridCol w:w="1644"/>
              <w:gridCol w:w="1644"/>
              <w:gridCol w:w="1644"/>
              <w:gridCol w:w="1644"/>
            </w:tblGrid>
            <w:tr>
              <w:trPr>
                <w:tblHeader/>
                <w:cantSplit/>
              </w:trPr>
              <w:tc>
                <w:tcPr>
                  <w:tcW w:w="1400" w:type="dxa"/>
                  <w:shd w:fill="EAECEE"/>
                </w:tcPr>
                <w:p>
                  <w:pPr>
                    <w:spacing w:before="40" w:after="40" w:line="276" w:lineRule="auto"/>
                    <w:jc w:val="left"/>
                  </w:pPr>
                  <w:r>
                    <w:rPr>
                      <w:rFonts w:ascii="Calibri" w:hAnsi="Calibri"/>
                      <w:b/>
                      <w:sz w:val="19"/>
                    </w:rPr>
                    <w:t>Pipeline Stage</w:t>
                  </w:r>
                </w:p>
              </w:tc>
              <w:tc>
                <w:tcPr>
                  <w:tcW w:w="1600" w:type="dxa"/>
                  <w:shd w:fill="EAECEE"/>
                </w:tcPr>
                <w:p>
                  <w:pPr>
                    <w:spacing w:before="40" w:after="40" w:line="276" w:lineRule="auto"/>
                    <w:jc w:val="left"/>
                  </w:pPr>
                  <w:r>
                    <w:rPr>
                      <w:rFonts w:ascii="Calibri" w:hAnsi="Calibri"/>
                      <w:b/>
                      <w:sz w:val="19"/>
                    </w:rPr>
                    <w:t>Execution Tool</w:t>
                  </w:r>
                </w:p>
              </w:tc>
              <w:tc>
                <w:tcPr>
                  <w:tcW w:w="1800" w:type="dxa"/>
                  <w:shd w:fill="EAECEE"/>
                </w:tcPr>
                <w:p>
                  <w:pPr>
                    <w:spacing w:before="40" w:after="40" w:line="276" w:lineRule="auto"/>
                    <w:jc w:val="left"/>
                  </w:pPr>
                  <w:r>
                    <w:rPr>
                      <w:rFonts w:ascii="Calibri" w:hAnsi="Calibri"/>
                      <w:b/>
                      <w:sz w:val="19"/>
                    </w:rPr>
                    <w:t>Stage Objective</w:t>
                  </w:r>
                </w:p>
              </w:tc>
              <w:tc>
                <w:tcPr>
                  <w:tcW w:w="1500" w:type="dxa"/>
                  <w:shd w:fill="EAECEE"/>
                </w:tcPr>
                <w:p>
                  <w:pPr>
                    <w:spacing w:before="40" w:after="40" w:line="276" w:lineRule="auto"/>
                    <w:jc w:val="left"/>
                  </w:pPr>
                  <w:r>
                    <w:rPr>
                      <w:rFonts w:ascii="Calibri" w:hAnsi="Calibri"/>
                      <w:b/>
                      <w:sz w:val="19"/>
                    </w:rPr>
                    <w:t>Duration</w:t>
                  </w:r>
                </w:p>
              </w:tc>
              <w:tc>
                <w:tcPr>
                  <w:tcW w:w="1600" w:type="dxa"/>
                  <w:shd w:fill="EAECEE"/>
                </w:tcPr>
                <w:p>
                  <w:pPr>
                    <w:spacing w:before="40" w:after="40" w:line="276" w:lineRule="auto"/>
                    <w:jc w:val="left"/>
                  </w:pPr>
                  <w:r>
                    <w:rPr>
                      <w:rFonts w:ascii="Calibri" w:hAnsi="Calibri"/>
                      <w:b/>
                      <w:sz w:val="19"/>
                    </w:rPr>
                    <w:t>Status</w:t>
                  </w:r>
                </w:p>
              </w:tc>
            </w:tr>
            <w:tr>
              <w:trPr>
                <w:cantSplit/>
              </w:trPr>
              <w:tc>
                <w:tcPr>
                  <w:tcW w:w="1400" w:type="dxa"/>
                </w:tcPr>
                <w:p>
                  <w:pPr>
                    <w:spacing w:before="40" w:after="40" w:line="276" w:lineRule="auto"/>
                    <w:jc w:val="left"/>
                  </w:pPr>
                  <w:r>
                    <w:rPr>
                      <w:rFonts w:ascii="Calibri" w:hAnsi="Calibri"/>
                      <w:b w:val="0"/>
                      <w:sz w:val="17"/>
                    </w:rPr>
                    <w:t>1. Checkout SCM</w:t>
                  </w:r>
                </w:p>
              </w:tc>
              <w:tc>
                <w:tcPr>
                  <w:tcW w:w="1600" w:type="dxa"/>
                </w:tcPr>
                <w:p>
                  <w:pPr>
                    <w:spacing w:before="40" w:after="40" w:line="276" w:lineRule="auto"/>
                    <w:jc w:val="left"/>
                  </w:pPr>
                  <w:r>
                    <w:rPr>
                      <w:rFonts w:ascii="Calibri" w:hAnsi="Calibri"/>
                      <w:b w:val="0"/>
                      <w:sz w:val="17"/>
                    </w:rPr>
                    <w:t>Git SCM Plugin</w:t>
                  </w:r>
                </w:p>
              </w:tc>
              <w:tc>
                <w:tcPr>
                  <w:tcW w:w="1800" w:type="dxa"/>
                </w:tcPr>
                <w:p>
                  <w:pPr>
                    <w:spacing w:before="40" w:after="40" w:line="276" w:lineRule="auto"/>
                    <w:jc w:val="left"/>
                  </w:pPr>
                  <w:r>
                    <w:rPr>
                      <w:rFonts w:ascii="Calibri" w:hAnsi="Calibri"/>
                      <w:b w:val="0"/>
                      <w:sz w:val="17"/>
                    </w:rPr>
                    <w:t>Workspace clone from dev</w:t>
                  </w:r>
                </w:p>
              </w:tc>
              <w:tc>
                <w:tcPr>
                  <w:tcW w:w="1500" w:type="dxa"/>
                </w:tcPr>
                <w:p>
                  <w:pPr>
                    <w:spacing w:before="40" w:after="40" w:line="276" w:lineRule="auto"/>
                    <w:jc w:val="left"/>
                  </w:pPr>
                  <w:r>
                    <w:rPr>
                      <w:rFonts w:ascii="Calibri" w:hAnsi="Calibri"/>
                      <w:b w:val="0"/>
                      <w:sz w:val="17"/>
                    </w:rPr>
                    <w:t>2 seconds</w:t>
                  </w:r>
                </w:p>
              </w:tc>
              <w:tc>
                <w:tcPr>
                  <w:tcW w:w="1600" w:type="dxa"/>
                </w:tcPr>
                <w:p>
                  <w:pPr>
                    <w:spacing w:before="40" w:after="40" w:line="276" w:lineRule="auto"/>
                    <w:jc w:val="left"/>
                  </w:pPr>
                  <w:r>
                    <w:rPr>
                      <w:rFonts w:ascii="Calibri" w:hAnsi="Calibri"/>
                      <w:b w:val="0"/>
                      <w:sz w:val="17"/>
                    </w:rPr>
                    <w:t>SUCCESS</w:t>
                  </w:r>
                </w:p>
              </w:tc>
            </w:tr>
            <w:tr>
              <w:trPr>
                <w:cantSplit/>
              </w:trPr>
              <w:tc>
                <w:tcPr>
                  <w:tcW w:w="1400" w:type="dxa"/>
                </w:tcPr>
                <w:p>
                  <w:pPr>
                    <w:spacing w:before="40" w:after="40" w:line="276" w:lineRule="auto"/>
                    <w:jc w:val="left"/>
                  </w:pPr>
                  <w:r>
                    <w:rPr>
                      <w:rFonts w:ascii="Calibri" w:hAnsi="Calibri"/>
                      <w:b w:val="0"/>
                      <w:sz w:val="17"/>
                    </w:rPr>
                    <w:t>2. Build &amp; Test</w:t>
                  </w:r>
                </w:p>
              </w:tc>
              <w:tc>
                <w:tcPr>
                  <w:tcW w:w="1600" w:type="dxa"/>
                </w:tcPr>
                <w:p>
                  <w:pPr>
                    <w:spacing w:before="40" w:after="40" w:line="276" w:lineRule="auto"/>
                    <w:jc w:val="left"/>
                  </w:pPr>
                  <w:r>
                    <w:rPr>
                      <w:rFonts w:ascii="Calibri" w:hAnsi="Calibri"/>
                      <w:b w:val="0"/>
                      <w:sz w:val="17"/>
                    </w:rPr>
                    <w:t>Maven + JUnit 5</w:t>
                  </w:r>
                </w:p>
              </w:tc>
              <w:tc>
                <w:tcPr>
                  <w:tcW w:w="1800" w:type="dxa"/>
                </w:tcPr>
                <w:p>
                  <w:pPr>
                    <w:spacing w:before="40" w:after="40" w:line="276" w:lineRule="auto"/>
                    <w:jc w:val="left"/>
                  </w:pPr>
                  <w:r>
                    <w:rPr>
                      <w:rFonts w:ascii="Calibri" w:hAnsi="Calibri"/>
                      <w:b w:val="0"/>
                      <w:sz w:val="17"/>
                    </w:rPr>
                    <w:t>Compile &amp; 4/4 tests pass</w:t>
                  </w:r>
                </w:p>
              </w:tc>
              <w:tc>
                <w:tcPr>
                  <w:tcW w:w="1500" w:type="dxa"/>
                </w:tcPr>
                <w:p>
                  <w:pPr>
                    <w:spacing w:before="40" w:after="40" w:line="276" w:lineRule="auto"/>
                    <w:jc w:val="left"/>
                  </w:pPr>
                  <w:r>
                    <w:rPr>
                      <w:rFonts w:ascii="Calibri" w:hAnsi="Calibri"/>
                      <w:b w:val="0"/>
                      <w:sz w:val="17"/>
                    </w:rPr>
                    <w:t>8 seconds</w:t>
                  </w:r>
                </w:p>
              </w:tc>
              <w:tc>
                <w:tcPr>
                  <w:tcW w:w="1600" w:type="dxa"/>
                </w:tcPr>
                <w:p>
                  <w:pPr>
                    <w:spacing w:before="40" w:after="40" w:line="276" w:lineRule="auto"/>
                    <w:jc w:val="left"/>
                  </w:pPr>
                  <w:r>
                    <w:rPr>
                      <w:rFonts w:ascii="Calibri" w:hAnsi="Calibri"/>
                      <w:b w:val="0"/>
                      <w:sz w:val="17"/>
                    </w:rPr>
                    <w:t>SUCCESS</w:t>
                  </w:r>
                </w:p>
              </w:tc>
            </w:tr>
            <w:tr>
              <w:trPr>
                <w:cantSplit/>
              </w:trPr>
              <w:tc>
                <w:tcPr>
                  <w:tcW w:w="1400" w:type="dxa"/>
                </w:tcPr>
                <w:p>
                  <w:pPr>
                    <w:spacing w:before="40" w:after="40" w:line="276" w:lineRule="auto"/>
                    <w:jc w:val="left"/>
                  </w:pPr>
                  <w:r>
                    <w:rPr>
                      <w:rFonts w:ascii="Calibri" w:hAnsi="Calibri"/>
                      <w:b w:val="0"/>
                      <w:sz w:val="17"/>
                    </w:rPr>
                    <w:t>3. Package Artifact</w:t>
                  </w:r>
                </w:p>
              </w:tc>
              <w:tc>
                <w:tcPr>
                  <w:tcW w:w="1600" w:type="dxa"/>
                </w:tcPr>
                <w:p>
                  <w:pPr>
                    <w:spacing w:before="40" w:after="40" w:line="276" w:lineRule="auto"/>
                    <w:jc w:val="left"/>
                  </w:pPr>
                  <w:r>
                    <w:rPr>
                      <w:rFonts w:ascii="Calibri" w:hAnsi="Calibri"/>
                      <w:b w:val="0"/>
                      <w:sz w:val="17"/>
                    </w:rPr>
                    <w:t>Spring Boot Repackage</w:t>
                  </w:r>
                </w:p>
              </w:tc>
              <w:tc>
                <w:tcPr>
                  <w:tcW w:w="1800" w:type="dxa"/>
                </w:tcPr>
                <w:p>
                  <w:pPr>
                    <w:spacing w:before="40" w:after="40" w:line="276" w:lineRule="auto"/>
                    <w:jc w:val="left"/>
                  </w:pPr>
                  <w:r>
                    <w:rPr>
                      <w:rFonts w:ascii="Calibri" w:hAnsi="Calibri"/>
                      <w:b w:val="0"/>
                      <w:sz w:val="17"/>
                    </w:rPr>
                    <w:t>Build coldstorage-app.jar</w:t>
                  </w:r>
                </w:p>
              </w:tc>
              <w:tc>
                <w:tcPr>
                  <w:tcW w:w="1500" w:type="dxa"/>
                </w:tcPr>
                <w:p>
                  <w:pPr>
                    <w:spacing w:before="40" w:after="40" w:line="276" w:lineRule="auto"/>
                    <w:jc w:val="left"/>
                  </w:pPr>
                  <w:r>
                    <w:rPr>
                      <w:rFonts w:ascii="Calibri" w:hAnsi="Calibri"/>
                      <w:b w:val="0"/>
                      <w:sz w:val="17"/>
                    </w:rPr>
                    <w:t>11 seconds</w:t>
                  </w:r>
                </w:p>
              </w:tc>
              <w:tc>
                <w:tcPr>
                  <w:tcW w:w="1600" w:type="dxa"/>
                </w:tcPr>
                <w:p>
                  <w:pPr>
                    <w:spacing w:before="40" w:after="40" w:line="276" w:lineRule="auto"/>
                    <w:jc w:val="left"/>
                  </w:pPr>
                  <w:r>
                    <w:rPr>
                      <w:rFonts w:ascii="Calibri" w:hAnsi="Calibri"/>
                      <w:b w:val="0"/>
                      <w:sz w:val="17"/>
                    </w:rPr>
                    <w:t>SUCCESS</w:t>
                  </w:r>
                </w:p>
              </w:tc>
            </w:tr>
            <w:tr>
              <w:trPr>
                <w:cantSplit/>
              </w:trPr>
              <w:tc>
                <w:tcPr>
                  <w:tcW w:w="1400" w:type="dxa"/>
                </w:tcPr>
                <w:p>
                  <w:pPr>
                    <w:spacing w:before="40" w:after="40" w:line="276" w:lineRule="auto"/>
                    <w:jc w:val="left"/>
                  </w:pPr>
                  <w:r>
                    <w:rPr>
                      <w:rFonts w:ascii="Calibri" w:hAnsi="Calibri"/>
                      <w:b w:val="0"/>
                      <w:sz w:val="17"/>
                    </w:rPr>
                    <w:t>4. Deploy to Server</w:t>
                  </w:r>
                </w:p>
              </w:tc>
              <w:tc>
                <w:tcPr>
                  <w:tcW w:w="1600" w:type="dxa"/>
                </w:tcPr>
                <w:p>
                  <w:pPr>
                    <w:spacing w:before="40" w:after="40" w:line="276" w:lineRule="auto"/>
                    <w:jc w:val="left"/>
                  </w:pPr>
                  <w:r>
                    <w:rPr>
                      <w:rFonts w:ascii="Calibri" w:hAnsi="Calibri"/>
                      <w:b w:val="0"/>
                      <w:sz w:val="17"/>
                    </w:rPr>
                    <w:t>Tomcat / Staging Script</w:t>
                  </w:r>
                </w:p>
              </w:tc>
              <w:tc>
                <w:tcPr>
                  <w:tcW w:w="1800" w:type="dxa"/>
                </w:tcPr>
                <w:p>
                  <w:pPr>
                    <w:spacing w:before="40" w:after="40" w:line="276" w:lineRule="auto"/>
                    <w:jc w:val="left"/>
                  </w:pPr>
                  <w:r>
                    <w:rPr>
                      <w:rFonts w:ascii="Calibri" w:hAnsi="Calibri"/>
                      <w:b w:val="0"/>
                      <w:sz w:val="17"/>
                    </w:rPr>
                    <w:t>Target env deployment</w:t>
                  </w:r>
                </w:p>
              </w:tc>
              <w:tc>
                <w:tcPr>
                  <w:tcW w:w="1500" w:type="dxa"/>
                </w:tcPr>
                <w:p>
                  <w:pPr>
                    <w:spacing w:before="40" w:after="40" w:line="276" w:lineRule="auto"/>
                    <w:jc w:val="left"/>
                  </w:pPr>
                  <w:r>
                    <w:rPr>
                      <w:rFonts w:ascii="Calibri" w:hAnsi="Calibri"/>
                      <w:b w:val="0"/>
                      <w:sz w:val="17"/>
                    </w:rPr>
                    <w:t>3 seconds</w:t>
                  </w:r>
                </w:p>
              </w:tc>
              <w:tc>
                <w:tcPr>
                  <w:tcW w:w="1600" w:type="dxa"/>
                </w:tcPr>
                <w:p>
                  <w:pPr>
                    <w:spacing w:before="40" w:after="40" w:line="276" w:lineRule="auto"/>
                    <w:jc w:val="left"/>
                  </w:pPr>
                  <w:r>
                    <w:rPr>
                      <w:rFonts w:ascii="Calibri" w:hAnsi="Calibri"/>
                      <w:b w:val="0"/>
                      <w:sz w:val="17"/>
                    </w:rPr>
                    <w:t>SUCCESS</w:t>
                  </w:r>
                </w:p>
              </w:tc>
            </w:tr>
            <w:tr>
              <w:trPr>
                <w:cantSplit/>
              </w:trPr>
              <w:tc>
                <w:tcPr>
                  <w:tcW w:w="1400" w:type="dxa"/>
                </w:tcPr>
                <w:p>
                  <w:pPr>
                    <w:spacing w:before="40" w:after="40" w:line="276" w:lineRule="auto"/>
                    <w:jc w:val="left"/>
                  </w:pPr>
                  <w:r>
                    <w:rPr>
                      <w:rFonts w:ascii="Calibri" w:hAnsi="Calibri"/>
                      <w:b w:val="0"/>
                      <w:sz w:val="17"/>
                    </w:rPr>
                    <w:t>5. Health Verify</w:t>
                  </w:r>
                </w:p>
              </w:tc>
              <w:tc>
                <w:tcPr>
                  <w:tcW w:w="1600" w:type="dxa"/>
                </w:tcPr>
                <w:p>
                  <w:pPr>
                    <w:spacing w:before="40" w:after="40" w:line="276" w:lineRule="auto"/>
                    <w:jc w:val="left"/>
                  </w:pPr>
                  <w:r>
                    <w:rPr>
                      <w:rFonts w:ascii="Calibri" w:hAnsi="Calibri"/>
                      <w:b w:val="0"/>
                      <w:sz w:val="17"/>
                    </w:rPr>
                    <w:t>Actuator cURL Probe</w:t>
                  </w:r>
                </w:p>
              </w:tc>
              <w:tc>
                <w:tcPr>
                  <w:tcW w:w="1800" w:type="dxa"/>
                </w:tcPr>
                <w:p>
                  <w:pPr>
                    <w:spacing w:before="40" w:after="40" w:line="276" w:lineRule="auto"/>
                    <w:jc w:val="left"/>
                  </w:pPr>
                  <w:r>
                    <w:rPr>
                      <w:rFonts w:ascii="Calibri" w:hAnsi="Calibri"/>
                      <w:b w:val="0"/>
                      <w:sz w:val="17"/>
                    </w:rPr>
                    <w:t>Assert /actuator/health UP</w:t>
                  </w:r>
                </w:p>
              </w:tc>
              <w:tc>
                <w:tcPr>
                  <w:tcW w:w="1500" w:type="dxa"/>
                </w:tcPr>
                <w:p>
                  <w:pPr>
                    <w:spacing w:before="40" w:after="40" w:line="276" w:lineRule="auto"/>
                    <w:jc w:val="left"/>
                  </w:pPr>
                  <w:r>
                    <w:rPr>
                      <w:rFonts w:ascii="Calibri" w:hAnsi="Calibri"/>
                      <w:b w:val="0"/>
                      <w:sz w:val="17"/>
                    </w:rPr>
                    <w:t>2 seconds</w:t>
                  </w:r>
                </w:p>
              </w:tc>
              <w:tc>
                <w:tcPr>
                  <w:tcW w:w="1600" w:type="dxa"/>
                </w:tcPr>
                <w:p>
                  <w:pPr>
                    <w:spacing w:before="40" w:after="40" w:line="276" w:lineRule="auto"/>
                    <w:jc w:val="left"/>
                  </w:pPr>
                  <w:r>
                    <w:rPr>
                      <w:rFonts w:ascii="Calibri" w:hAnsi="Calibri"/>
                      <w:b w:val="0"/>
                      <w:sz w:val="17"/>
                    </w:rPr>
                    <w:t>SUCCESS</w:t>
                  </w:r>
                </w:p>
              </w:tc>
            </w:tr>
          </w:tbl>
          <w:p/>
          <w:p>
            <w:pPr>
              <w:keepNext/>
              <w:spacing w:before="120" w:after="40"/>
              <w:jc w:val="center"/>
            </w:pPr>
            <w:r>
              <w:drawing>
                <wp:inline xmlns:a="http://schemas.openxmlformats.org/drawingml/2006/main" xmlns:pic="http://schemas.openxmlformats.org/drawingml/2006/picture">
                  <wp:extent cx="4937760" cy="2344189"/>
                  <wp:docPr id="3" name="Picture 3"/>
                  <wp:cNvGraphicFramePr>
                    <a:graphicFrameLocks noChangeAspect="1"/>
                  </wp:cNvGraphicFramePr>
                  <a:graphic>
                    <a:graphicData uri="http://schemas.openxmlformats.org/drawingml/2006/picture">
                      <pic:pic>
                        <pic:nvPicPr>
                          <pic:cNvPr id="0" name="fig8_2_jenkins_stage_view.png"/>
                          <pic:cNvPicPr/>
                        </pic:nvPicPr>
                        <pic:blipFill>
                          <a:blip r:embed="rId24"/>
                          <a:stretch>
                            <a:fillRect/>
                          </a:stretch>
                        </pic:blipFill>
                        <pic:spPr>
                          <a:xfrm>
                            <a:off x="0" y="0"/>
                            <a:ext cx="4937760" cy="2344189"/>
                          </a:xfrm>
                          <a:prstGeom prst="rect"/>
                        </pic:spPr>
                      </pic:pic>
                    </a:graphicData>
                  </a:graphic>
                </wp:inline>
              </w:drawing>
            </w:r>
          </w:p>
          <w:p>
            <w:pPr>
              <w:keepNext/>
              <w:spacing w:before="40" w:after="160"/>
              <w:jc w:val="center"/>
            </w:pPr>
            <w:r>
              <w:rPr>
                <w:rFonts w:ascii="Calibri" w:hAnsi="Calibri"/>
                <w:b/>
                <w:sz w:val="20"/>
              </w:rPr>
              <w:t>Figure 8.2: Jenkins Pipeline Stage View Dashboard Visualization Showing All 5 Passing Stages</w:t>
            </w:r>
          </w:p>
          <w:p>
            <w:pPr>
              <w:keepNext/>
              <w:spacing w:before="160" w:after="60" w:line="276" w:lineRule="auto"/>
            </w:pPr>
            <w:r>
              <w:rPr>
                <w:rFonts w:ascii="Calibri" w:hAnsi="Calibri"/>
                <w:b/>
                <w:sz w:val="24"/>
              </w:rPr>
              <w:t>5. Deployed Application Verification &amp; Live Observability</w:t>
            </w:r>
          </w:p>
          <w:p>
            <w:pPr>
              <w:spacing w:before="20" w:after="60" w:line="276" w:lineRule="auto"/>
            </w:pPr>
            <w:r>
              <w:rPr>
                <w:rFonts w:ascii="Calibri" w:hAnsi="Calibri"/>
                <w:sz w:val="22"/>
              </w:rPr>
              <w:t>Following automated deployment by the Jenkins pipeline, the application was verified live on http://localhost:8080. The web interface actively renders the Cold Storage Slot Booking System dashboard with live capacity metrics and chamber directory:</w:t>
            </w:r>
          </w:p>
          <w:p>
            <w:pPr>
              <w:keepNext/>
              <w:spacing w:before="120" w:after="40"/>
              <w:jc w:val="center"/>
            </w:pPr>
            <w:r>
              <w:drawing>
                <wp:inline xmlns:a="http://schemas.openxmlformats.org/drawingml/2006/main" xmlns:pic="http://schemas.openxmlformats.org/drawingml/2006/picture">
                  <wp:extent cx="4937760" cy="2598614"/>
                  <wp:docPr id="4" name="Picture 4"/>
                  <wp:cNvGraphicFramePr>
                    <a:graphicFrameLocks noChangeAspect="1"/>
                  </wp:cNvGraphicFramePr>
                  <a:graphic>
                    <a:graphicData uri="http://schemas.openxmlformats.org/drawingml/2006/picture">
                      <pic:pic>
                        <pic:nvPicPr>
                          <pic:cNvPr id="0" name="fig8_3_deployed_app.png"/>
                          <pic:cNvPicPr/>
                        </pic:nvPicPr>
                        <pic:blipFill>
                          <a:blip r:embed="rId25"/>
                          <a:stretch>
                            <a:fillRect/>
                          </a:stretch>
                        </pic:blipFill>
                        <pic:spPr>
                          <a:xfrm>
                            <a:off x="0" y="0"/>
                            <a:ext cx="4937760" cy="2598614"/>
                          </a:xfrm>
                          <a:prstGeom prst="rect"/>
                        </pic:spPr>
                      </pic:pic>
                    </a:graphicData>
                  </a:graphic>
                </wp:inline>
              </w:drawing>
            </w:r>
          </w:p>
          <w:p>
            <w:pPr>
              <w:keepNext/>
              <w:spacing w:before="40" w:after="160"/>
              <w:jc w:val="center"/>
            </w:pPr>
            <w:r>
              <w:rPr>
                <w:rFonts w:ascii="Calibri" w:hAnsi="Calibri"/>
                <w:b/>
                <w:sz w:val="20"/>
              </w:rPr>
              <w:t>Figure 8.3: Live Deployed Cold Storage Web Application on http://localhost:8080/ Post-Pipeline Deployment</w:t>
            </w:r>
          </w:p>
          <w:p>
            <w:pPr>
              <w:keepNext/>
              <w:spacing w:before="160" w:after="60" w:line="276" w:lineRule="auto"/>
            </w:pPr>
            <w:r>
              <w:rPr>
                <w:rFonts w:ascii="Calibri" w:hAnsi="Calibri"/>
                <w:b/>
                <w:sz w:val="24"/>
              </w:rPr>
              <w:t>Multi-Environment Deployment Configuration Matrix</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500" w:type="dxa"/>
                  <w:shd w:fill="EAECEE"/>
                </w:tcPr>
                <w:p>
                  <w:pPr>
                    <w:spacing w:before="40" w:after="40" w:line="276" w:lineRule="auto"/>
                    <w:jc w:val="left"/>
                  </w:pPr>
                  <w:r>
                    <w:rPr>
                      <w:rFonts w:ascii="Calibri" w:hAnsi="Calibri"/>
                      <w:b/>
                      <w:sz w:val="19"/>
                    </w:rPr>
                    <w:t>Environment</w:t>
                  </w:r>
                </w:p>
              </w:tc>
              <w:tc>
                <w:tcPr>
                  <w:tcW w:w="2000" w:type="dxa"/>
                  <w:shd w:fill="EAECEE"/>
                </w:tcPr>
                <w:p>
                  <w:pPr>
                    <w:spacing w:before="40" w:after="40" w:line="276" w:lineRule="auto"/>
                    <w:jc w:val="left"/>
                  </w:pPr>
                  <w:r>
                    <w:rPr>
                      <w:rFonts w:ascii="Calibri" w:hAnsi="Calibri"/>
                      <w:b/>
                      <w:sz w:val="19"/>
                    </w:rPr>
                    <w:t>Target URL / Port</w:t>
                  </w:r>
                </w:p>
              </w:tc>
              <w:tc>
                <w:tcPr>
                  <w:tcW w:w="2400" w:type="dxa"/>
                  <w:shd w:fill="EAECEE"/>
                </w:tcPr>
                <w:p>
                  <w:pPr>
                    <w:spacing w:before="40" w:after="40" w:line="276" w:lineRule="auto"/>
                    <w:jc w:val="left"/>
                  </w:pPr>
                  <w:r>
                    <w:rPr>
                      <w:rFonts w:ascii="Calibri" w:hAnsi="Calibri"/>
                      <w:b/>
                      <w:sz w:val="19"/>
                    </w:rPr>
                    <w:t>Database Scope</w:t>
                  </w:r>
                </w:p>
              </w:tc>
              <w:tc>
                <w:tcPr>
                  <w:tcW w:w="2000" w:type="dxa"/>
                  <w:shd w:fill="EAECEE"/>
                </w:tcPr>
                <w:p>
                  <w:pPr>
                    <w:spacing w:before="40" w:after="40" w:line="276" w:lineRule="auto"/>
                    <w:jc w:val="left"/>
                  </w:pPr>
                  <w:r>
                    <w:rPr>
                      <w:rFonts w:ascii="Calibri" w:hAnsi="Calibri"/>
                      <w:b/>
                      <w:sz w:val="19"/>
                    </w:rPr>
                    <w:t>Deployment Target</w:t>
                  </w:r>
                </w:p>
              </w:tc>
            </w:tr>
            <w:tr>
              <w:trPr>
                <w:cantSplit/>
              </w:trPr>
              <w:tc>
                <w:tcPr>
                  <w:tcW w:w="1500" w:type="dxa"/>
                </w:tcPr>
                <w:p>
                  <w:pPr>
                    <w:spacing w:before="40" w:after="40" w:line="276" w:lineRule="auto"/>
                    <w:jc w:val="left"/>
                  </w:pPr>
                  <w:r>
                    <w:rPr>
                      <w:rFonts w:ascii="Calibri" w:hAnsi="Calibri"/>
                      <w:b w:val="0"/>
                      <w:sz w:val="17"/>
                    </w:rPr>
                    <w:t>Staging</w:t>
                  </w:r>
                </w:p>
              </w:tc>
              <w:tc>
                <w:tcPr>
                  <w:tcW w:w="2000" w:type="dxa"/>
                </w:tcPr>
                <w:p>
                  <w:pPr>
                    <w:spacing w:before="40" w:after="40" w:line="276" w:lineRule="auto"/>
                    <w:jc w:val="left"/>
                  </w:pPr>
                  <w:r>
                    <w:rPr>
                      <w:rFonts w:ascii="Calibri" w:hAnsi="Calibri"/>
                      <w:b w:val="0"/>
                      <w:sz w:val="17"/>
                    </w:rPr>
                    <w:t>http://localhost:8080/</w:t>
                  </w:r>
                </w:p>
              </w:tc>
              <w:tc>
                <w:tcPr>
                  <w:tcW w:w="2400" w:type="dxa"/>
                </w:tcPr>
                <w:p>
                  <w:pPr>
                    <w:spacing w:before="40" w:after="40" w:line="276" w:lineRule="auto"/>
                    <w:jc w:val="left"/>
                  </w:pPr>
                  <w:r>
                    <w:rPr>
                      <w:rFonts w:ascii="Calibri" w:hAnsi="Calibri"/>
                      <w:b w:val="0"/>
                      <w:sz w:val="17"/>
                    </w:rPr>
                    <w:t>Embedded H2 in-memory (ephemeral)</w:t>
                  </w:r>
                </w:p>
              </w:tc>
              <w:tc>
                <w:tcPr>
                  <w:tcW w:w="2000" w:type="dxa"/>
                </w:tcPr>
                <w:p>
                  <w:pPr>
                    <w:spacing w:before="40" w:after="40" w:line="276" w:lineRule="auto"/>
                    <w:jc w:val="left"/>
                  </w:pPr>
                  <w:r>
                    <w:rPr>
                      <w:rFonts w:ascii="Calibri" w:hAnsi="Calibri"/>
                      <w:b w:val="0"/>
                      <w:sz w:val="17"/>
                    </w:rPr>
                    <w:t>Embedded Apache Tomcat 11</w:t>
                  </w:r>
                </w:p>
              </w:tc>
            </w:tr>
            <w:tr>
              <w:trPr>
                <w:cantSplit/>
              </w:trPr>
              <w:tc>
                <w:tcPr>
                  <w:tcW w:w="1500" w:type="dxa"/>
                </w:tcPr>
                <w:p>
                  <w:pPr>
                    <w:spacing w:before="40" w:after="40" w:line="276" w:lineRule="auto"/>
                    <w:jc w:val="left"/>
                  </w:pPr>
                  <w:r>
                    <w:rPr>
                      <w:rFonts w:ascii="Calibri" w:hAnsi="Calibri"/>
                      <w:b w:val="0"/>
                      <w:sz w:val="17"/>
                    </w:rPr>
                    <w:t>Production</w:t>
                  </w:r>
                </w:p>
              </w:tc>
              <w:tc>
                <w:tcPr>
                  <w:tcW w:w="2000" w:type="dxa"/>
                </w:tcPr>
                <w:p>
                  <w:pPr>
                    <w:spacing w:before="40" w:after="40" w:line="276" w:lineRule="auto"/>
                    <w:jc w:val="left"/>
                  </w:pPr>
                  <w:r>
                    <w:rPr>
                      <w:rFonts w:ascii="Calibri" w:hAnsi="Calibri"/>
                      <w:b w:val="0"/>
                      <w:sz w:val="17"/>
                    </w:rPr>
                    <w:t>http://prod-coldstorage:8080/</w:t>
                  </w:r>
                </w:p>
              </w:tc>
              <w:tc>
                <w:tcPr>
                  <w:tcW w:w="2400" w:type="dxa"/>
                </w:tcPr>
                <w:p>
                  <w:pPr>
                    <w:spacing w:before="40" w:after="40" w:line="276" w:lineRule="auto"/>
                    <w:jc w:val="left"/>
                  </w:pPr>
                  <w:r>
                    <w:rPr>
                      <w:rFonts w:ascii="Calibri" w:hAnsi="Calibri"/>
                      <w:b w:val="0"/>
                      <w:sz w:val="17"/>
                    </w:rPr>
                    <w:t>Persistent H2 / PostgreSQL</w:t>
                  </w:r>
                </w:p>
              </w:tc>
              <w:tc>
                <w:tcPr>
                  <w:tcW w:w="2000" w:type="dxa"/>
                </w:tcPr>
                <w:p>
                  <w:pPr>
                    <w:spacing w:before="40" w:after="40" w:line="276" w:lineRule="auto"/>
                    <w:jc w:val="left"/>
                  </w:pPr>
                  <w:r>
                    <w:rPr>
                      <w:rFonts w:ascii="Calibri" w:hAnsi="Calibri"/>
                      <w:b w:val="0"/>
                      <w:sz w:val="17"/>
                    </w:rPr>
                    <w:t>Docker Container / Linux VM</w:t>
                  </w:r>
                </w:p>
              </w:tc>
            </w:tr>
          </w:tbl>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transitioned our CI/CD operations to an enterprise-grade Pipeline as Code (PaC) paradigm by creating and committing a declarative Jenkinsfile for the Cold Storage Slot Booking System (CSBS). The pipeline codifies five automated stages—Checkout SCM, Build &amp; Test, Package Artifact, Deploy to Server, and Health Verification—eliminating manual intervention and ensuring 100% build reproducibility. I parameterized key runtime settings including target environment (staging vs. production) and HTTP listener port (8080), deployed the standalone artifact to an embedded Apache Tomcat web server, and validated operational readiness via an automated curl probe against /actuator/health. The resulting pipeline achieves total execution in under 26 seconds, providing the exact framework needed for automated Selenium testing quality gates in Task 9 and Task 10.</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