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DFDA7" w14:textId="77777777" w:rsidR="009B1007" w:rsidRDefault="00C85BD0">
      <w:pPr>
        <w:tabs>
          <w:tab w:val="center" w:pos="4513"/>
          <w:tab w:val="right" w:pos="9026"/>
        </w:tabs>
        <w:spacing w:after="0" w:line="240" w:lineRule="auto"/>
        <w:rPr>
          <w:rFonts w:asciiTheme="majorHAnsi" w:hAnsiTheme="majorHAnsi"/>
          <w:color w:val="000000"/>
          <w:sz w:val="24"/>
          <w:szCs w:val="24"/>
        </w:rPr>
      </w:pPr>
      <w:r>
        <w:rPr>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xmlns:w16cei="http://schemas.microsoft.com/office/word/2026/wordml/cei">
            <w:pict>
              <v:rect w14:anchorId="1DE9EC1D"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1B98D619" w14:textId="77777777" w:rsidR="009B1007" w:rsidRDefault="009B1007">
      <w:pPr>
        <w:tabs>
          <w:tab w:val="center" w:pos="4513"/>
          <w:tab w:val="right" w:pos="9026"/>
        </w:tabs>
        <w:spacing w:after="0" w:line="240" w:lineRule="auto"/>
        <w:rPr>
          <w:rFonts w:asciiTheme="majorHAnsi" w:hAnsiTheme="majorHAnsi"/>
          <w:color w:val="000000"/>
          <w:sz w:val="24"/>
          <w:szCs w:val="24"/>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14:paraId="15D15D3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515A3C2C"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Semester</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B.E. Semester VII – Computer Engineering</w:t>
            </w:r>
          </w:p>
        </w:tc>
      </w:tr>
      <w:tr w:rsidR="009B1007" w14:paraId="0FA06FE5"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BF175D3"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DevOps Lab</w:t>
            </w:r>
          </w:p>
        </w:tc>
      </w:tr>
      <w:tr w:rsidR="009B1007" w14:paraId="23B21906"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8F14E27"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Subject In-charge</w:t>
            </w:r>
          </w:p>
        </w:tc>
        <w:tc>
          <w:tcPr>
            <w:tcW w:w="6466"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Dr. Snehal Andhare</w:t>
            </w:r>
          </w:p>
        </w:tc>
      </w:tr>
    </w:tbl>
    <w:p w14:paraId="0276C058" w14:textId="77777777" w:rsidR="009B1007" w:rsidRDefault="009B1007">
      <w:pPr>
        <w:spacing w:after="0" w:line="240" w:lineRule="auto"/>
        <w:rPr>
          <w:rFonts w:asciiTheme="majorHAnsi" w:hAnsiTheme="majorHAnsi"/>
          <w:sz w:val="24"/>
          <w:szCs w:val="24"/>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14:paraId="79C3EBBC"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20BD962F"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Student Name</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Mayuresh Sawant</w:t>
            </w:r>
          </w:p>
        </w:tc>
      </w:tr>
      <w:tr w:rsidR="009B1007" w14:paraId="6045A92B"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6C37813B"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Roll Number</w:t>
            </w:r>
          </w:p>
        </w:tc>
        <w:tc>
          <w:tcPr>
            <w:tcW w:w="6465"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0"/>
              </w:rPr>
              <w:t>23102A0029</w:t>
            </w:r>
          </w:p>
        </w:tc>
      </w:tr>
      <w:tr w:rsidR="009F238A" w14:paraId="116D0FB7" w14:textId="77777777" w:rsidTr="00457181">
        <w:trPr>
          <w:trHeight w:val="660"/>
        </w:trPr>
        <w:tc>
          <w:tcPr>
            <w:tcW w:w="2894" w:type="dxa"/>
            <w:tcBorders>
              <w:top w:val="single" w:sz="6" w:space="0" w:color="000000"/>
              <w:left w:val="single" w:sz="6" w:space="0" w:color="000000"/>
              <w:bottom w:val="single" w:sz="6" w:space="0" w:color="000000"/>
              <w:right w:val="single" w:sz="6" w:space="0" w:color="000000"/>
            </w:tcBorders>
          </w:tcPr>
          <w:p w14:paraId="6B77BCF9"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 xml:space="preserve">Grade and Subject </w:t>
            </w:r>
          </w:p>
          <w:p w14:paraId="6B997AF0" w14:textId="77777777" w:rsidR="009F238A" w:rsidRDefault="009F238A">
            <w:pPr>
              <w:spacing w:after="0" w:line="240" w:lineRule="auto"/>
              <w:rPr>
                <w:rFonts w:asciiTheme="majorHAnsi" w:hAnsiTheme="majorHAnsi"/>
                <w:sz w:val="24"/>
                <w:szCs w:val="24"/>
              </w:rPr>
            </w:pPr>
            <w:r>
              <w:rPr>
                <w:rFonts w:asciiTheme="majorHAnsi" w:hAnsiTheme="majorHAnsi"/>
                <w:sz w:val="24"/>
                <w:szCs w:val="24"/>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A0E4B56" w14:textId="77777777" w:rsidR="009F238A" w:rsidRDefault="009F238A">
            <w:pPr>
              <w:spacing w:after="0" w:line="240" w:lineRule="auto"/>
              <w:rPr>
                <w:rFonts w:asciiTheme="majorHAnsi" w:hAnsiTheme="majorHAnsi"/>
                <w:sz w:val="24"/>
                <w:szCs w:val="24"/>
              </w:rPr>
            </w:pPr>
          </w:p>
        </w:tc>
      </w:tr>
    </w:tbl>
    <w:p w14:paraId="2000A17F" w14:textId="77777777" w:rsidR="009B1007" w:rsidRDefault="009B1007">
      <w:pPr>
        <w:spacing w:after="0" w:line="240" w:lineRule="auto"/>
        <w:rPr>
          <w:rFonts w:asciiTheme="majorHAnsi" w:hAnsiTheme="majorHAnsi"/>
          <w:sz w:val="24"/>
          <w:szCs w:val="24"/>
        </w:rPr>
      </w:pPr>
    </w:p>
    <w:tbl>
      <w:tblPr>
        <w:tblW w:w="9952" w:type="dxa"/>
        <w:tblInd w:w="105" w:type="dxa"/>
        <w:tblLayout w:type="fixed"/>
        <w:tblCellMar>
          <w:left w:w="105" w:type="dxa"/>
          <w:right w:w="105" w:type="dxa"/>
        </w:tblCellMar>
        <w:tblLook w:val="0400" w:firstRow="0" w:lastRow="0" w:firstColumn="0" w:lastColumn="0" w:noHBand="0" w:noVBand="1"/>
      </w:tblPr>
      <w:tblGrid>
        <w:gridCol w:w="1730"/>
        <w:gridCol w:w="3729"/>
        <w:gridCol w:w="4493"/>
      </w:tblGrid>
      <w:tr w:rsidR="009B1007" w14:paraId="04C349BA" w14:textId="77777777" w:rsidTr="00302CE1">
        <w:trPr>
          <w:trHeight w:val="540"/>
        </w:trPr>
        <w:tc>
          <w:tcPr>
            <w:tcW w:w="1730" w:type="dxa"/>
            <w:tcBorders>
              <w:top w:val="single" w:sz="6" w:space="0" w:color="000000"/>
              <w:left w:val="single" w:sz="6" w:space="0" w:color="000000"/>
              <w:bottom w:val="single" w:sz="6" w:space="0" w:color="000000"/>
              <w:right w:val="single" w:sz="6" w:space="0" w:color="000000"/>
            </w:tcBorders>
          </w:tcPr>
          <w:p w14:paraId="410B5C39"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3403996" w14:textId="094F44B4" w:rsidR="009B1007" w:rsidRDefault="00C85BD0">
            <w:pPr>
              <w:spacing w:after="0" w:line="240" w:lineRule="auto"/>
              <w:rPr>
                <w:rFonts w:asciiTheme="majorHAnsi" w:hAnsiTheme="majorHAnsi"/>
                <w:sz w:val="24"/>
                <w:szCs w:val="24"/>
              </w:rPr>
            </w:pPr>
            <w:r>
              <w:rPr>
                <w:rFonts w:asciiTheme="majorHAnsi" w:hAnsiTheme="majorHAnsi"/>
                <w:sz w:val="24"/>
                <w:szCs w:val="24"/>
              </w:rPr>
              <w:t>Number</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4"/>
              </w:rPr>
              <w:t>4</w:t>
            </w:r>
          </w:p>
        </w:tc>
      </w:tr>
      <w:tr w:rsidR="009B1007" w14:paraId="1E4B1023" w14:textId="77777777" w:rsidTr="00302CE1">
        <w:trPr>
          <w:trHeight w:val="260"/>
        </w:trPr>
        <w:tc>
          <w:tcPr>
            <w:tcW w:w="1730" w:type="dxa"/>
            <w:tcBorders>
              <w:top w:val="single" w:sz="6" w:space="0" w:color="000000"/>
              <w:left w:val="single" w:sz="6" w:space="0" w:color="000000"/>
              <w:bottom w:val="single" w:sz="6" w:space="0" w:color="000000"/>
              <w:right w:val="single" w:sz="6" w:space="0" w:color="000000"/>
            </w:tcBorders>
          </w:tcPr>
          <w:p w14:paraId="22158110" w14:textId="77777777" w:rsidR="00326981" w:rsidRDefault="00326981">
            <w:pPr>
              <w:spacing w:after="0" w:line="240" w:lineRule="auto"/>
              <w:rPr>
                <w:rFonts w:asciiTheme="majorHAnsi" w:hAnsiTheme="majorHAnsi"/>
                <w:sz w:val="24"/>
                <w:szCs w:val="24"/>
              </w:rPr>
            </w:pPr>
            <w:r>
              <w:rPr>
                <w:rFonts w:asciiTheme="majorHAnsi" w:hAnsiTheme="majorHAnsi"/>
                <w:sz w:val="24"/>
                <w:szCs w:val="24"/>
              </w:rPr>
              <w:t>Task</w:t>
            </w:r>
          </w:p>
          <w:p w14:paraId="52F0114D" w14:textId="5507AA1A" w:rsidR="009B1007" w:rsidRDefault="00C85BD0">
            <w:pPr>
              <w:spacing w:after="0" w:line="240" w:lineRule="auto"/>
              <w:rPr>
                <w:rFonts w:asciiTheme="majorHAnsi" w:hAnsiTheme="majorHAnsi"/>
                <w:sz w:val="24"/>
                <w:szCs w:val="24"/>
              </w:rPr>
            </w:pPr>
            <w:r>
              <w:rPr>
                <w:rFonts w:asciiTheme="majorHAnsi" w:hAnsiTheme="majorHAnsi"/>
                <w:sz w:val="24"/>
                <w:szCs w:val="24"/>
              </w:rPr>
              <w:t>Title</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sz w:val="21"/>
              </w:rPr>
              <w:t>Git and GitHub Repository Initialization: Create a GitHub repository for the Cold Storage Slot Booking System. Add README, .gitignore, folder structure, issue templates and branch naming rules. Commit the initial application skeleton using meaningful commit messages.</w:t>
            </w:r>
          </w:p>
        </w:tc>
      </w:tr>
      <w:tr w:rsidR="009B1007" w14:paraId="6AD73A2A" w14:textId="77777777" w:rsidTr="00302CE1">
        <w:trPr>
          <w:trHeight w:val="740"/>
        </w:trPr>
        <w:tc>
          <w:tcPr>
            <w:tcW w:w="1730" w:type="dxa"/>
            <w:tcBorders>
              <w:top w:val="single" w:sz="6" w:space="0" w:color="000000"/>
              <w:left w:val="single" w:sz="6" w:space="0" w:color="000000"/>
              <w:bottom w:val="single" w:sz="6" w:space="0" w:color="000000"/>
              <w:right w:val="single" w:sz="6" w:space="0" w:color="000000"/>
            </w:tcBorders>
          </w:tcPr>
          <w:p w14:paraId="40B6E196" w14:textId="77777777" w:rsidR="009B1007" w:rsidRDefault="00C85BD0">
            <w:pPr>
              <w:spacing w:after="0" w:line="240" w:lineRule="auto"/>
              <w:rPr>
                <w:rFonts w:asciiTheme="majorHAnsi" w:hAnsiTheme="majorHAnsi"/>
                <w:sz w:val="24"/>
                <w:szCs w:val="24"/>
              </w:rPr>
            </w:pPr>
            <w:r>
              <w:rPr>
                <w:rFonts w:asciiTheme="majorHAnsi" w:hAnsiTheme="majorHAnsi"/>
                <w:sz w:val="24"/>
                <w:szCs w:val="24"/>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Hardware: Workstation / Laptop (x86_64 Intel/AMD), 16 GB DDR4/DDR5 RAM, 512 GB NVMe SSD</w:t>
            </w:r>
          </w:p>
        </w:tc>
        <w:tc>
          <w:tcPr>
            <w:tcW w:w="4493" w:type="dxa"/>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19"/>
              </w:rPr>
              <w:t>Software: Git 2.55+, GitHub Enterprise / Cloud Platform, Windows 11 64-bit PowerShell 7, VS Code / IntelliJ IDEA, Markdown Linter, Git CLI, OpenSSH / HTTPS Credential Helper</w:t>
            </w:r>
          </w:p>
        </w:tc>
      </w:tr>
      <w:tr w:rsidR="009B1007" w14:paraId="14C89DE4" w14:textId="77777777" w:rsidTr="00302CE1">
        <w:trPr>
          <w:trHeight w:val="3215"/>
        </w:trPr>
        <w:tc>
          <w:tcPr>
            <w:tcW w:w="1730" w:type="dxa"/>
            <w:tcBorders>
              <w:top w:val="single" w:sz="6" w:space="0" w:color="000000"/>
              <w:left w:val="single" w:sz="6" w:space="0" w:color="000000"/>
              <w:bottom w:val="single" w:sz="6" w:space="0" w:color="000000"/>
              <w:right w:val="single" w:sz="6" w:space="0" w:color="000000"/>
            </w:tcBorders>
          </w:tcPr>
          <w:p w14:paraId="5DDF4FBF" w14:textId="77777777" w:rsidR="009B1007" w:rsidRDefault="008F5BB7">
            <w:pPr>
              <w:spacing w:after="0" w:line="240" w:lineRule="auto"/>
              <w:rPr>
                <w:rFonts w:asciiTheme="majorHAnsi" w:hAnsiTheme="majorHAnsi"/>
                <w:sz w:val="24"/>
                <w:szCs w:val="24"/>
              </w:rPr>
            </w:pPr>
            <w:r>
              <w:rPr>
                <w:rFonts w:asciiTheme="majorHAnsi" w:hAnsiTheme="majorHAnsi"/>
                <w:sz w:val="24"/>
                <w:szCs w:val="24"/>
              </w:rPr>
              <w:t>Program &amp; Output</w:t>
            </w:r>
          </w:p>
        </w:tc>
        <w:tc>
          <w:tcPr>
            <w:tcW w:w="8222" w:type="dxa"/>
            <w:gridSpan w:val="2"/>
            <w:tcBorders>
              <w:top w:val="single" w:sz="6" w:space="0" w:color="000000"/>
              <w:left w:val="single" w:sz="6" w:space="0" w:color="000000"/>
              <w:bottom w:val="single" w:sz="6" w:space="0" w:color="000000"/>
              <w:right w:val="single" w:sz="6" w:space="0" w:color="000000"/>
            </w:tcBorders>
          </w:tcPr>
          <w:p w14:paraId="5B034134" w14:textId="77777777" w:rsidR="0097234A" w:rsidRDefault="0097234A">
            <w:pPr>
              <w:keepNext/>
              <w:shd w:val="clear" w:color="auto" w:fill="FFFFFF"/>
              <w:spacing w:after="40" w:line="240" w:lineRule="auto" w:before="80"/>
              <w:jc w:val="both"/>
              <w:rPr>
                <w:rFonts w:asciiTheme="majorHAnsi" w:hAnsiTheme="majorHAnsi"/>
                <w:color w:val="000000"/>
                <w:sz w:val="24"/>
                <w:szCs w:val="24"/>
                <w:lang w:val="en-IN"/>
              </w:rPr>
            </w:pPr>
            <w:r/>
            <w:r>
              <w:rPr>
                <w:rFonts w:ascii="Calibri" w:hAnsi="Calibri"/>
                <w:b/>
                <w:sz w:val="24"/>
              </w:rPr>
              <w:t>1. Version Control Objectives and Repository Architecture</w:t>
            </w:r>
          </w:p>
          <w:p>
            <w:pPr>
              <w:spacing w:before="20" w:after="60" w:line="276" w:lineRule="auto"/>
            </w:pPr>
            <w:r>
              <w:rPr>
                <w:rFonts w:ascii="Calibri" w:hAnsi="Calibri"/>
                <w:sz w:val="22"/>
              </w:rPr>
              <w:t>The objective of Task 4 is to establish a rock-solid, production-grade Git and GitHub version control foundation for the Cold Storage Slot Booking System (CSBS). In modern enterprise DevOps pipelines, version control is not merely a backup mechanism; it serves as the single source of truth that triggers automated continuous integration (CI) builds, orchestrates Selenium test gates, and powers automated Docker continuous delivery (CD). Without disciplined version control, configuration drift, broken code merges, and undocumented regressions quickly compromise software quality.</w:t>
            </w:r>
          </w:p>
          <w:p>
            <w:pPr>
              <w:spacing w:before="20" w:after="60" w:line="276" w:lineRule="auto"/>
            </w:pPr>
            <w:r>
              <w:rPr>
                <w:rFonts w:ascii="Calibri" w:hAnsi="Calibri"/>
                <w:sz w:val="22"/>
              </w:rPr>
              <w:t>To enforce complete engineering discipline, I configured an academic student Git identity (Mayuresh Sawant, 23102A0029@student.edu), initialized the local repository, crafted an airtight .gitignore file preventing binary bloat, engineered standardized GitHub issue and pull request templates, and committed the initial Spring Boot application skeleton using Conventional Commits standard.</w:t>
            </w:r>
          </w:p>
          <w:p>
            <w:pPr>
              <w:keepNext/>
              <w:spacing w:before="160" w:after="60" w:line="276" w:lineRule="auto"/>
            </w:pPr>
            <w:r>
              <w:rPr>
                <w:rFonts w:ascii="Calibri" w:hAnsi="Calibri"/>
                <w:b/>
                <w:sz w:val="24"/>
              </w:rPr>
              <w:t>2. Repository Structure &amp; .gitignore Exclusion Standards</w:t>
            </w:r>
          </w:p>
          <w:p>
            <w:pPr>
              <w:spacing w:before="20" w:after="60" w:line="276" w:lineRule="auto"/>
            </w:pPr>
            <w:r>
              <w:rPr>
                <w:rFonts w:ascii="Calibri" w:hAnsi="Calibri"/>
                <w:sz w:val="22"/>
              </w:rPr>
              <w:t>To ensure that only source code and version-controlled assets enter Git history, I formulated a strict .gitignore exclusion policy. Ephemeral artifacts, build outputs (target/), IDE configurations (.idea/, .vscode/), local portable Maven runtimes (maven/), and archived document drafts (docs/prev/) are excluded to maintain a lean, secure repository. Table 4.1 documents the directory layout:</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1600" w:type="dxa"/>
                  <w:shd w:fill="EAECEE"/>
                </w:tcPr>
                <w:p>
                  <w:pPr>
                    <w:spacing w:before="40" w:after="40" w:line="276" w:lineRule="auto"/>
                    <w:jc w:val="left"/>
                  </w:pPr>
                  <w:r>
                    <w:rPr>
                      <w:rFonts w:ascii="Calibri" w:hAnsi="Calibri"/>
                      <w:b/>
                      <w:sz w:val="19"/>
                    </w:rPr>
                    <w:t>Folder / File Path</w:t>
                  </w:r>
                </w:p>
              </w:tc>
              <w:tc>
                <w:tcPr>
                  <w:tcW w:w="2400" w:type="dxa"/>
                  <w:shd w:fill="EAECEE"/>
                </w:tcPr>
                <w:p>
                  <w:pPr>
                    <w:spacing w:before="40" w:after="40" w:line="276" w:lineRule="auto"/>
                    <w:jc w:val="left"/>
                  </w:pPr>
                  <w:r>
                    <w:rPr>
                      <w:rFonts w:ascii="Calibri" w:hAnsi="Calibri"/>
                      <w:b/>
                      <w:sz w:val="19"/>
                    </w:rPr>
                    <w:t>Artifact Classification</w:t>
                  </w:r>
                </w:p>
              </w:tc>
              <w:tc>
                <w:tcPr>
                  <w:tcW w:w="3900" w:type="dxa"/>
                  <w:shd w:fill="EAECEE"/>
                </w:tcPr>
                <w:p>
                  <w:pPr>
                    <w:spacing w:before="40" w:after="40" w:line="276" w:lineRule="auto"/>
                    <w:jc w:val="left"/>
                  </w:pPr>
                  <w:r>
                    <w:rPr>
                      <w:rFonts w:ascii="Calibri" w:hAnsi="Calibri"/>
                      <w:b/>
                      <w:sz w:val="19"/>
                    </w:rPr>
                    <w:t>DevOps Operational Function &amp; Scope</w:t>
                  </w:r>
                </w:p>
              </w:tc>
            </w:tr>
            <w:tr>
              <w:trPr>
                <w:cantSplit/>
              </w:trPr>
              <w:tc>
                <w:tcPr>
                  <w:tcW w:w="1600" w:type="dxa"/>
                </w:tcPr>
                <w:p>
                  <w:pPr>
                    <w:spacing w:before="40" w:after="40" w:line="276" w:lineRule="auto"/>
                    <w:jc w:val="left"/>
                  </w:pPr>
                  <w:r>
                    <w:rPr>
                      <w:rFonts w:ascii="Calibri" w:hAnsi="Calibri"/>
                      <w:b w:val="0"/>
                      <w:sz w:val="17"/>
                    </w:rPr>
                    <w:t>.github/</w:t>
                  </w:r>
                </w:p>
              </w:tc>
              <w:tc>
                <w:tcPr>
                  <w:tcW w:w="2400" w:type="dxa"/>
                </w:tcPr>
                <w:p>
                  <w:pPr>
                    <w:spacing w:before="40" w:after="40" w:line="276" w:lineRule="auto"/>
                    <w:jc w:val="left"/>
                  </w:pPr>
                  <w:r>
                    <w:rPr>
                      <w:rFonts w:ascii="Calibri" w:hAnsi="Calibri"/>
                      <w:b w:val="0"/>
                      <w:sz w:val="17"/>
                    </w:rPr>
                    <w:t>Workflow &amp; Issue Governance</w:t>
                  </w:r>
                </w:p>
              </w:tc>
              <w:tc>
                <w:tcPr>
                  <w:tcW w:w="3900" w:type="dxa"/>
                </w:tcPr>
                <w:p>
                  <w:pPr>
                    <w:spacing w:before="40" w:after="40" w:line="276" w:lineRule="auto"/>
                    <w:jc w:val="left"/>
                  </w:pPr>
                  <w:r>
                    <w:rPr>
                      <w:rFonts w:ascii="Calibri" w:hAnsi="Calibri"/>
                      <w:b w:val="0"/>
                      <w:sz w:val="17"/>
                    </w:rPr>
                    <w:t>Contains bug_report.md, feature_request.md, and pull_request_template.md.</w:t>
                  </w:r>
                </w:p>
              </w:tc>
            </w:tr>
            <w:tr>
              <w:trPr>
                <w:cantSplit/>
              </w:trPr>
              <w:tc>
                <w:tcPr>
                  <w:tcW w:w="1600" w:type="dxa"/>
                </w:tcPr>
                <w:p>
                  <w:pPr>
                    <w:spacing w:before="40" w:after="40" w:line="276" w:lineRule="auto"/>
                    <w:jc w:val="left"/>
                  </w:pPr>
                  <w:r>
                    <w:rPr>
                      <w:rFonts w:ascii="Calibri" w:hAnsi="Calibri"/>
                      <w:b w:val="0"/>
                      <w:sz w:val="17"/>
                    </w:rPr>
                    <w:t>cold-storage-app/</w:t>
                  </w:r>
                </w:p>
              </w:tc>
              <w:tc>
                <w:tcPr>
                  <w:tcW w:w="2400" w:type="dxa"/>
                </w:tcPr>
                <w:p>
                  <w:pPr>
                    <w:spacing w:before="40" w:after="40" w:line="276" w:lineRule="auto"/>
                    <w:jc w:val="left"/>
                  </w:pPr>
                  <w:r>
                    <w:rPr>
                      <w:rFonts w:ascii="Calibri" w:hAnsi="Calibri"/>
                      <w:b w:val="0"/>
                      <w:sz w:val="17"/>
                    </w:rPr>
                    <w:t>Application Source Code</w:t>
                  </w:r>
                </w:p>
              </w:tc>
              <w:tc>
                <w:tcPr>
                  <w:tcW w:w="3900" w:type="dxa"/>
                </w:tcPr>
                <w:p>
                  <w:pPr>
                    <w:spacing w:before="40" w:after="40" w:line="276" w:lineRule="auto"/>
                    <w:jc w:val="left"/>
                  </w:pPr>
                  <w:r>
                    <w:rPr>
                      <w:rFonts w:ascii="Calibri" w:hAnsi="Calibri"/>
                      <w:b w:val="0"/>
                      <w:sz w:val="17"/>
                    </w:rPr>
                    <w:t>Complete Maven project containing Spring Boot backend, H2 models, and Thymeleaf UI.</w:t>
                  </w:r>
                </w:p>
              </w:tc>
            </w:tr>
            <w:tr>
              <w:trPr>
                <w:cantSplit/>
              </w:trPr>
              <w:tc>
                <w:tcPr>
                  <w:tcW w:w="1600" w:type="dxa"/>
                </w:tcPr>
                <w:p>
                  <w:pPr>
                    <w:spacing w:before="40" w:after="40" w:line="276" w:lineRule="auto"/>
                    <w:jc w:val="left"/>
                  </w:pPr>
                  <w:r>
                    <w:rPr>
                      <w:rFonts w:ascii="Calibri" w:hAnsi="Calibri"/>
                      <w:b w:val="0"/>
                      <w:sz w:val="17"/>
                    </w:rPr>
                    <w:t>docs/</w:t>
                  </w:r>
                </w:p>
              </w:tc>
              <w:tc>
                <w:tcPr>
                  <w:tcW w:w="2400" w:type="dxa"/>
                </w:tcPr>
                <w:p>
                  <w:pPr>
                    <w:spacing w:before="40" w:after="40" w:line="276" w:lineRule="auto"/>
                    <w:jc w:val="left"/>
                  </w:pPr>
                  <w:r>
                    <w:rPr>
                      <w:rFonts w:ascii="Calibri" w:hAnsi="Calibri"/>
                      <w:b w:val="0"/>
                      <w:sz w:val="17"/>
                    </w:rPr>
                    <w:t>Academic Task Documents</w:t>
                  </w:r>
                </w:p>
              </w:tc>
              <w:tc>
                <w:tcPr>
                  <w:tcW w:w="3900" w:type="dxa"/>
                </w:tcPr>
                <w:p>
                  <w:pPr>
                    <w:spacing w:before="40" w:after="40" w:line="276" w:lineRule="auto"/>
                    <w:jc w:val="left"/>
                  </w:pPr>
                  <w:r>
                    <w:rPr>
                      <w:rFonts w:ascii="Calibri" w:hAnsi="Calibri"/>
                      <w:b w:val="0"/>
                      <w:sz w:val="17"/>
                    </w:rPr>
                    <w:t>Single canonical DOCX reports: DevOps_Task{N}_MayureshSawant_23102A0029.docx.</w:t>
                  </w:r>
                </w:p>
              </w:tc>
            </w:tr>
            <w:tr>
              <w:trPr>
                <w:cantSplit/>
              </w:trPr>
              <w:tc>
                <w:tcPr>
                  <w:tcW w:w="1600" w:type="dxa"/>
                </w:tcPr>
                <w:p>
                  <w:pPr>
                    <w:spacing w:before="40" w:after="40" w:line="276" w:lineRule="auto"/>
                    <w:jc w:val="left"/>
                  </w:pPr>
                  <w:r>
                    <w:rPr>
                      <w:rFonts w:ascii="Calibri" w:hAnsi="Calibri"/>
                      <w:b w:val="0"/>
                      <w:sz w:val="17"/>
                    </w:rPr>
                    <w:t>screenshots/</w:t>
                  </w:r>
                </w:p>
              </w:tc>
              <w:tc>
                <w:tcPr>
                  <w:tcW w:w="2400" w:type="dxa"/>
                </w:tcPr>
                <w:p>
                  <w:pPr>
                    <w:spacing w:before="40" w:after="40" w:line="276" w:lineRule="auto"/>
                    <w:jc w:val="left"/>
                  </w:pPr>
                  <w:r>
                    <w:rPr>
                      <w:rFonts w:ascii="Calibri" w:hAnsi="Calibri"/>
                      <w:b w:val="0"/>
                      <w:sz w:val="17"/>
                    </w:rPr>
                    <w:t>Visual Execution Evidence</w:t>
                  </w:r>
                </w:p>
              </w:tc>
              <w:tc>
                <w:tcPr>
                  <w:tcW w:w="3900" w:type="dxa"/>
                </w:tcPr>
                <w:p>
                  <w:pPr>
                    <w:spacing w:before="40" w:after="40" w:line="276" w:lineRule="auto"/>
                    <w:jc w:val="left"/>
                  </w:pPr>
                  <w:r>
                    <w:rPr>
                      <w:rFonts w:ascii="Calibri" w:hAnsi="Calibri"/>
                      <w:b w:val="0"/>
                      <w:sz w:val="17"/>
                    </w:rPr>
                    <w:t>Screenshots of UI, terminal outputs, and publication-quality architectural diagrams.</w:t>
                  </w:r>
                </w:p>
              </w:tc>
            </w:tr>
            <w:tr>
              <w:trPr>
                <w:cantSplit/>
              </w:trPr>
              <w:tc>
                <w:tcPr>
                  <w:tcW w:w="1600" w:type="dxa"/>
                </w:tcPr>
                <w:p>
                  <w:pPr>
                    <w:spacing w:before="40" w:after="40" w:line="276" w:lineRule="auto"/>
                    <w:jc w:val="left"/>
                  </w:pPr>
                  <w:r>
                    <w:rPr>
                      <w:rFonts w:ascii="Calibri" w:hAnsi="Calibri"/>
                      <w:b w:val="0"/>
                      <w:sz w:val="17"/>
                    </w:rPr>
                    <w:t>scripts/</w:t>
                  </w:r>
                </w:p>
              </w:tc>
              <w:tc>
                <w:tcPr>
                  <w:tcW w:w="2400" w:type="dxa"/>
                </w:tcPr>
                <w:p>
                  <w:pPr>
                    <w:spacing w:before="40" w:after="40" w:line="276" w:lineRule="auto"/>
                    <w:jc w:val="left"/>
                  </w:pPr>
                  <w:r>
                    <w:rPr>
                      <w:rFonts w:ascii="Calibri" w:hAnsi="Calibri"/>
                      <w:b w:val="0"/>
                      <w:sz w:val="17"/>
                    </w:rPr>
                    <w:t>Automation &amp; Doc Generators</w:t>
                  </w:r>
                </w:p>
              </w:tc>
              <w:tc>
                <w:tcPr>
                  <w:tcW w:w="3900" w:type="dxa"/>
                </w:tcPr>
                <w:p>
                  <w:pPr>
                    <w:spacing w:before="40" w:after="40" w:line="276" w:lineRule="auto"/>
                    <w:jc w:val="left"/>
                  </w:pPr>
                  <w:r>
                    <w:rPr>
                      <w:rFonts w:ascii="Calibri" w:hAnsi="Calibri"/>
                      <w:b w:val="0"/>
                      <w:sz w:val="17"/>
                    </w:rPr>
                    <w:t>Python scripts (generate_task{N}.py, doc_helper.py) for 100% reproducible documents.</w:t>
                  </w:r>
                </w:p>
              </w:tc>
            </w:tr>
            <w:tr>
              <w:trPr>
                <w:cantSplit/>
              </w:trPr>
              <w:tc>
                <w:tcPr>
                  <w:tcW w:w="1600" w:type="dxa"/>
                </w:tcPr>
                <w:p>
                  <w:pPr>
                    <w:spacing w:before="40" w:after="40" w:line="276" w:lineRule="auto"/>
                    <w:jc w:val="left"/>
                  </w:pPr>
                  <w:r>
                    <w:rPr>
                      <w:rFonts w:ascii="Calibri" w:hAnsi="Calibri"/>
                      <w:b w:val="0"/>
                      <w:sz w:val="17"/>
                    </w:rPr>
                    <w:t>templates/</w:t>
                  </w:r>
                </w:p>
              </w:tc>
              <w:tc>
                <w:tcPr>
                  <w:tcW w:w="2400" w:type="dxa"/>
                </w:tcPr>
                <w:p>
                  <w:pPr>
                    <w:spacing w:before="40" w:after="40" w:line="276" w:lineRule="auto"/>
                    <w:jc w:val="left"/>
                  </w:pPr>
                  <w:r>
                    <w:rPr>
                      <w:rFonts w:ascii="Calibri" w:hAnsi="Calibri"/>
                      <w:b w:val="0"/>
                      <w:sz w:val="17"/>
                    </w:rPr>
                    <w:t>Department Base Templates</w:t>
                  </w:r>
                </w:p>
              </w:tc>
              <w:tc>
                <w:tcPr>
                  <w:tcW w:w="3900" w:type="dxa"/>
                </w:tcPr>
                <w:p>
                  <w:pPr>
                    <w:spacing w:before="40" w:after="40" w:line="276" w:lineRule="auto"/>
                    <w:jc w:val="left"/>
                  </w:pPr>
                  <w:r>
                    <w:rPr>
                      <w:rFonts w:ascii="Calibri" w:hAnsi="Calibri"/>
                      <w:b w:val="0"/>
                      <w:sz w:val="17"/>
                    </w:rPr>
                    <w:t>Approved university layouts (template_task1.docx and template_standard.docx).</w:t>
                  </w:r>
                </w:p>
              </w:tc>
            </w:tr>
            <w:tr>
              <w:trPr>
                <w:cantSplit/>
              </w:trPr>
              <w:tc>
                <w:tcPr>
                  <w:tcW w:w="1600" w:type="dxa"/>
                </w:tcPr>
                <w:p>
                  <w:pPr>
                    <w:spacing w:before="40" w:after="40" w:line="276" w:lineRule="auto"/>
                    <w:jc w:val="left"/>
                  </w:pPr>
                  <w:r>
                    <w:rPr>
                      <w:rFonts w:ascii="Calibri" w:hAnsi="Calibri"/>
                      <w:b w:val="0"/>
                      <w:sz w:val="17"/>
                    </w:rPr>
                    <w:t>.gitignore</w:t>
                  </w:r>
                </w:p>
              </w:tc>
              <w:tc>
                <w:tcPr>
                  <w:tcW w:w="2400" w:type="dxa"/>
                </w:tcPr>
                <w:p>
                  <w:pPr>
                    <w:spacing w:before="40" w:after="40" w:line="276" w:lineRule="auto"/>
                    <w:jc w:val="left"/>
                  </w:pPr>
                  <w:r>
                    <w:rPr>
                      <w:rFonts w:ascii="Calibri" w:hAnsi="Calibri"/>
                      <w:b w:val="0"/>
                      <w:sz w:val="17"/>
                    </w:rPr>
                    <w:t>VCS Exclusion Configuration</w:t>
                  </w:r>
                </w:p>
              </w:tc>
              <w:tc>
                <w:tcPr>
                  <w:tcW w:w="3900" w:type="dxa"/>
                </w:tcPr>
                <w:p>
                  <w:pPr>
                    <w:spacing w:before="40" w:after="40" w:line="276" w:lineRule="auto"/>
                    <w:jc w:val="left"/>
                  </w:pPr>
                  <w:r>
                    <w:rPr>
                      <w:rFonts w:ascii="Calibri" w:hAnsi="Calibri"/>
                      <w:b w:val="0"/>
                      <w:sz w:val="17"/>
                    </w:rPr>
                    <w:t>Blocks target/, .class, .log, .idea/, portable maven/, and docs/prev/.</w:t>
                  </w:r>
                </w:p>
              </w:tc>
            </w:tr>
          </w:tbl>
          <w:p/>
          <w:p>
            <w:pPr>
              <w:keepNext/>
              <w:spacing w:before="160" w:after="60" w:line="276" w:lineRule="auto"/>
            </w:pPr>
            <w:r>
              <w:rPr>
                <w:rFonts w:ascii="Calibri" w:hAnsi="Calibri"/>
                <w:b/>
                <w:sz w:val="24"/>
              </w:rPr>
              <w:t>3. Branch Naming Rules &amp; Branching Strategy</w:t>
            </w:r>
          </w:p>
          <w:p>
            <w:pPr>
              <w:spacing w:before="20" w:after="60" w:line="276" w:lineRule="auto"/>
            </w:pPr>
            <w:r>
              <w:rPr>
                <w:rFonts w:ascii="Calibri" w:hAnsi="Calibri"/>
                <w:sz w:val="22"/>
              </w:rPr>
              <w:t>To facilitate seamless multi-developer collaboration, prevent code collisions, and support continuous testing, I established an enterprise-grade Git branching architecture:</w:t>
            </w:r>
          </w:p>
          <w:p>
            <w:pPr>
              <w:spacing w:before="20" w:after="40" w:line="276" w:lineRule="auto"/>
              <w:ind w:left="360"/>
            </w:pPr>
            <w:r>
              <w:rPr>
                <w:rFonts w:ascii="Calibri" w:hAnsi="Calibri"/>
                <w:b/>
                <w:sz w:val="22"/>
              </w:rPr>
              <w:t xml:space="preserve">• </w:t>
            </w:r>
            <w:r>
              <w:rPr>
                <w:rFonts w:ascii="Calibri" w:hAnsi="Calibri"/>
                <w:b/>
                <w:sz w:val="22"/>
              </w:rPr>
              <w:t xml:space="preserve">main branch: </w:t>
            </w:r>
            <w:r>
              <w:rPr>
                <w:rFonts w:ascii="Calibri" w:hAnsi="Calibri"/>
                <w:sz w:val="22"/>
              </w:rPr>
              <w:t>Production-ready, protected branch. Direct commits are strictly prohibited. Receives code strictly via tagged releases (e.g., v1.0.0).</w:t>
            </w:r>
          </w:p>
          <w:p>
            <w:pPr>
              <w:spacing w:before="20" w:after="40" w:line="276" w:lineRule="auto"/>
              <w:ind w:left="360"/>
            </w:pPr>
            <w:r>
              <w:rPr>
                <w:rFonts w:ascii="Calibri" w:hAnsi="Calibri"/>
                <w:b/>
                <w:sz w:val="22"/>
              </w:rPr>
              <w:t xml:space="preserve">• </w:t>
            </w:r>
            <w:r>
              <w:rPr>
                <w:rFonts w:ascii="Calibri" w:hAnsi="Calibri"/>
                <w:b/>
                <w:sz w:val="22"/>
              </w:rPr>
              <w:t xml:space="preserve">dev branch: </w:t>
            </w:r>
            <w:r>
              <w:rPr>
                <w:rFonts w:ascii="Calibri" w:hAnsi="Calibri"/>
                <w:sz w:val="22"/>
              </w:rPr>
              <w:t>Primary integration branch. Daily feature branch merges undergo automated Jenkins CI build and headless test validation here.</w:t>
            </w:r>
          </w:p>
          <w:p>
            <w:pPr>
              <w:spacing w:before="20" w:after="40" w:line="276" w:lineRule="auto"/>
              <w:ind w:left="360"/>
            </w:pPr>
            <w:r>
              <w:rPr>
                <w:rFonts w:ascii="Calibri" w:hAnsi="Calibri"/>
                <w:b/>
                <w:sz w:val="22"/>
              </w:rPr>
              <w:t xml:space="preserve">• </w:t>
            </w:r>
            <w:r>
              <w:rPr>
                <w:rFonts w:ascii="Calibri" w:hAnsi="Calibri"/>
                <w:b/>
                <w:sz w:val="22"/>
              </w:rPr>
              <w:t xml:space="preserve">feature/* branches: </w:t>
            </w:r>
            <w:r>
              <w:rPr>
                <w:rFonts w:ascii="Calibri" w:hAnsi="Calibri"/>
                <w:sz w:val="22"/>
              </w:rPr>
              <w:t>Isolated branches branched off 'dev' for individual features (e.g., feature/slot-view, feature/booking-engine). Merged exclusively via PR.</w:t>
            </w:r>
          </w:p>
          <w:p>
            <w:pPr>
              <w:spacing w:before="20" w:after="40" w:line="276" w:lineRule="auto"/>
              <w:ind w:left="360"/>
            </w:pPr>
            <w:r>
              <w:rPr>
                <w:rFonts w:ascii="Calibri" w:hAnsi="Calibri"/>
                <w:b/>
                <w:sz w:val="22"/>
              </w:rPr>
              <w:t xml:space="preserve">• </w:t>
            </w:r>
            <w:r>
              <w:rPr>
                <w:rFonts w:ascii="Calibri" w:hAnsi="Calibri"/>
                <w:b/>
                <w:sz w:val="22"/>
              </w:rPr>
              <w:t xml:space="preserve">fix/* branches: </w:t>
            </w:r>
            <w:r>
              <w:rPr>
                <w:rFonts w:ascii="Calibri" w:hAnsi="Calibri"/>
                <w:sz w:val="22"/>
              </w:rPr>
              <w:t>Dedicated emergency hotfix branches to resolve critical quality gate defects before re-merging into 'dev' and 'main'.</w:t>
            </w:r>
          </w:p>
          <w:p>
            <w:pPr>
              <w:keepNext/>
              <w:spacing w:before="120" w:after="40"/>
              <w:jc w:val="center"/>
            </w:pPr>
            <w:r>
              <w:drawing>
                <wp:inline xmlns:a="http://schemas.openxmlformats.org/drawingml/2006/main" xmlns:pic="http://schemas.openxmlformats.org/drawingml/2006/picture">
                  <wp:extent cx="4937760" cy="2543695"/>
                  <wp:docPr id="2" name="Picture 2"/>
                  <wp:cNvGraphicFramePr>
                    <a:graphicFrameLocks noChangeAspect="1"/>
                  </wp:cNvGraphicFramePr>
                  <a:graphic>
                    <a:graphicData uri="http://schemas.openxmlformats.org/drawingml/2006/picture">
                      <pic:pic>
                        <pic:nvPicPr>
                          <pic:cNvPr id="0" name="fig4_1_branching.png"/>
                          <pic:cNvPicPr/>
                        </pic:nvPicPr>
                        <pic:blipFill>
                          <a:blip r:embed="rId23"/>
                          <a:stretch>
                            <a:fillRect/>
                          </a:stretch>
                        </pic:blipFill>
                        <pic:spPr>
                          <a:xfrm>
                            <a:off x="0" y="0"/>
                            <a:ext cx="4937760" cy="2543695"/>
                          </a:xfrm>
                          <a:prstGeom prst="rect"/>
                        </pic:spPr>
                      </pic:pic>
                    </a:graphicData>
                  </a:graphic>
                </wp:inline>
              </w:drawing>
            </w:r>
          </w:p>
          <w:p>
            <w:pPr>
              <w:keepNext/>
              <w:spacing w:before="40" w:after="160"/>
              <w:jc w:val="center"/>
            </w:pPr>
            <w:r>
              <w:rPr>
                <w:rFonts w:ascii="Calibri" w:hAnsi="Calibri"/>
                <w:b/>
                <w:sz w:val="20"/>
              </w:rPr>
              <w:t>Figure 4.1: Cold Storage Slot Booking System Git Branching Strategy and Release Flow</w:t>
            </w:r>
          </w:p>
          <w:p>
            <w:pPr>
              <w:keepNext/>
              <w:spacing w:before="160" w:after="60" w:line="276" w:lineRule="auto"/>
            </w:pPr>
            <w:r>
              <w:rPr>
                <w:rFonts w:ascii="Calibri" w:hAnsi="Calibri"/>
                <w:b/>
                <w:sz w:val="24"/>
              </w:rPr>
              <w:t>4. GitHub Issue Templates and Collaboration Contract</w:t>
            </w:r>
          </w:p>
          <w:p>
            <w:pPr>
              <w:spacing w:before="20" w:after="60" w:line="276" w:lineRule="auto"/>
            </w:pPr>
            <w:r>
              <w:rPr>
                <w:rFonts w:ascii="Calibri" w:hAnsi="Calibri"/>
                <w:sz w:val="22"/>
              </w:rPr>
              <w:t>To standardize defect reporting and feature enhancement requests across development iterations, I configured standardized Markdown templates within .github/ISSUE_TEMPLATE/: Table 4.2 outlines the issue tracking policies:</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741"/>
              <w:gridCol w:w="2741"/>
              <w:gridCol w:w="2741"/>
            </w:tblGrid>
            <w:tr>
              <w:trPr>
                <w:tblHeader/>
                <w:cantSplit/>
              </w:trPr>
              <w:tc>
                <w:tcPr>
                  <w:tcW w:w="1500" w:type="dxa"/>
                  <w:shd w:fill="EAECEE"/>
                </w:tcPr>
                <w:p>
                  <w:pPr>
                    <w:spacing w:before="40" w:after="40" w:line="276" w:lineRule="auto"/>
                    <w:jc w:val="left"/>
                  </w:pPr>
                  <w:r>
                    <w:rPr>
                      <w:rFonts w:ascii="Calibri" w:hAnsi="Calibri"/>
                      <w:b/>
                      <w:sz w:val="19"/>
                    </w:rPr>
                    <w:t>Template Name</w:t>
                  </w:r>
                </w:p>
              </w:tc>
              <w:tc>
                <w:tcPr>
                  <w:tcW w:w="1800" w:type="dxa"/>
                  <w:shd w:fill="EAECEE"/>
                </w:tcPr>
                <w:p>
                  <w:pPr>
                    <w:spacing w:before="40" w:after="40" w:line="276" w:lineRule="auto"/>
                    <w:jc w:val="left"/>
                  </w:pPr>
                  <w:r>
                    <w:rPr>
                      <w:rFonts w:ascii="Calibri" w:hAnsi="Calibri"/>
                      <w:b/>
                      <w:sz w:val="19"/>
                    </w:rPr>
                    <w:t>Target File Path</w:t>
                  </w:r>
                </w:p>
              </w:tc>
              <w:tc>
                <w:tcPr>
                  <w:tcW w:w="4600" w:type="dxa"/>
                  <w:shd w:fill="EAECEE"/>
                </w:tcPr>
                <w:p>
                  <w:pPr>
                    <w:spacing w:before="40" w:after="40" w:line="276" w:lineRule="auto"/>
                    <w:jc w:val="left"/>
                  </w:pPr>
                  <w:r>
                    <w:rPr>
                      <w:rFonts w:ascii="Calibri" w:hAnsi="Calibri"/>
                      <w:b/>
                      <w:sz w:val="19"/>
                    </w:rPr>
                    <w:t>Enforced Fields &amp; Quality Checkpoints</w:t>
                  </w:r>
                </w:p>
              </w:tc>
            </w:tr>
            <w:tr>
              <w:trPr>
                <w:cantSplit/>
              </w:trPr>
              <w:tc>
                <w:tcPr>
                  <w:tcW w:w="1500" w:type="dxa"/>
                </w:tcPr>
                <w:p>
                  <w:pPr>
                    <w:spacing w:before="40" w:after="40" w:line="276" w:lineRule="auto"/>
                    <w:jc w:val="left"/>
                  </w:pPr>
                  <w:r>
                    <w:rPr>
                      <w:rFonts w:ascii="Calibri" w:hAnsi="Calibri"/>
                      <w:b w:val="0"/>
                      <w:sz w:val="17"/>
                    </w:rPr>
                    <w:t>Bug Report</w:t>
                  </w:r>
                </w:p>
              </w:tc>
              <w:tc>
                <w:tcPr>
                  <w:tcW w:w="1800" w:type="dxa"/>
                </w:tcPr>
                <w:p>
                  <w:pPr>
                    <w:spacing w:before="40" w:after="40" w:line="276" w:lineRule="auto"/>
                    <w:jc w:val="left"/>
                  </w:pPr>
                  <w:r>
                    <w:rPr>
                      <w:rFonts w:ascii="Calibri" w:hAnsi="Calibri"/>
                      <w:b w:val="0"/>
                      <w:sz w:val="17"/>
                    </w:rPr>
                    <w:t>.github/ISSUE_TEMPLATE/bug_report.md</w:t>
                  </w:r>
                </w:p>
              </w:tc>
              <w:tc>
                <w:tcPr>
                  <w:tcW w:w="4600" w:type="dxa"/>
                </w:tcPr>
                <w:p>
                  <w:pPr>
                    <w:spacing w:before="40" w:after="40" w:line="276" w:lineRule="auto"/>
                    <w:jc w:val="left"/>
                  </w:pPr>
                  <w:r>
                    <w:rPr>
                      <w:rFonts w:ascii="Calibri" w:hAnsi="Calibri"/>
                      <w:b w:val="0"/>
                      <w:sz w:val="17"/>
                    </w:rPr>
                    <w:t>Defect summary, affected module checklist, step-by-step reproduction, expected vs actual behavior, and environment metadata.</w:t>
                  </w:r>
                </w:p>
              </w:tc>
            </w:tr>
            <w:tr>
              <w:trPr>
                <w:cantSplit/>
              </w:trPr>
              <w:tc>
                <w:tcPr>
                  <w:tcW w:w="1500" w:type="dxa"/>
                </w:tcPr>
                <w:p>
                  <w:pPr>
                    <w:spacing w:before="40" w:after="40" w:line="276" w:lineRule="auto"/>
                    <w:jc w:val="left"/>
                  </w:pPr>
                  <w:r>
                    <w:rPr>
                      <w:rFonts w:ascii="Calibri" w:hAnsi="Calibri"/>
                      <w:b w:val="0"/>
                      <w:sz w:val="17"/>
                    </w:rPr>
                    <w:t>Feature Request</w:t>
                  </w:r>
                </w:p>
              </w:tc>
              <w:tc>
                <w:tcPr>
                  <w:tcW w:w="1800" w:type="dxa"/>
                </w:tcPr>
                <w:p>
                  <w:pPr>
                    <w:spacing w:before="40" w:after="40" w:line="276" w:lineRule="auto"/>
                    <w:jc w:val="left"/>
                  </w:pPr>
                  <w:r>
                    <w:rPr>
                      <w:rFonts w:ascii="Calibri" w:hAnsi="Calibri"/>
                      <w:b w:val="0"/>
                      <w:sz w:val="17"/>
                    </w:rPr>
                    <w:t>.github/ISSUE_TEMPLATE/feature_request.md</w:t>
                  </w:r>
                </w:p>
              </w:tc>
              <w:tc>
                <w:tcPr>
                  <w:tcW w:w="4600" w:type="dxa"/>
                </w:tcPr>
                <w:p>
                  <w:pPr>
                    <w:spacing w:before="40" w:after="40" w:line="276" w:lineRule="auto"/>
                    <w:jc w:val="left"/>
                  </w:pPr>
                  <w:r>
                    <w:rPr>
                      <w:rFonts w:ascii="Calibri" w:hAnsi="Calibri"/>
                      <w:b w:val="0"/>
                      <w:sz w:val="17"/>
                    </w:rPr>
                    <w:t>User story problem statement, proposed technical solution, target cold storage flow, and architectural context.</w:t>
                  </w:r>
                </w:p>
              </w:tc>
            </w:tr>
            <w:tr>
              <w:trPr>
                <w:cantSplit/>
              </w:trPr>
              <w:tc>
                <w:tcPr>
                  <w:tcW w:w="1500" w:type="dxa"/>
                </w:tcPr>
                <w:p>
                  <w:pPr>
                    <w:spacing w:before="40" w:after="40" w:line="276" w:lineRule="auto"/>
                    <w:jc w:val="left"/>
                  </w:pPr>
                  <w:r>
                    <w:rPr>
                      <w:rFonts w:ascii="Calibri" w:hAnsi="Calibri"/>
                      <w:b w:val="0"/>
                      <w:sz w:val="17"/>
                    </w:rPr>
                    <w:t>Pull Request</w:t>
                  </w:r>
                </w:p>
              </w:tc>
              <w:tc>
                <w:tcPr>
                  <w:tcW w:w="1800" w:type="dxa"/>
                </w:tcPr>
                <w:p>
                  <w:pPr>
                    <w:spacing w:before="40" w:after="40" w:line="276" w:lineRule="auto"/>
                    <w:jc w:val="left"/>
                  </w:pPr>
                  <w:r>
                    <w:rPr>
                      <w:rFonts w:ascii="Calibri" w:hAnsi="Calibri"/>
                      <w:b w:val="0"/>
                      <w:sz w:val="17"/>
                    </w:rPr>
                    <w:t>.github/pull_request_template.md</w:t>
                  </w:r>
                </w:p>
              </w:tc>
              <w:tc>
                <w:tcPr>
                  <w:tcW w:w="4600" w:type="dxa"/>
                </w:tcPr>
                <w:p>
                  <w:pPr>
                    <w:spacing w:before="40" w:after="40" w:line="276" w:lineRule="auto"/>
                    <w:jc w:val="left"/>
                  </w:pPr>
                  <w:r>
                    <w:rPr>
                      <w:rFonts w:ascii="Calibri" w:hAnsi="Calibri"/>
                      <w:b w:val="0"/>
                      <w:sz w:val="17"/>
                    </w:rPr>
                    <w:t>Summary of changes, linked issue references, branch category, and mandatory 5-point quality and zero-regression checklist.</w:t>
                  </w:r>
                </w:p>
              </w:tc>
            </w:tr>
          </w:tbl>
          <w:p/>
          <w:p>
            <w:pPr>
              <w:keepNext/>
              <w:spacing w:before="160" w:after="60" w:line="276" w:lineRule="auto"/>
            </w:pPr>
            <w:r>
              <w:rPr>
                <w:rFonts w:ascii="Calibri" w:hAnsi="Calibri"/>
                <w:b/>
                <w:sz w:val="24"/>
              </w:rPr>
              <w:t>5. Initial Application Skeleton Commit Log and Graph</w:t>
            </w:r>
          </w:p>
          <w:p>
            <w:pPr>
              <w:spacing w:before="20" w:after="60" w:line="276" w:lineRule="auto"/>
            </w:pPr>
            <w:r>
              <w:rPr>
                <w:rFonts w:ascii="Calibri" w:hAnsi="Calibri"/>
                <w:sz w:val="22"/>
              </w:rPr>
              <w:t>The repository was initialized and populated with two foundational commits following Conventional Commits format. The commit graph and branch states were inspected in terminal and are summarized in Table 4.3:</w:t>
            </w:r>
          </w:p>
          <w:tbl>
            <w:tblPr>
              <w:tblLook w:firstColumn="1" w:firstRow="1" w:lastColumn="0" w:lastRow="0" w:noHBand="0" w:noVBand="1" w:val="04A0"/>
              <w:tblW w:w="7900" w:type="dxa"/>
              <w:tblLayout w:type="fixed"/>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bottom w:w="80" w:type="dxa"/>
                <w:left w:w="80" w:type="dxa"/>
                <w:right w:w="80" w:type="dxa"/>
              </w:tblCellMar>
            </w:tblPr>
            <w:tblGrid>
              <w:gridCol w:w="2055"/>
              <w:gridCol w:w="2055"/>
              <w:gridCol w:w="2055"/>
              <w:gridCol w:w="2055"/>
            </w:tblGrid>
            <w:tr>
              <w:trPr>
                <w:tblHeader/>
                <w:cantSplit/>
              </w:trPr>
              <w:tc>
                <w:tcPr>
                  <w:tcW w:w="1000" w:type="dxa"/>
                  <w:shd w:fill="EAECEE"/>
                </w:tcPr>
                <w:p>
                  <w:pPr>
                    <w:spacing w:before="40" w:after="40" w:line="276" w:lineRule="auto"/>
                    <w:jc w:val="left"/>
                  </w:pPr>
                  <w:r>
                    <w:rPr>
                      <w:rFonts w:ascii="Calibri" w:hAnsi="Calibri"/>
                      <w:b/>
                      <w:sz w:val="19"/>
                    </w:rPr>
                    <w:t>Commit Hash</w:t>
                  </w:r>
                </w:p>
              </w:tc>
              <w:tc>
                <w:tcPr>
                  <w:tcW w:w="1200" w:type="dxa"/>
                  <w:shd w:fill="EAECEE"/>
                </w:tcPr>
                <w:p>
                  <w:pPr>
                    <w:spacing w:before="40" w:after="40" w:line="276" w:lineRule="auto"/>
                    <w:jc w:val="left"/>
                  </w:pPr>
                  <w:r>
                    <w:rPr>
                      <w:rFonts w:ascii="Calibri" w:hAnsi="Calibri"/>
                      <w:b/>
                      <w:sz w:val="19"/>
                    </w:rPr>
                    <w:t>Branch</w:t>
                  </w:r>
                </w:p>
              </w:tc>
              <w:tc>
                <w:tcPr>
                  <w:tcW w:w="3500" w:type="dxa"/>
                  <w:shd w:fill="EAECEE"/>
                </w:tcPr>
                <w:p>
                  <w:pPr>
                    <w:spacing w:before="40" w:after="40" w:line="276" w:lineRule="auto"/>
                    <w:jc w:val="left"/>
                  </w:pPr>
                  <w:r>
                    <w:rPr>
                      <w:rFonts w:ascii="Calibri" w:hAnsi="Calibri"/>
                      <w:b/>
                      <w:sz w:val="19"/>
                    </w:rPr>
                    <w:t>Conventional Commit Message</w:t>
                  </w:r>
                </w:p>
              </w:tc>
              <w:tc>
                <w:tcPr>
                  <w:tcW w:w="2200" w:type="dxa"/>
                  <w:shd w:fill="EAECEE"/>
                </w:tcPr>
                <w:p>
                  <w:pPr>
                    <w:spacing w:before="40" w:after="40" w:line="276" w:lineRule="auto"/>
                    <w:jc w:val="left"/>
                  </w:pPr>
                  <w:r>
                    <w:rPr>
                      <w:rFonts w:ascii="Calibri" w:hAnsi="Calibri"/>
                      <w:b/>
                      <w:sz w:val="19"/>
                    </w:rPr>
                    <w:t>Committed Assets &amp; Impact</w:t>
                  </w:r>
                </w:p>
              </w:tc>
            </w:tr>
            <w:tr>
              <w:trPr>
                <w:cantSplit/>
              </w:trPr>
              <w:tc>
                <w:tcPr>
                  <w:tcW w:w="1000" w:type="dxa"/>
                </w:tcPr>
                <w:p>
                  <w:pPr>
                    <w:spacing w:before="40" w:after="40" w:line="276" w:lineRule="auto"/>
                    <w:jc w:val="left"/>
                  </w:pPr>
                  <w:r>
                    <w:rPr>
                      <w:rFonts w:ascii="Calibri" w:hAnsi="Calibri"/>
                      <w:b w:val="0"/>
                      <w:sz w:val="17"/>
                    </w:rPr>
                    <w:t>17be392</w:t>
                  </w:r>
                </w:p>
              </w:tc>
              <w:tc>
                <w:tcPr>
                  <w:tcW w:w="1200" w:type="dxa"/>
                </w:tcPr>
                <w:p>
                  <w:pPr>
                    <w:spacing w:before="40" w:after="40" w:line="276" w:lineRule="auto"/>
                    <w:jc w:val="left"/>
                  </w:pPr>
                  <w:r>
                    <w:rPr>
                      <w:rFonts w:ascii="Calibri" w:hAnsi="Calibri"/>
                      <w:b w:val="0"/>
                      <w:sz w:val="17"/>
                    </w:rPr>
                    <w:t>main</w:t>
                  </w:r>
                </w:p>
              </w:tc>
              <w:tc>
                <w:tcPr>
                  <w:tcW w:w="3500" w:type="dxa"/>
                </w:tcPr>
                <w:p>
                  <w:pPr>
                    <w:spacing w:before="40" w:after="40" w:line="276" w:lineRule="auto"/>
                    <w:jc w:val="left"/>
                  </w:pPr>
                  <w:r>
                    <w:rPr>
                      <w:rFonts w:ascii="Calibri" w:hAnsi="Calibri"/>
                      <w:b w:val="0"/>
                      <w:sz w:val="17"/>
                    </w:rPr>
                    <w:t>feat(arch): initialize Cold Storage Slot Booking System skeleton and Maven architecture</w:t>
                  </w:r>
                </w:p>
              </w:tc>
              <w:tc>
                <w:tcPr>
                  <w:tcW w:w="2200" w:type="dxa"/>
                </w:tcPr>
                <w:p>
                  <w:pPr>
                    <w:spacing w:before="40" w:after="40" w:line="276" w:lineRule="auto"/>
                    <w:jc w:val="left"/>
                  </w:pPr>
                  <w:r>
                    <w:rPr>
                      <w:rFonts w:ascii="Calibri" w:hAnsi="Calibri"/>
                      <w:b w:val="0"/>
                      <w:sz w:val="17"/>
                    </w:rPr>
                    <w:t>61 files, 4197 insertions. Baselined Spring Boot app, models, UI templates, and initial tasks.</w:t>
                  </w:r>
                </w:p>
              </w:tc>
            </w:tr>
            <w:tr>
              <w:trPr>
                <w:cantSplit/>
              </w:trPr>
              <w:tc>
                <w:tcPr>
                  <w:tcW w:w="1000" w:type="dxa"/>
                </w:tcPr>
                <w:p>
                  <w:pPr>
                    <w:spacing w:before="40" w:after="40" w:line="276" w:lineRule="auto"/>
                    <w:jc w:val="left"/>
                  </w:pPr>
                  <w:r>
                    <w:rPr>
                      <w:rFonts w:ascii="Calibri" w:hAnsi="Calibri"/>
                      <w:b w:val="0"/>
                      <w:sz w:val="17"/>
                    </w:rPr>
                    <w:t>d014f24</w:t>
                  </w:r>
                </w:p>
              </w:tc>
              <w:tc>
                <w:tcPr>
                  <w:tcW w:w="1200" w:type="dxa"/>
                </w:tcPr>
                <w:p>
                  <w:pPr>
                    <w:spacing w:before="40" w:after="40" w:line="276" w:lineRule="auto"/>
                    <w:jc w:val="left"/>
                  </w:pPr>
                  <w:r>
                    <w:rPr>
                      <w:rFonts w:ascii="Calibri" w:hAnsi="Calibri"/>
                      <w:b w:val="0"/>
                      <w:sz w:val="17"/>
                    </w:rPr>
                    <w:t>dev (HEAD)</w:t>
                  </w:r>
                </w:p>
              </w:tc>
              <w:tc>
                <w:tcPr>
                  <w:tcW w:w="3500" w:type="dxa"/>
                </w:tcPr>
                <w:p>
                  <w:pPr>
                    <w:spacing w:before="40" w:after="40" w:line="276" w:lineRule="auto"/>
                    <w:jc w:val="left"/>
                  </w:pPr>
                  <w:r>
                    <w:rPr>
                      <w:rFonts w:ascii="Calibri" w:hAnsi="Calibri"/>
                      <w:b w:val="0"/>
                      <w:sz w:val="17"/>
                    </w:rPr>
                    <w:t>docs: establish dev branch baseline and issue templates</w:t>
                  </w:r>
                </w:p>
              </w:tc>
              <w:tc>
                <w:tcPr>
                  <w:tcW w:w="2200" w:type="dxa"/>
                </w:tcPr>
                <w:p>
                  <w:pPr>
                    <w:spacing w:before="40" w:after="40" w:line="276" w:lineRule="auto"/>
                    <w:jc w:val="left"/>
                  </w:pPr>
                  <w:r>
                    <w:rPr>
                      <w:rFonts w:ascii="Calibri" w:hAnsi="Calibri"/>
                      <w:b w:val="0"/>
                      <w:sz w:val="17"/>
                    </w:rPr>
                    <w:t>Created dev integration branch, configured branch naming rules, and established PR template.</w:t>
                  </w:r>
                </w:p>
              </w:tc>
            </w:tr>
          </w:tbl>
          <w:p/>
          <w:p>
            <w:pPr>
              <w:keepNext/>
              <w:spacing w:before="120" w:after="40"/>
              <w:jc w:val="center"/>
            </w:pPr>
            <w:r>
              <w:drawing>
                <wp:inline xmlns:a="http://schemas.openxmlformats.org/drawingml/2006/main" xmlns:pic="http://schemas.openxmlformats.org/drawingml/2006/picture">
                  <wp:extent cx="4937760" cy="2194560"/>
                  <wp:docPr id="3" name="Picture 3"/>
                  <wp:cNvGraphicFramePr>
                    <a:graphicFrameLocks noChangeAspect="1"/>
                  </wp:cNvGraphicFramePr>
                  <a:graphic>
                    <a:graphicData uri="http://schemas.openxmlformats.org/drawingml/2006/picture">
                      <pic:pic>
                        <pic:nvPicPr>
                          <pic:cNvPr id="0" name="fig4_2_git_terminal.png"/>
                          <pic:cNvPicPr/>
                        </pic:nvPicPr>
                        <pic:blipFill>
                          <a:blip r:embed="rId24"/>
                          <a:stretch>
                            <a:fillRect/>
                          </a:stretch>
                        </pic:blipFill>
                        <pic:spPr>
                          <a:xfrm>
                            <a:off x="0" y="0"/>
                            <a:ext cx="4937760" cy="2194560"/>
                          </a:xfrm>
                          <a:prstGeom prst="rect"/>
                        </pic:spPr>
                      </pic:pic>
                    </a:graphicData>
                  </a:graphic>
                </wp:inline>
              </w:drawing>
            </w:r>
          </w:p>
          <w:p>
            <w:pPr>
              <w:keepNext/>
              <w:spacing w:before="40" w:after="160"/>
              <w:jc w:val="center"/>
            </w:pPr>
            <w:r>
              <w:rPr>
                <w:rFonts w:ascii="Calibri" w:hAnsi="Calibri"/>
                <w:b/>
                <w:sz w:val="20"/>
              </w:rPr>
              <w:t>Figure 4.2: Terminal Git Log Graph, Branch Topology, and Student Identity Verification</w:t>
            </w:r>
          </w:p>
        </w:tc>
      </w:tr>
      <w:tr w:rsidR="001C48C7" w14:paraId="32EAC19D" w14:textId="77777777" w:rsidTr="00302CE1">
        <w:trPr>
          <w:trHeight w:val="1291"/>
        </w:trPr>
        <w:tc>
          <w:tcPr>
            <w:tcW w:w="1730" w:type="dxa"/>
            <w:tcBorders>
              <w:top w:val="single" w:sz="6" w:space="0" w:color="000000"/>
              <w:left w:val="single" w:sz="6" w:space="0" w:color="000000"/>
              <w:bottom w:val="single" w:sz="6" w:space="0" w:color="000000"/>
              <w:right w:val="single" w:sz="6" w:space="0" w:color="000000"/>
            </w:tcBorders>
          </w:tcPr>
          <w:p w14:paraId="6F5DF011" w14:textId="77777777" w:rsidR="001C48C7" w:rsidRDefault="001C48C7">
            <w:pPr>
              <w:spacing w:after="0" w:line="240" w:lineRule="auto"/>
              <w:rPr>
                <w:rFonts w:asciiTheme="majorHAnsi" w:hAnsiTheme="majorHAnsi"/>
                <w:sz w:val="24"/>
                <w:szCs w:val="24"/>
              </w:rPr>
            </w:pPr>
            <w:r>
              <w:rPr>
                <w:rFonts w:asciiTheme="majorHAnsi" w:hAnsiTheme="majorHAnsi"/>
                <w:sz w:val="24"/>
                <w:szCs w:val="24"/>
              </w:rPr>
              <w:lastRenderedPageBreak/>
              <w:t>Conclusion:</w:t>
            </w:r>
          </w:p>
        </w:tc>
        <w:tc>
          <w:tcPr>
            <w:tcW w:w="8222" w:type="dxa"/>
            <w:gridSpan w:val="2"/>
            <w:tcBorders>
              <w:top w:val="single" w:sz="6" w:space="0" w:color="000000"/>
              <w:left w:val="single" w:sz="6" w:space="0" w:color="000000"/>
              <w:bottom w:val="single" w:sz="6" w:space="0" w:color="000000"/>
              <w:right w:val="single" w:sz="6" w:space="0" w:color="000000"/>
            </w:tcBorders>
          </w:tcPr>
          <w:p>
            <w:pPr>
              <w:spacing w:before="40" w:after="40" w:line="276" w:lineRule="auto"/>
              <w:jc w:val="left"/>
            </w:pPr>
            <w:r>
              <w:rPr>
                <w:rFonts w:ascii="Calibri" w:hAnsi="Calibri"/>
                <w:b w:val="0"/>
                <w:sz w:val="21"/>
              </w:rPr>
              <w:t>In this task, I successfully established the official Git and GitHub version control repository for the Cold Storage Slot Booking System (CSBS). I configured the student author identity (Mayuresh Sawant, 23102A0029), crafted an airtight .gitignore exclusion policy protecting the repository against build and runtime clutter, and engineered standardized issue and pull request templates within .github/. I codified an enterprise Git branching strategy centered on protected 'main' and integration 'dev' branches, complemented by structured 'feature/*' branches following Conventional Commit conventions. The initial application skeleton was committed with complete fidelity, establishing a pristine, traceable source baseline ready for feature branching in Task 5 and collaborative MVP delivery in Task 6.</w:t>
            </w:r>
          </w:p>
        </w:tc>
      </w:tr>
    </w:tbl>
    <w:p w14:paraId="731277A7" w14:textId="77777777" w:rsidR="009B1007" w:rsidRDefault="009B1007">
      <w:pPr>
        <w:spacing w:after="0" w:line="240" w:lineRule="auto"/>
      </w:pPr>
    </w:p>
    <w:sectPr w:rsidR="009B1007">
      <w:headerReference w:type="default" r:id="rId20"/>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C5F8" w14:textId="77777777" w:rsidR="00A43700" w:rsidRDefault="00A43700">
      <w:pPr>
        <w:spacing w:after="0" w:line="240" w:lineRule="auto"/>
      </w:pPr>
      <w:r>
        <w:separator/>
      </w:r>
    </w:p>
  </w:endnote>
  <w:endnote w:type="continuationSeparator" w:id="0">
    <w:p w14:paraId="2BFEBFC6" w14:textId="77777777" w:rsidR="00A43700" w:rsidRDefault="00A437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4AB13" w14:textId="77777777" w:rsidR="00A43700" w:rsidRDefault="00A43700">
      <w:pPr>
        <w:spacing w:after="0" w:line="240" w:lineRule="auto"/>
      </w:pPr>
      <w:r>
        <w:separator/>
      </w:r>
    </w:p>
  </w:footnote>
  <w:footnote w:type="continuationSeparator" w:id="0">
    <w:p w14:paraId="74730B17" w14:textId="77777777" w:rsidR="00A43700" w:rsidRDefault="00A437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9BD22"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39B98264" w14:textId="77777777"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D33"/>
    <w:multiLevelType w:val="multilevel"/>
    <w:tmpl w:val="AB3A6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77EC0"/>
    <w:multiLevelType w:val="multilevel"/>
    <w:tmpl w:val="BA00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4C981B59"/>
    <w:multiLevelType w:val="hybridMultilevel"/>
    <w:tmpl w:val="12AEED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6D150A6"/>
    <w:multiLevelType w:val="multilevel"/>
    <w:tmpl w:val="86725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502B5"/>
    <w:multiLevelType w:val="multilevel"/>
    <w:tmpl w:val="FB1A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474250">
    <w:abstractNumId w:val="3"/>
  </w:num>
  <w:num w:numId="2" w16cid:durableId="1829327156">
    <w:abstractNumId w:val="2"/>
  </w:num>
  <w:num w:numId="3" w16cid:durableId="102503169">
    <w:abstractNumId w:val="0"/>
  </w:num>
  <w:num w:numId="4" w16cid:durableId="1166820562">
    <w:abstractNumId w:val="1"/>
  </w:num>
  <w:num w:numId="5" w16cid:durableId="59377257">
    <w:abstractNumId w:val="6"/>
  </w:num>
  <w:num w:numId="6" w16cid:durableId="1836259262">
    <w:abstractNumId w:val="4"/>
  </w:num>
  <w:num w:numId="7" w16cid:durableId="464196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0530E9"/>
    <w:rsid w:val="00096961"/>
    <w:rsid w:val="000C041D"/>
    <w:rsid w:val="000C099A"/>
    <w:rsid w:val="00117E45"/>
    <w:rsid w:val="001553D5"/>
    <w:rsid w:val="001C48C7"/>
    <w:rsid w:val="001D7303"/>
    <w:rsid w:val="001F5E9C"/>
    <w:rsid w:val="00244841"/>
    <w:rsid w:val="00262B2C"/>
    <w:rsid w:val="00292335"/>
    <w:rsid w:val="002A071E"/>
    <w:rsid w:val="002D4308"/>
    <w:rsid w:val="00302CE1"/>
    <w:rsid w:val="0032070A"/>
    <w:rsid w:val="00326981"/>
    <w:rsid w:val="00351455"/>
    <w:rsid w:val="00353E29"/>
    <w:rsid w:val="0035617E"/>
    <w:rsid w:val="003D53E0"/>
    <w:rsid w:val="0045787B"/>
    <w:rsid w:val="004617E7"/>
    <w:rsid w:val="00477D43"/>
    <w:rsid w:val="004F3E86"/>
    <w:rsid w:val="005C46D4"/>
    <w:rsid w:val="005C6719"/>
    <w:rsid w:val="005D4250"/>
    <w:rsid w:val="005E1276"/>
    <w:rsid w:val="00621979"/>
    <w:rsid w:val="00651B03"/>
    <w:rsid w:val="00654D14"/>
    <w:rsid w:val="00657971"/>
    <w:rsid w:val="0066555A"/>
    <w:rsid w:val="006A3C41"/>
    <w:rsid w:val="006B39A6"/>
    <w:rsid w:val="006C7070"/>
    <w:rsid w:val="007000CD"/>
    <w:rsid w:val="00707A3F"/>
    <w:rsid w:val="007268D4"/>
    <w:rsid w:val="0075203E"/>
    <w:rsid w:val="00787574"/>
    <w:rsid w:val="007D58C9"/>
    <w:rsid w:val="00844EAF"/>
    <w:rsid w:val="0084628A"/>
    <w:rsid w:val="008670A6"/>
    <w:rsid w:val="008817F2"/>
    <w:rsid w:val="00885FB4"/>
    <w:rsid w:val="008B2F96"/>
    <w:rsid w:val="008F5BB7"/>
    <w:rsid w:val="009531C6"/>
    <w:rsid w:val="0097234A"/>
    <w:rsid w:val="009B1007"/>
    <w:rsid w:val="009F238A"/>
    <w:rsid w:val="00A43700"/>
    <w:rsid w:val="00A46C31"/>
    <w:rsid w:val="00AC48CB"/>
    <w:rsid w:val="00B2213C"/>
    <w:rsid w:val="00B4716E"/>
    <w:rsid w:val="00BC5BED"/>
    <w:rsid w:val="00C61394"/>
    <w:rsid w:val="00C85BD0"/>
    <w:rsid w:val="00CA2E1E"/>
    <w:rsid w:val="00CD10BA"/>
    <w:rsid w:val="00D206FA"/>
    <w:rsid w:val="00D24392"/>
    <w:rsid w:val="00D245C4"/>
    <w:rsid w:val="00D35A93"/>
    <w:rsid w:val="00D665C7"/>
    <w:rsid w:val="00D83828"/>
    <w:rsid w:val="00DE043E"/>
    <w:rsid w:val="00DF0515"/>
    <w:rsid w:val="00DF0C80"/>
    <w:rsid w:val="00E008CA"/>
    <w:rsid w:val="00E2794D"/>
    <w:rsid w:val="00E47E4A"/>
    <w:rsid w:val="00EB242D"/>
    <w:rsid w:val="00F11C80"/>
    <w:rsid w:val="00F21266"/>
    <w:rsid w:val="00F44247"/>
    <w:rsid w:val="00F60692"/>
    <w:rsid w:val="00F72CDC"/>
    <w:rsid w:val="00F77690"/>
    <w:rsid w:val="00FA7A62"/>
    <w:rsid w:val="00FB3D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B8CFB"/>
  <w15:docId w15:val="{23A1F9F7-0833-47AA-B9A4-9BB684993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 w:type="character" w:styleId="Hyperlink">
    <w:name w:val="Hyperlink"/>
    <w:basedOn w:val="DefaultParagraphFont"/>
    <w:uiPriority w:val="99"/>
    <w:unhideWhenUsed/>
    <w:rsid w:val="006B39A6"/>
    <w:rPr>
      <w:color w:val="0000FF" w:themeColor="hyperlink"/>
      <w:u w:val="single"/>
    </w:rPr>
  </w:style>
  <w:style w:type="character" w:styleId="UnresolvedMention">
    <w:name w:val="Unresolved Mention"/>
    <w:basedOn w:val="DefaultParagraphFont"/>
    <w:uiPriority w:val="99"/>
    <w:semiHidden/>
    <w:unhideWhenUsed/>
    <w:rsid w:val="006B3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09f1985-8a66-4ce0-a834-2d1019ea9ce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F56DFFDE6F9D64A8E71F7F7EF082038" ma:contentTypeVersion="4" ma:contentTypeDescription="Create a new document." ma:contentTypeScope="" ma:versionID="ca30b273027846756f9dd52bfe88dc91">
  <xsd:schema xmlns:xsd="http://www.w3.org/2001/XMLSchema" xmlns:xs="http://www.w3.org/2001/XMLSchema" xmlns:p="http://schemas.microsoft.com/office/2006/metadata/properties" xmlns:ns2="509f1985-8a66-4ce0-a834-2d1019ea9ced" targetNamespace="http://schemas.microsoft.com/office/2006/metadata/properties" ma:root="true" ma:fieldsID="46d441d0b9b4cded9f4392dfd7f00ee2" ns2:_="">
    <xsd:import namespace="509f1985-8a66-4ce0-a834-2d1019ea9ce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9f1985-8a66-4ce0-a834-2d1019ea9ce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509f1985-8a66-4ce0-a834-2d1019ea9ced"/>
  </ds:schemaRefs>
</ds:datastoreItem>
</file>

<file path=customXml/itemProps2.xml><?xml version="1.0" encoding="utf-8"?>
<ds:datastoreItem xmlns:ds="http://schemas.openxmlformats.org/officeDocument/2006/customXml" ds:itemID="{5E9641F9-B464-4B19-AAF4-B6BE499FA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9f1985-8a66-4ce0-a834-2d1019ea9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D9D6F3-1810-422B-BF7B-33916423F2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KalpakTole</dc:creator>
  <dc:description/>
  <cp:lastModifiedBy>sunil saini</cp:lastModifiedBy>
  <cp:revision>2</cp:revision>
  <cp:lastPrinted>2026-09-22T09:44:00Z</cp:lastPrinted>
  <dcterms:created xsi:type="dcterms:W3CDTF">2026-10-06T04:55:00Z</dcterms:created>
  <dcterms:modified xsi:type="dcterms:W3CDTF">2026-10-06T04:55:00Z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0x010100CF56DFFDE6F9D64A8E71F7F7EF082038</vt:lpwstr>
  </property>
  <property fmtid="{D5CDD505-2E9C-101B-9397-08002B2CF9AE}" pid="9" name="GrammarlyDocumentId">
    <vt:lpwstr>32fce9fa3ca04cf51228063bcb4d67aef7513bd8a59c5f002c5c908f5ec354a2</vt:lpwstr>
  </property>
</Properties>
</file>