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F5" w:rsidRPr="00D857F5" w:rsidRDefault="00D857F5" w:rsidP="00D857F5">
      <w:pPr>
        <w:ind w:left="360"/>
        <w:rPr>
          <w:b/>
        </w:rPr>
      </w:pPr>
      <w:r w:rsidRPr="00D857F5">
        <w:rPr>
          <w:b/>
        </w:rPr>
        <w:t xml:space="preserve">Tomcat – </w:t>
      </w:r>
      <w:r>
        <w:t xml:space="preserve">I have </w:t>
      </w:r>
      <w:r w:rsidR="000C0A1E">
        <w:t>with</w:t>
      </w:r>
      <w:r w:rsidRPr="00D857F5">
        <w:rPr>
          <w:b/>
        </w:rPr>
        <w:t xml:space="preserve"> Test environment</w:t>
      </w:r>
    </w:p>
    <w:p w:rsidR="00D857F5" w:rsidRDefault="00D857F5" w:rsidP="00D857F5">
      <w:pPr>
        <w:pStyle w:val="ListParagraph"/>
      </w:pPr>
      <w:r>
        <w:t>Apache File Structure</w:t>
      </w:r>
    </w:p>
    <w:p w:rsidR="00D857F5" w:rsidRDefault="00D857F5" w:rsidP="00D857F5">
      <w:pPr>
        <w:pStyle w:val="ListParagraph"/>
      </w:pPr>
      <w:r>
        <w:t xml:space="preserve">(Reference -- </w:t>
      </w:r>
      <w:r w:rsidRPr="00F055FB">
        <w:rPr>
          <w:color w:val="4472C4" w:themeColor="accent1"/>
        </w:rPr>
        <w:t>https://examples.javacodegeeks.com/enterprise-java/tomcat/tomcat-server-xml-configuration-example/)</w:t>
      </w: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br/>
        <w:t>Once you installed tomcat, it will be placed in your local storage. For windows, it’s usually in “Program Files” folder, for Mac or Linux, it can be on the /user/var/opt or /User/&lt;&gt;/Application folder. Once you’re in the directory, you can see the different folders and files available:</w:t>
      </w:r>
    </w:p>
    <w:p w:rsidR="00D857F5" w:rsidRPr="00826169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29BFF187" wp14:editId="43A18FAD">
            <wp:extent cx="59436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Pr="00826169" w:rsidRDefault="00D857F5" w:rsidP="00D85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bin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for Tomcat’s binaries and startup scripts.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lastRenderedPageBreak/>
        <w:drawing>
          <wp:inline distT="0" distB="0" distL="0" distR="0" wp14:anchorId="2811AC34" wp14:editId="4907FDE3">
            <wp:extent cx="594360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Pr="00826169" w:rsidRDefault="00D857F5" w:rsidP="00D857F5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conf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global configuration applicable to all the webapps. The default installation provides:</w:t>
      </w:r>
    </w:p>
    <w:p w:rsidR="00D857F5" w:rsidRPr="00826169" w:rsidRDefault="00D857F5" w:rsidP="00D857F5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catalina.policy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for specifying security policy.</w:t>
      </w:r>
    </w:p>
    <w:p w:rsidR="00D857F5" w:rsidRPr="00826169" w:rsidRDefault="00D857F5" w:rsidP="00D857F5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t>Two Properties Files: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catalina.properties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logging.properties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</w:t>
      </w:r>
    </w:p>
    <w:p w:rsidR="00D857F5" w:rsidRPr="00826169" w:rsidRDefault="00D857F5" w:rsidP="00D857F5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t>Four Configuration XML Files: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server.xml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(Tomcat main configuration file),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web.xml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(global web application deployment descriptors),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context.xml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(global Tomcat-specific configuration options) 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tomcat-users.xml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(a database of user, password and role for authentication and access control).</w:t>
      </w:r>
    </w:p>
    <w:p w:rsidR="00D857F5" w:rsidRDefault="00D857F5" w:rsidP="00D857F5">
      <w:p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color w:val="333333"/>
          <w:sz w:val="23"/>
          <w:szCs w:val="23"/>
        </w:rPr>
        <w:t>The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conf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also contain a sub-directory for each engine, e.g.,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which in turn contains a sub-sub-directory for each of its hosts, e.g.,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. You can place the host-specific context information (similar to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context.xml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but named as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webapp.xml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for each webapp under the host).</w:t>
      </w:r>
    </w:p>
    <w:p w:rsidR="00D857F5" w:rsidRDefault="00D857F5" w:rsidP="00D857F5">
      <w:p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Pr="00826169" w:rsidRDefault="00D857F5" w:rsidP="00D857F5">
      <w:p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The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conf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also contain a sub-directory for each engine, e.g.,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Catalina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, which in turn contains a sub-sub-directory for each of its hosts, e.g.,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localhost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. You can place the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host-specific context information (similar to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context.xml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, but named as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webapp.xml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for each webapp under the host).</w:t>
      </w: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52A3D3BE" wp14:editId="71FEF789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Pr="00826169" w:rsidRDefault="00D857F5" w:rsidP="00D857F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lib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Keeps the JAR-file that are available to all webapps. The default installation include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servlet-api.jar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(Servlet),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jasper.jar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(JSP) 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jasper-el.jar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(EL). External JARs can be put here such as MySQL JDBC driver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mysql-connector-java-5.1.{xx}-bin.jar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 and JSTL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jstl.jar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standard.jar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lastRenderedPageBreak/>
        <w:drawing>
          <wp:inline distT="0" distB="0" distL="0" distR="0" wp14:anchorId="5D6B48F7" wp14:editId="77DB11DB">
            <wp:extent cx="5838825" cy="537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Pr="00826169" w:rsidRDefault="00D857F5" w:rsidP="00D857F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logs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contains the engine logfile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Catalina.{yyyy-mm-dd}.log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host logfile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localhost.{yyyy-mm-dd}.log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, and other application logfiles such as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manger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and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host-manager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. The access log (created by the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AccessLogValve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 is also kept here.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lastRenderedPageBreak/>
        <w:drawing>
          <wp:inline distT="0" distB="0" distL="0" distR="0" wp14:anchorId="2A48EE81" wp14:editId="4AF28CBA">
            <wp:extent cx="58674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Pr="00826169" w:rsidRDefault="00D857F5" w:rsidP="00D857F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webapps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the default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appBase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 – web applications base directory of the host 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560D8872" wp14:editId="60386530">
            <wp:extent cx="57816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lastRenderedPageBreak/>
        <w:t>Work</w:t>
      </w:r>
      <w:r>
        <w:sym w:font="Wingdings" w:char="F0E0"/>
      </w:r>
      <w:r>
        <w:t>Catelina</w:t>
      </w:r>
      <w:r>
        <w:sym w:font="Wingdings" w:char="F0E0"/>
      </w:r>
      <w:r>
        <w:t>localhost</w:t>
      </w:r>
    </w:p>
    <w:p w:rsidR="00D857F5" w:rsidRPr="00826169" w:rsidRDefault="00D857F5" w:rsidP="00D857F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</w:rPr>
        <w:t>work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contains the translated servlet source files and classes of JSP/JSF. Organized in hierarchy of engine name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Catalina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), host name (</w:t>
      </w:r>
      <w:r w:rsidRPr="00826169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localhost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), webapp name, followed by the Java classes package structure.</w:t>
      </w: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</w:p>
    <w:p w:rsidR="00D857F5" w:rsidRDefault="00D857F5" w:rsidP="00D857F5">
      <w:pPr>
        <w:pStyle w:val="ListParagraph"/>
      </w:pPr>
      <w:r>
        <w:rPr>
          <w:noProof/>
        </w:rPr>
        <w:drawing>
          <wp:inline distT="0" distB="0" distL="0" distR="0" wp14:anchorId="6E8ED23A" wp14:editId="7823FB92">
            <wp:extent cx="5943600" cy="227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ahoma" w:eastAsia="Times New Roman" w:hAnsi="Tahoma" w:cs="Tahoma"/>
          <w:color w:val="333333"/>
          <w:sz w:val="23"/>
          <w:szCs w:val="23"/>
        </w:rPr>
      </w:pPr>
      <w:r w:rsidRPr="00826169">
        <w:rPr>
          <w:rFonts w:ascii="Tahoma" w:eastAsia="Times New Roman" w:hAnsi="Tahoma" w:cs="Tahoma"/>
          <w:b/>
          <w:color w:val="333333"/>
          <w:sz w:val="23"/>
          <w:szCs w:val="23"/>
          <w:bdr w:val="none" w:sz="0" w:space="0" w:color="auto" w:frame="1"/>
        </w:rPr>
        <w:t>temp</w:t>
      </w:r>
      <w:r w:rsidRPr="00826169">
        <w:rPr>
          <w:rFonts w:ascii="Tahoma" w:eastAsia="Times New Roman" w:hAnsi="Tahoma" w:cs="Tahoma"/>
          <w:color w:val="333333"/>
          <w:sz w:val="23"/>
          <w:szCs w:val="23"/>
        </w:rPr>
        <w:t>: temporary files.</w:t>
      </w: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776FDA9" wp14:editId="4AEE0C58">
            <wp:extent cx="5943600" cy="3601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Pr="00826169" w:rsidRDefault="00D857F5" w:rsidP="00D857F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</w:rPr>
      </w:pPr>
    </w:p>
    <w:p w:rsidR="00D857F5" w:rsidRDefault="00D857F5" w:rsidP="00D857F5">
      <w:pPr>
        <w:pStyle w:val="ListParagraph"/>
      </w:pPr>
    </w:p>
    <w:p w:rsidR="00D857F5" w:rsidRPr="00D778C8" w:rsidRDefault="00D857F5" w:rsidP="00D857F5">
      <w:pPr>
        <w:pStyle w:val="ListParagraph"/>
      </w:pPr>
    </w:p>
    <w:p w:rsidR="00D857F5" w:rsidRPr="00D778C8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>what is the use of all tomcat config files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  <w:r>
        <w:t xml:space="preserve">path -- </w:t>
      </w:r>
      <w:r w:rsidRPr="004C542C">
        <w:rPr>
          <w:color w:val="4472C4" w:themeColor="accent1"/>
        </w:rPr>
        <w:t>D:</w:t>
      </w:r>
      <w:r>
        <w:rPr>
          <w:color w:val="4472C4" w:themeColor="accent1"/>
        </w:rPr>
        <w:t>\</w:t>
      </w:r>
      <w:r w:rsidRPr="004C542C">
        <w:rPr>
          <w:color w:val="4472C4" w:themeColor="accent1"/>
        </w:rPr>
        <w:t>apache-tomcat-8.5.28\conf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  <w:r>
        <w:tab/>
        <w:t>files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>
        <w:t>server.xml</w:t>
      </w:r>
    </w:p>
    <w:p w:rsidR="00D857F5" w:rsidRDefault="00D857F5" w:rsidP="00D857F5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295C5E8B" wp14:editId="57A3B46A">
            <wp:extent cx="5943600" cy="4580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autoSpaceDE w:val="0"/>
        <w:autoSpaceDN w:val="0"/>
        <w:spacing w:after="0" w:line="240" w:lineRule="auto"/>
      </w:pP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tomcat-users</w:t>
      </w:r>
      <w:r>
        <w:t>.xml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catalina.properties</w:t>
      </w:r>
      <w:r>
        <w:t>—properties file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web</w:t>
      </w:r>
      <w:r>
        <w:t>.xml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logging.properties</w:t>
      </w:r>
      <w:r>
        <w:t>--properties file</w:t>
      </w:r>
    </w:p>
    <w:p w:rsidR="00D857F5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r w:rsidRPr="0005322F">
        <w:t>context</w:t>
      </w:r>
      <w:r>
        <w:t>.xml</w:t>
      </w:r>
    </w:p>
    <w:p w:rsidR="00D857F5" w:rsidRPr="00D778C8" w:rsidRDefault="00D857F5" w:rsidP="00D857F5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</w:p>
    <w:p w:rsidR="00D857F5" w:rsidRPr="00FE1259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difference between http and https 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3E4D3002" wp14:editId="32378CFA">
            <wp:extent cx="5638800" cy="632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18281AE7" wp14:editId="559CDFB7">
            <wp:extent cx="57626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Pr="00890221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Pr="00D5137C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lastRenderedPageBreak/>
        <w:t>application server and web server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7E3F5A79" wp14:editId="5F7EE2D8">
            <wp:extent cx="5629275" cy="630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b/>
        </w:rPr>
        <w:t xml:space="preserve">Web server – </w:t>
      </w:r>
      <w:r>
        <w:t>can deploy only .</w:t>
      </w:r>
      <w:r w:rsidRPr="00D5137C">
        <w:rPr>
          <w:b/>
        </w:rPr>
        <w:t>war</w:t>
      </w:r>
      <w:r>
        <w:rPr>
          <w:b/>
        </w:rPr>
        <w:t xml:space="preserve"> </w:t>
      </w:r>
      <w:r>
        <w:t>files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b/>
        </w:rPr>
        <w:tab/>
      </w:r>
      <w:r w:rsidRPr="007421C8">
        <w:t>Examples</w:t>
      </w:r>
      <w:r w:rsidRPr="007421C8">
        <w:rPr>
          <w:b/>
        </w:rPr>
        <w:t xml:space="preserve">- 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Apache, Microsoft’s Internet Information Server (IIS)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, 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Novell’s Web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 </w:t>
      </w:r>
      <w:r w:rsidRPr="007421C8">
        <w:rPr>
          <w:rFonts w:ascii="Arial" w:hAnsi="Arial" w:cs="Arial"/>
          <w:color w:val="555555"/>
          <w:sz w:val="19"/>
          <w:szCs w:val="19"/>
          <w:shd w:val="clear" w:color="auto" w:fill="FFFFFF"/>
        </w:rPr>
        <w:t>Server etc.</w:t>
      </w:r>
    </w:p>
    <w:p w:rsidR="00D857F5" w:rsidRPr="007421C8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ab/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b/>
        </w:rPr>
        <w:t>Application server –</w:t>
      </w:r>
      <w:r>
        <w:t xml:space="preserve"> Can deploy .</w:t>
      </w:r>
      <w:r w:rsidRPr="0005490B">
        <w:rPr>
          <w:b/>
        </w:rPr>
        <w:t>ear</w:t>
      </w:r>
      <w:r>
        <w:t xml:space="preserve"> as well as .</w:t>
      </w:r>
      <w:r w:rsidRPr="0005490B">
        <w:rPr>
          <w:b/>
        </w:rPr>
        <w:t>war</w:t>
      </w:r>
      <w:r>
        <w:t xml:space="preserve"> files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ab/>
      </w:r>
      <w:r w:rsidRPr="007421C8">
        <w:t>Examples</w:t>
      </w:r>
      <w:r>
        <w:t xml:space="preserve">- 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Boss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(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Red Hat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), 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JRun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(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Adobe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), 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WebLogic Server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(</w:t>
      </w:r>
      <w:r w:rsidRPr="007421C8">
        <w:rPr>
          <w:rStyle w:val="Strong"/>
          <w:rFonts w:ascii="Arial" w:hAnsi="Arial" w:cs="Arial"/>
          <w:b w:val="0"/>
          <w:color w:val="555555"/>
          <w:sz w:val="19"/>
          <w:szCs w:val="19"/>
          <w:bdr w:val="none" w:sz="0" w:space="0" w:color="auto" w:frame="1"/>
          <w:shd w:val="clear" w:color="auto" w:fill="FFFFFF"/>
        </w:rPr>
        <w:t>BEA</w:t>
      </w:r>
      <w:r w:rsidRPr="007421C8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etc.</w:t>
      </w:r>
    </w:p>
    <w:p w:rsidR="00D857F5" w:rsidRPr="00D5137C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Pr="00D5137C" w:rsidRDefault="00D857F5" w:rsidP="00D857F5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D5137C">
        <w:rPr>
          <w:rFonts w:ascii="Arial" w:eastAsia="Times New Roman" w:hAnsi="Arial" w:cs="Arial"/>
          <w:color w:val="222222"/>
          <w:sz w:val="27"/>
          <w:szCs w:val="27"/>
        </w:rPr>
        <w:t>Conclusion</w:t>
      </w:r>
    </w:p>
    <w:p w:rsidR="00D857F5" w:rsidRPr="00D5137C" w:rsidRDefault="00D857F5" w:rsidP="00D857F5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5137C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Web servers are primarily designed to serve HTTP content whereas Application server can also serve HTTP content but is not restricted to just HTTP and supports protocol such as </w:t>
      </w:r>
      <w:r w:rsidRPr="00D5137C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RMI/RPC</w:t>
      </w:r>
      <w:r w:rsidRPr="00D5137C">
        <w:rPr>
          <w:rFonts w:ascii="Verdana" w:eastAsia="Times New Roman" w:hAnsi="Verdana" w:cs="Times New Roman"/>
          <w:color w:val="222222"/>
          <w:sz w:val="23"/>
          <w:szCs w:val="23"/>
        </w:rPr>
        <w:t>. An application server can contain web server in it, which means it can perform operations performed by a web server as well as it has additional components and features to support connection pooling, object pooling, transaction support, messaging services, etcetera.</w:t>
      </w:r>
    </w:p>
    <w:p w:rsidR="00D857F5" w:rsidRPr="00890221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</w:p>
    <w:p w:rsidR="00D857F5" w:rsidRPr="00F51EB7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How to the secure tomacat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 secure tomcat need SSL connection and I did not worked on the same till but i can secure Manager Apps by changing tomcat-user.xml username and password. </w:t>
      </w:r>
    </w:p>
    <w:p w:rsidR="00D857F5" w:rsidRPr="00F51EB7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Pr="00C41F41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tell me batch command to tell me the given port is used or no  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  <w:r>
        <w:sym w:font="Wingdings" w:char="F0E0"/>
      </w:r>
      <w:r w:rsidRPr="00C41F41">
        <w:rPr>
          <w:rFonts w:ascii="Segoe UI" w:hAnsi="Segoe UI" w:cs="Segoe UI"/>
          <w:color w:val="000000"/>
          <w:sz w:val="20"/>
          <w:szCs w:val="20"/>
        </w:rPr>
        <w:t xml:space="preserve"> Netstat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Unix commands : $ netstat -apn tcp(or udp) | grep LISTEN</w:t>
      </w:r>
    </w:p>
    <w:p w:rsidR="00D857F5" w:rsidRPr="00C41F41" w:rsidRDefault="00D857F5" w:rsidP="00D857F5">
      <w:pPr>
        <w:pStyle w:val="ListParagraph"/>
        <w:autoSpaceDE w:val="0"/>
        <w:autoSpaceDN w:val="0"/>
        <w:spacing w:after="0" w:line="240" w:lineRule="auto"/>
        <w:ind w:left="1080"/>
      </w:pPr>
    </w:p>
    <w:p w:rsidR="00D857F5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D162C7">
        <w:rPr>
          <w:b/>
        </w:rPr>
        <w:t>ports used in tomcat with port no</w:t>
      </w:r>
    </w:p>
    <w:p w:rsidR="00D857F5" w:rsidRPr="00D162C7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>apache/conf/</w:t>
      </w:r>
      <w:r w:rsidRPr="00D162C7">
        <w:rPr>
          <w:rFonts w:ascii="Segoe UI" w:hAnsi="Segoe UI" w:cs="Segoe UI"/>
          <w:color w:val="000000"/>
          <w:sz w:val="20"/>
          <w:szCs w:val="20"/>
        </w:rPr>
        <w:t>server.xml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  <w:rPr>
          <w:b/>
        </w:rPr>
      </w:pPr>
      <w:r>
        <w:rPr>
          <w:b/>
        </w:rPr>
        <w:t>Ports –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>Connector ports –   HTTP-8080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ab/>
      </w:r>
      <w:r>
        <w:tab/>
      </w:r>
      <w:r>
        <w:tab/>
        <w:t>AJP-8009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noProof/>
        </w:rPr>
        <w:drawing>
          <wp:inline distT="0" distB="0" distL="0" distR="0" wp14:anchorId="21D1614C" wp14:editId="788E5881">
            <wp:extent cx="493395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t>Shutdown port – 8005 –under &lt;server&gt; tags attribute</w:t>
      </w:r>
    </w:p>
    <w:p w:rsidR="00D857F5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  <w:r>
        <w:rPr>
          <w:noProof/>
        </w:rPr>
        <w:drawing>
          <wp:inline distT="0" distB="0" distL="0" distR="0" wp14:anchorId="07E63A0A" wp14:editId="264D37C6">
            <wp:extent cx="47910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Pr="00F055FB" w:rsidRDefault="00D857F5" w:rsidP="00D857F5">
      <w:pPr>
        <w:pStyle w:val="ListParagraph"/>
        <w:autoSpaceDE w:val="0"/>
        <w:autoSpaceDN w:val="0"/>
        <w:spacing w:before="40" w:after="40" w:line="240" w:lineRule="auto"/>
        <w:ind w:left="1080"/>
      </w:pPr>
    </w:p>
    <w:p w:rsidR="00D857F5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Explain how you can deploy</w:t>
      </w:r>
      <w:r>
        <w:rPr>
          <w:b/>
        </w:rPr>
        <w:t>/configure</w:t>
      </w:r>
      <w:r w:rsidRPr="00890221">
        <w:rPr>
          <w:b/>
        </w:rPr>
        <w:t xml:space="preserve"> web application using war file</w:t>
      </w:r>
      <w:r>
        <w:rPr>
          <w:b/>
        </w:rPr>
        <w:t xml:space="preserve"> and GUI</w:t>
      </w:r>
    </w:p>
    <w:p w:rsidR="00D857F5" w:rsidRPr="009139D7" w:rsidRDefault="00D857F5" w:rsidP="00D857F5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b/>
        </w:rPr>
      </w:pPr>
      <w:r>
        <w:t>Goto apache/conf/tomcat-users.xml</w:t>
      </w:r>
    </w:p>
    <w:p w:rsidR="00D857F5" w:rsidRPr="009139D7" w:rsidRDefault="00D857F5" w:rsidP="00D857F5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b/>
        </w:rPr>
      </w:pPr>
      <w:r>
        <w:t>Edit</w:t>
      </w:r>
    </w:p>
    <w:p w:rsidR="00D857F5" w:rsidRPr="009139D7" w:rsidRDefault="00D857F5" w:rsidP="00D857F5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b/>
        </w:rPr>
      </w:pPr>
      <w:r>
        <w:t>Uncomment role section and edit as below</w:t>
      </w:r>
    </w:p>
    <w:p w:rsidR="00D857F5" w:rsidRPr="00F32DC4" w:rsidRDefault="00D857F5" w:rsidP="00D857F5">
      <w:pPr>
        <w:autoSpaceDE w:val="0"/>
        <w:autoSpaceDN w:val="0"/>
        <w:spacing w:after="0" w:line="240" w:lineRule="auto"/>
        <w:ind w:left="1440"/>
        <w:rPr>
          <w:b/>
        </w:rPr>
      </w:pPr>
      <w:r>
        <w:rPr>
          <w:noProof/>
        </w:rPr>
        <w:drawing>
          <wp:inline distT="0" distB="0" distL="0" distR="0" wp14:anchorId="7B616BDC" wp14:editId="6373DB51">
            <wp:extent cx="5943600" cy="511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D857F5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 w:rsidRPr="00F32DC4">
        <w:t>Goto</w:t>
      </w:r>
      <w:r>
        <w:t xml:space="preserve"> apache/bin and run startup.bat/.sh</w:t>
      </w:r>
    </w:p>
    <w:p w:rsidR="00D857F5" w:rsidRDefault="00D857F5" w:rsidP="00D857F5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</w:pPr>
      <w:r>
        <w:t xml:space="preserve">Goto deploy section – 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  <w:r>
        <w:t>Enter context Path - .war file name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  <w:r>
        <w:t xml:space="preserve">Enter WAR or directory URL- 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  <w:r>
        <w:t>Click deploy</w:t>
      </w:r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</w:p>
    <w:p w:rsidR="00D857F5" w:rsidRDefault="00D857F5" w:rsidP="00D857F5">
      <w:pPr>
        <w:autoSpaceDE w:val="0"/>
        <w:autoSpaceDN w:val="0"/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6EB1B121" wp14:editId="31E51EBF">
            <wp:extent cx="5943600" cy="2723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7F5" w:rsidRDefault="00D857F5" w:rsidP="00D857F5">
      <w:pPr>
        <w:pStyle w:val="ListParagraph"/>
        <w:autoSpaceDE w:val="0"/>
        <w:autoSpaceDN w:val="0"/>
        <w:spacing w:after="0" w:line="240" w:lineRule="auto"/>
        <w:ind w:left="1800"/>
      </w:pPr>
    </w:p>
    <w:p w:rsidR="00D857F5" w:rsidRDefault="00D857F5" w:rsidP="00D857F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r w:rsidRPr="004B3FD1">
        <w:rPr>
          <w:b/>
        </w:rPr>
        <w:t>Can we add multiple users/roles here in tomcat-users.xml</w:t>
      </w:r>
      <w:r>
        <w:t>?</w:t>
      </w:r>
    </w:p>
    <w:p w:rsidR="00D857F5" w:rsidRDefault="00D857F5" w:rsidP="00D857F5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</w:pPr>
      <w:r>
        <w:t xml:space="preserve">Yes </w:t>
      </w:r>
    </w:p>
    <w:p w:rsidR="00D857F5" w:rsidRPr="00F32DC4" w:rsidRDefault="00D857F5" w:rsidP="00D857F5">
      <w:pPr>
        <w:autoSpaceDE w:val="0"/>
        <w:autoSpaceDN w:val="0"/>
        <w:spacing w:after="0" w:line="240" w:lineRule="auto"/>
        <w:ind w:left="1080"/>
      </w:pPr>
    </w:p>
    <w:p w:rsidR="00D857F5" w:rsidRDefault="00D857F5" w:rsidP="00D857F5">
      <w:pPr>
        <w:pStyle w:val="ListParagraph"/>
        <w:numPr>
          <w:ilvl w:val="0"/>
          <w:numId w:val="3"/>
        </w:numPr>
      </w:pPr>
      <w:r>
        <w:t>How?</w:t>
      </w:r>
    </w:p>
    <w:p w:rsidR="00D857F5" w:rsidRPr="00F32DC4" w:rsidRDefault="00D857F5" w:rsidP="00D857F5">
      <w:pPr>
        <w:pStyle w:val="ListParagraph"/>
        <w:ind w:left="1080"/>
      </w:pPr>
      <w:r>
        <w:t>Add &lt;username, password, user roles &gt; tag with required specifications</w:t>
      </w:r>
    </w:p>
    <w:p w:rsidR="008269F4" w:rsidRDefault="00BA3D75"/>
    <w:sectPr w:rsidR="008269F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D75" w:rsidRDefault="00BA3D75" w:rsidP="00D857F5">
      <w:pPr>
        <w:spacing w:after="0" w:line="240" w:lineRule="auto"/>
      </w:pPr>
      <w:r>
        <w:separator/>
      </w:r>
    </w:p>
  </w:endnote>
  <w:endnote w:type="continuationSeparator" w:id="0">
    <w:p w:rsidR="00BA3D75" w:rsidRDefault="00BA3D75" w:rsidP="00D8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F5" w:rsidRDefault="00D857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8964c6a92bf0752da0ae43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857F5" w:rsidRPr="00D857F5" w:rsidRDefault="00D857F5" w:rsidP="00D857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857F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964c6a92bf0752da0ae43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BZD+Fo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857F5" w:rsidRPr="00D857F5" w:rsidRDefault="00D857F5" w:rsidP="00D857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857F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D75" w:rsidRDefault="00BA3D75" w:rsidP="00D857F5">
      <w:pPr>
        <w:spacing w:after="0" w:line="240" w:lineRule="auto"/>
      </w:pPr>
      <w:r>
        <w:separator/>
      </w:r>
    </w:p>
  </w:footnote>
  <w:footnote w:type="continuationSeparator" w:id="0">
    <w:p w:rsidR="00BA3D75" w:rsidRDefault="00BA3D75" w:rsidP="00D85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313"/>
    <w:multiLevelType w:val="multilevel"/>
    <w:tmpl w:val="C89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54EC"/>
    <w:multiLevelType w:val="multilevel"/>
    <w:tmpl w:val="5BFEBB2A"/>
    <w:lvl w:ilvl="0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53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0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80"/>
        </w:tabs>
        <w:ind w:left="10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3DA0"/>
    <w:multiLevelType w:val="hybridMultilevel"/>
    <w:tmpl w:val="E83AAB8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7E1F12"/>
    <w:multiLevelType w:val="multilevel"/>
    <w:tmpl w:val="43B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5403"/>
    <w:multiLevelType w:val="hybridMultilevel"/>
    <w:tmpl w:val="7BDC13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B212A3"/>
    <w:multiLevelType w:val="hybridMultilevel"/>
    <w:tmpl w:val="9B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F719E"/>
    <w:multiLevelType w:val="multilevel"/>
    <w:tmpl w:val="FE8AC0CA"/>
    <w:lvl w:ilvl="0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408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127A"/>
    <w:multiLevelType w:val="hybridMultilevel"/>
    <w:tmpl w:val="F468BE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0309A9"/>
    <w:multiLevelType w:val="hybridMultilevel"/>
    <w:tmpl w:val="8C4A69FC"/>
    <w:lvl w:ilvl="0" w:tplc="1D5EEFE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36821"/>
    <w:multiLevelType w:val="hybridMultilevel"/>
    <w:tmpl w:val="FC3AF98C"/>
    <w:lvl w:ilvl="0" w:tplc="C66A5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F403BD"/>
    <w:multiLevelType w:val="multilevel"/>
    <w:tmpl w:val="333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55C6D"/>
    <w:multiLevelType w:val="multilevel"/>
    <w:tmpl w:val="121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F5"/>
    <w:rsid w:val="00065C96"/>
    <w:rsid w:val="000C0A1E"/>
    <w:rsid w:val="0081372D"/>
    <w:rsid w:val="00BA3D75"/>
    <w:rsid w:val="00D155CC"/>
    <w:rsid w:val="00D8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DAC91"/>
  <w15:chartTrackingRefBased/>
  <w15:docId w15:val="{3DC21B24-13D4-4610-8E31-A13F9E39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57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57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5"/>
  </w:style>
  <w:style w:type="paragraph" w:styleId="Footer">
    <w:name w:val="footer"/>
    <w:basedOn w:val="Normal"/>
    <w:link w:val="FooterChar"/>
    <w:uiPriority w:val="99"/>
    <w:unhideWhenUsed/>
    <w:rsid w:val="00D8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C521-90EC-43E4-B5B6-FC1960E8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2018-02-27T10:17:00Z</dcterms:created>
  <dcterms:modified xsi:type="dcterms:W3CDTF">2018-03-14T08:39:00Z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2018-02-27T15:47:35.0043600+05:30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