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5164E" w14:textId="5E19168A" w:rsidR="00C22CA2" w:rsidRDefault="00670717" w:rsidP="00C22CA2">
      <w:pPr>
        <w:spacing w:line="240" w:lineRule="atLeast"/>
        <w:jc w:val="both"/>
        <w:rPr>
          <w:sz w:val="20"/>
        </w:rPr>
      </w:pPr>
      <w:r>
        <w:rPr>
          <w:b/>
          <w:sz w:val="20"/>
        </w:rPr>
        <w:t>GREENHOUSE GAS FLUXES IN URBAN WETLANDS: LARGE SCALE METHODS AT SMALL SCALES</w:t>
      </w:r>
      <w:r w:rsidR="00C22CA2">
        <w:rPr>
          <w:b/>
          <w:sz w:val="20"/>
        </w:rPr>
        <w:t>.</w:t>
      </w:r>
      <w:r w:rsidR="00C22CA2">
        <w:rPr>
          <w:sz w:val="20"/>
        </w:rPr>
        <w:t xml:space="preserve">  </w:t>
      </w:r>
      <w:r>
        <w:rPr>
          <w:sz w:val="20"/>
        </w:rPr>
        <w:t>M. Croome</w:t>
      </w:r>
      <w:r w:rsidR="00C22CA2">
        <w:rPr>
          <w:sz w:val="20"/>
          <w:vertAlign w:val="superscript"/>
        </w:rPr>
        <w:t>1</w:t>
      </w:r>
      <w:r>
        <w:rPr>
          <w:sz w:val="20"/>
        </w:rPr>
        <w:t>,</w:t>
      </w:r>
      <w:r w:rsidR="00C22CA2">
        <w:rPr>
          <w:sz w:val="20"/>
        </w:rPr>
        <w:t xml:space="preserve"> </w:t>
      </w:r>
      <w:r>
        <w:rPr>
          <w:sz w:val="20"/>
        </w:rPr>
        <w:t>A</w:t>
      </w:r>
      <w:r w:rsidR="00C22CA2">
        <w:rPr>
          <w:sz w:val="20"/>
        </w:rPr>
        <w:t xml:space="preserve">. </w:t>
      </w:r>
      <w:r>
        <w:rPr>
          <w:sz w:val="20"/>
        </w:rPr>
        <w:t>Kessler</w:t>
      </w:r>
      <w:r w:rsidR="00C22CA2">
        <w:rPr>
          <w:sz w:val="20"/>
          <w:vertAlign w:val="superscript"/>
        </w:rPr>
        <w:t>2</w:t>
      </w:r>
      <w:r>
        <w:rPr>
          <w:sz w:val="20"/>
        </w:rPr>
        <w:t xml:space="preserve"> and </w:t>
      </w:r>
      <w:r>
        <w:rPr>
          <w:sz w:val="20"/>
          <w:vertAlign w:val="superscript"/>
        </w:rPr>
        <w:t>3</w:t>
      </w:r>
      <w:r>
        <w:rPr>
          <w:sz w:val="20"/>
        </w:rPr>
        <w:t>R. Reef,</w:t>
      </w:r>
      <w:r w:rsidR="00C22CA2">
        <w:rPr>
          <w:sz w:val="20"/>
        </w:rPr>
        <w:t xml:space="preserve"> </w:t>
      </w:r>
      <w:r w:rsidR="00C22CA2">
        <w:rPr>
          <w:sz w:val="20"/>
          <w:vertAlign w:val="superscript"/>
        </w:rPr>
        <w:t>1</w:t>
      </w:r>
      <w:r>
        <w:rPr>
          <w:sz w:val="20"/>
        </w:rPr>
        <w:t>Monash University</w:t>
      </w:r>
      <w:r w:rsidR="00C22CA2">
        <w:rPr>
          <w:sz w:val="20"/>
        </w:rPr>
        <w:t xml:space="preserve"> (</w:t>
      </w:r>
      <w:r>
        <w:rPr>
          <w:sz w:val="20"/>
        </w:rPr>
        <w:t>mcro0015@student.monash.edu</w:t>
      </w:r>
      <w:r w:rsidR="00C22CA2">
        <w:rPr>
          <w:sz w:val="20"/>
        </w:rPr>
        <w:t xml:space="preserve">), </w:t>
      </w:r>
      <w:r w:rsidR="00C22CA2">
        <w:rPr>
          <w:sz w:val="20"/>
          <w:vertAlign w:val="superscript"/>
        </w:rPr>
        <w:t>2</w:t>
      </w:r>
      <w:r>
        <w:rPr>
          <w:sz w:val="20"/>
        </w:rPr>
        <w:t>Monash University</w:t>
      </w:r>
      <w:r w:rsidR="00C22CA2">
        <w:rPr>
          <w:sz w:val="20"/>
        </w:rPr>
        <w:t xml:space="preserve"> (</w:t>
      </w:r>
      <w:hyperlink r:id="rId8" w:history="1">
        <w:r w:rsidRPr="00C557B0">
          <w:rPr>
            <w:rStyle w:val="Hyperlink"/>
            <w:rFonts w:ascii="Times New Roman" w:hAnsi="Times New Roman"/>
            <w:sz w:val="20"/>
          </w:rPr>
          <w:t>adam.kessler@monash.edu</w:t>
        </w:r>
      </w:hyperlink>
      <w:r>
        <w:rPr>
          <w:sz w:val="20"/>
        </w:rPr>
        <w:t xml:space="preserve">), </w:t>
      </w:r>
      <w:r>
        <w:rPr>
          <w:sz w:val="20"/>
          <w:vertAlign w:val="superscript"/>
        </w:rPr>
        <w:t>3</w:t>
      </w:r>
      <w:r>
        <w:rPr>
          <w:sz w:val="20"/>
        </w:rPr>
        <w:t>Monash University (</w:t>
      </w:r>
      <w:hyperlink r:id="rId9" w:history="1">
        <w:r w:rsidRPr="00C557B0">
          <w:rPr>
            <w:rStyle w:val="Hyperlink"/>
            <w:rFonts w:ascii="Times New Roman" w:hAnsi="Times New Roman"/>
            <w:sz w:val="20"/>
          </w:rPr>
          <w:t>ruth.reef@monash.edu</w:t>
        </w:r>
      </w:hyperlink>
      <w:r>
        <w:rPr>
          <w:sz w:val="20"/>
        </w:rPr>
        <w:t>).</w:t>
      </w:r>
    </w:p>
    <w:p w14:paraId="0E958A80" w14:textId="77777777" w:rsidR="00C22CA2" w:rsidRDefault="00C22CA2" w:rsidP="00C22CA2">
      <w:pPr>
        <w:spacing w:line="240" w:lineRule="atLeast"/>
        <w:ind w:firstLine="288"/>
        <w:jc w:val="both"/>
        <w:rPr>
          <w:sz w:val="20"/>
        </w:rPr>
      </w:pPr>
    </w:p>
    <w:p w14:paraId="19EF1403" w14:textId="77777777" w:rsidR="00C22CA2" w:rsidRDefault="00C22CA2" w:rsidP="00C22CA2">
      <w:pPr>
        <w:spacing w:line="240" w:lineRule="atLeast"/>
        <w:ind w:firstLine="288"/>
        <w:jc w:val="both"/>
        <w:rPr>
          <w:sz w:val="20"/>
        </w:rPr>
      </w:pPr>
    </w:p>
    <w:p w14:paraId="03DF83D2" w14:textId="77777777" w:rsidR="00C22CA2" w:rsidRDefault="00C22CA2" w:rsidP="00C22CA2">
      <w:pPr>
        <w:spacing w:line="240" w:lineRule="atLeast"/>
        <w:ind w:firstLine="288"/>
        <w:jc w:val="both"/>
        <w:rPr>
          <w:sz w:val="20"/>
        </w:rPr>
        <w:sectPr w:rsidR="00C22CA2">
          <w:headerReference w:type="even" r:id="rId10"/>
          <w:footerReference w:type="even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F8DFB8" w14:textId="2C8C2B26" w:rsidR="00B21123" w:rsidRDefault="00C22CA2" w:rsidP="00670717">
      <w:pPr>
        <w:spacing w:line="240" w:lineRule="atLeast"/>
        <w:ind w:firstLine="288"/>
        <w:jc w:val="both"/>
        <w:rPr>
          <w:sz w:val="20"/>
        </w:rPr>
      </w:pPr>
      <w:r w:rsidRPr="00C22CA2">
        <w:rPr>
          <w:b/>
          <w:sz w:val="20"/>
        </w:rPr>
        <w:t>Introduction:</w:t>
      </w:r>
      <w:r w:rsidRPr="00C22CA2">
        <w:rPr>
          <w:sz w:val="20"/>
        </w:rPr>
        <w:t xml:space="preserve">  </w:t>
      </w:r>
      <w:r w:rsidR="00670717" w:rsidRPr="00670717">
        <w:rPr>
          <w:sz w:val="20"/>
        </w:rPr>
        <w:t>Urban wetlands are critical ecosystems and play significant roles in carbon sequestration and climate regulation in built up areas</w:t>
      </w:r>
      <w:r w:rsidR="00670717">
        <w:rPr>
          <w:sz w:val="20"/>
        </w:rPr>
        <w:t xml:space="preserve"> (</w:t>
      </w:r>
      <w:r w:rsidR="0074190B">
        <w:rPr>
          <w:sz w:val="20"/>
        </w:rPr>
        <w:t>Mitsch and Mander 2018)</w:t>
      </w:r>
      <w:r w:rsidR="00670717" w:rsidRPr="00670717">
        <w:rPr>
          <w:sz w:val="20"/>
        </w:rPr>
        <w:t>.</w:t>
      </w:r>
      <w:r w:rsidR="00670717">
        <w:rPr>
          <w:sz w:val="20"/>
        </w:rPr>
        <w:t xml:space="preserve"> </w:t>
      </w:r>
      <w:r w:rsidR="00670717" w:rsidRPr="00670717">
        <w:rPr>
          <w:sz w:val="20"/>
        </w:rPr>
        <w:t xml:space="preserve">They are frequently built into </w:t>
      </w:r>
      <w:r w:rsidR="0074190B" w:rsidRPr="00670717">
        <w:rPr>
          <w:sz w:val="20"/>
        </w:rPr>
        <w:t>streams,</w:t>
      </w:r>
      <w:r w:rsidR="00670717" w:rsidRPr="00670717">
        <w:rPr>
          <w:sz w:val="20"/>
        </w:rPr>
        <w:t xml:space="preserve"> and stormwater drains as passive water quality remediation</w:t>
      </w:r>
      <w:r w:rsidR="00670717">
        <w:rPr>
          <w:sz w:val="20"/>
        </w:rPr>
        <w:t xml:space="preserve"> (</w:t>
      </w:r>
      <w:r w:rsidR="00E615E0">
        <w:rPr>
          <w:sz w:val="20"/>
        </w:rPr>
        <w:t>Scholz and Lee 2007</w:t>
      </w:r>
      <w:r w:rsidR="00670717">
        <w:rPr>
          <w:sz w:val="20"/>
        </w:rPr>
        <w:t>)</w:t>
      </w:r>
      <w:r w:rsidR="00670717" w:rsidRPr="00670717">
        <w:rPr>
          <w:sz w:val="20"/>
        </w:rPr>
        <w:t>.</w:t>
      </w:r>
      <w:r w:rsidR="00670717">
        <w:rPr>
          <w:sz w:val="20"/>
        </w:rPr>
        <w:t xml:space="preserve"> </w:t>
      </w:r>
      <w:r w:rsidR="0074190B">
        <w:rPr>
          <w:sz w:val="20"/>
        </w:rPr>
        <w:t>While providing a natural environment optimal for the storage and sequestration of atmospheric carbon dioxide (CO</w:t>
      </w:r>
      <w:r w:rsidR="0074190B">
        <w:rPr>
          <w:sz w:val="20"/>
          <w:vertAlign w:val="subscript"/>
        </w:rPr>
        <w:t>2</w:t>
      </w:r>
      <w:r w:rsidR="0074190B">
        <w:rPr>
          <w:sz w:val="20"/>
        </w:rPr>
        <w:t>), t</w:t>
      </w:r>
      <w:r w:rsidR="00670717">
        <w:rPr>
          <w:sz w:val="20"/>
        </w:rPr>
        <w:t>hese wetlands</w:t>
      </w:r>
      <w:r w:rsidR="00670717" w:rsidRPr="00670717">
        <w:rPr>
          <w:sz w:val="20"/>
        </w:rPr>
        <w:t xml:space="preserve"> are also substantial </w:t>
      </w:r>
      <w:r w:rsidR="00670717">
        <w:rPr>
          <w:sz w:val="20"/>
        </w:rPr>
        <w:t>greenhouse gas</w:t>
      </w:r>
      <w:r w:rsidR="0074190B">
        <w:rPr>
          <w:sz w:val="20"/>
        </w:rPr>
        <w:t xml:space="preserve"> </w:t>
      </w:r>
      <w:r w:rsidR="00670717">
        <w:rPr>
          <w:sz w:val="20"/>
        </w:rPr>
        <w:t>(GHG)</w:t>
      </w:r>
      <w:r w:rsidR="0074190B">
        <w:rPr>
          <w:sz w:val="20"/>
        </w:rPr>
        <w:t xml:space="preserve"> sources</w:t>
      </w:r>
      <w:r w:rsidR="00B21123">
        <w:rPr>
          <w:sz w:val="20"/>
        </w:rPr>
        <w:t xml:space="preserve">, particularly </w:t>
      </w:r>
      <w:r w:rsidR="00E214FE">
        <w:rPr>
          <w:sz w:val="20"/>
        </w:rPr>
        <w:t xml:space="preserve">of </w:t>
      </w:r>
      <w:r w:rsidR="00B21123">
        <w:rPr>
          <w:sz w:val="20"/>
        </w:rPr>
        <w:t>CO</w:t>
      </w:r>
      <w:r w:rsidR="00B21123">
        <w:rPr>
          <w:sz w:val="20"/>
          <w:vertAlign w:val="subscript"/>
        </w:rPr>
        <w:t>2</w:t>
      </w:r>
      <w:r w:rsidR="00B21123">
        <w:rPr>
          <w:sz w:val="20"/>
        </w:rPr>
        <w:t xml:space="preserve"> and methane (CH</w:t>
      </w:r>
      <w:r w:rsidR="00B21123">
        <w:rPr>
          <w:sz w:val="20"/>
          <w:vertAlign w:val="subscript"/>
        </w:rPr>
        <w:t>4</w:t>
      </w:r>
      <w:r w:rsidR="00B21123">
        <w:rPr>
          <w:sz w:val="20"/>
        </w:rPr>
        <w:t>)</w:t>
      </w:r>
      <w:r w:rsidR="0074190B">
        <w:rPr>
          <w:sz w:val="20"/>
        </w:rPr>
        <w:t xml:space="preserve"> (Mitsch and Mander 2018)</w:t>
      </w:r>
      <w:r w:rsidR="00670717">
        <w:rPr>
          <w:sz w:val="20"/>
        </w:rPr>
        <w:t>.</w:t>
      </w:r>
      <w:r w:rsidR="00670717" w:rsidRPr="00670717">
        <w:rPr>
          <w:sz w:val="20"/>
        </w:rPr>
        <w:t xml:space="preserve"> </w:t>
      </w:r>
      <w:r w:rsidR="00B21123">
        <w:rPr>
          <w:sz w:val="20"/>
        </w:rPr>
        <w:t>There are many uncertainties around the seasonality and scale of CO</w:t>
      </w:r>
      <w:r w:rsidR="00B21123">
        <w:rPr>
          <w:sz w:val="20"/>
          <w:vertAlign w:val="subscript"/>
        </w:rPr>
        <w:t>2</w:t>
      </w:r>
      <w:r w:rsidR="00B21123">
        <w:rPr>
          <w:sz w:val="20"/>
        </w:rPr>
        <w:t xml:space="preserve"> and CH</w:t>
      </w:r>
      <w:r w:rsidR="00B21123">
        <w:rPr>
          <w:sz w:val="20"/>
          <w:vertAlign w:val="subscript"/>
        </w:rPr>
        <w:t>4</w:t>
      </w:r>
      <w:r w:rsidR="00B21123">
        <w:rPr>
          <w:sz w:val="20"/>
        </w:rPr>
        <w:t xml:space="preserve"> emissions from wetlands. Additionally, flux determinants, including a range of environmental factors such as water temperature and wind speed, and their relative importance vary significantly from wetland to wetland</w:t>
      </w:r>
      <w:r w:rsidR="004D66F2">
        <w:rPr>
          <w:sz w:val="20"/>
        </w:rPr>
        <w:t>,</w:t>
      </w:r>
      <w:r w:rsidR="00B21123">
        <w:rPr>
          <w:sz w:val="20"/>
        </w:rPr>
        <w:t xml:space="preserve"> yet remain largely unmonitored (</w:t>
      </w:r>
      <w:r w:rsidR="00B21123" w:rsidRPr="00670717">
        <w:rPr>
          <w:sz w:val="20"/>
        </w:rPr>
        <w:t>Delwiche et al</w:t>
      </w:r>
      <w:r w:rsidR="00861CEC">
        <w:rPr>
          <w:sz w:val="20"/>
        </w:rPr>
        <w:t>.</w:t>
      </w:r>
      <w:r w:rsidR="00B21123" w:rsidRPr="00670717">
        <w:rPr>
          <w:sz w:val="20"/>
        </w:rPr>
        <w:t xml:space="preserve"> 2021).</w:t>
      </w:r>
      <w:r w:rsidR="00B21123">
        <w:rPr>
          <w:sz w:val="20"/>
        </w:rPr>
        <w:t xml:space="preserve"> To </w:t>
      </w:r>
      <w:r w:rsidR="0084388C">
        <w:rPr>
          <w:sz w:val="20"/>
        </w:rPr>
        <w:t xml:space="preserve">clarify future carbon budgets, </w:t>
      </w:r>
      <w:r w:rsidR="00B21123">
        <w:rPr>
          <w:sz w:val="20"/>
        </w:rPr>
        <w:t xml:space="preserve">a greater understanding of the </w:t>
      </w:r>
      <w:r w:rsidR="0084388C">
        <w:rPr>
          <w:sz w:val="20"/>
        </w:rPr>
        <w:t xml:space="preserve">role of urban wetlands in the </w:t>
      </w:r>
      <w:r w:rsidR="00B21123">
        <w:rPr>
          <w:sz w:val="20"/>
        </w:rPr>
        <w:t>global carbon cycle</w:t>
      </w:r>
      <w:r w:rsidR="0084388C">
        <w:rPr>
          <w:sz w:val="20"/>
        </w:rPr>
        <w:t xml:space="preserve"> is needed.</w:t>
      </w:r>
      <w:r w:rsidR="00B21123">
        <w:rPr>
          <w:sz w:val="20"/>
        </w:rPr>
        <w:t xml:space="preserve"> </w:t>
      </w:r>
    </w:p>
    <w:p w14:paraId="286EBE19" w14:textId="4C75F877" w:rsidR="00DD3A7F" w:rsidRDefault="00DD3A7F" w:rsidP="00670717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Two main sampling methods are used to assess GHG fluxes in urban wetlands. The first </w:t>
      </w:r>
      <w:r w:rsidR="004D66F2">
        <w:rPr>
          <w:sz w:val="20"/>
        </w:rPr>
        <w:t xml:space="preserve">method </w:t>
      </w:r>
      <w:proofErr w:type="spellStart"/>
      <w:r w:rsidR="004D66F2">
        <w:rPr>
          <w:sz w:val="20"/>
        </w:rPr>
        <w:t>utilises</w:t>
      </w:r>
      <w:proofErr w:type="spellEnd"/>
      <w:r w:rsidR="004D66F2">
        <w:rPr>
          <w:sz w:val="20"/>
        </w:rPr>
        <w:t xml:space="preserve"> </w:t>
      </w:r>
      <w:r>
        <w:rPr>
          <w:sz w:val="20"/>
        </w:rPr>
        <w:t xml:space="preserve">conventional sampling </w:t>
      </w:r>
      <w:r w:rsidR="004D66F2">
        <w:rPr>
          <w:sz w:val="20"/>
        </w:rPr>
        <w:t>techniques</w:t>
      </w:r>
      <w:r>
        <w:rPr>
          <w:sz w:val="20"/>
        </w:rPr>
        <w:t xml:space="preserve">, including the use </w:t>
      </w:r>
      <w:proofErr w:type="gramStart"/>
      <w:r>
        <w:rPr>
          <w:sz w:val="20"/>
        </w:rPr>
        <w:t>of  flux</w:t>
      </w:r>
      <w:proofErr w:type="gramEnd"/>
      <w:r>
        <w:rPr>
          <w:sz w:val="20"/>
        </w:rPr>
        <w:t xml:space="preserve"> chambers and discrete concentration measurements. These methods can be time and </w:t>
      </w:r>
      <w:r w:rsidR="00AD7413">
        <w:rPr>
          <w:sz w:val="20"/>
        </w:rPr>
        <w:t>labor</w:t>
      </w:r>
      <w:r>
        <w:rPr>
          <w:sz w:val="20"/>
        </w:rPr>
        <w:t xml:space="preserve"> </w:t>
      </w:r>
      <w:proofErr w:type="gramStart"/>
      <w:r>
        <w:rPr>
          <w:sz w:val="20"/>
        </w:rPr>
        <w:t>intensive, and</w:t>
      </w:r>
      <w:proofErr w:type="gramEnd"/>
      <w:r>
        <w:rPr>
          <w:sz w:val="20"/>
        </w:rPr>
        <w:t xml:space="preserve"> </w:t>
      </w:r>
      <w:r w:rsidR="00AD7413">
        <w:rPr>
          <w:sz w:val="20"/>
        </w:rPr>
        <w:t xml:space="preserve">offer </w:t>
      </w:r>
      <w:r w:rsidR="004D66F2">
        <w:rPr>
          <w:sz w:val="20"/>
        </w:rPr>
        <w:t xml:space="preserve">only </w:t>
      </w:r>
      <w:r w:rsidR="00AD7413">
        <w:rPr>
          <w:sz w:val="20"/>
        </w:rPr>
        <w:t>a</w:t>
      </w:r>
      <w:r>
        <w:rPr>
          <w:sz w:val="20"/>
        </w:rPr>
        <w:t xml:space="preserve"> limited </w:t>
      </w:r>
      <w:r w:rsidR="00AD7413">
        <w:rPr>
          <w:sz w:val="20"/>
        </w:rPr>
        <w:t xml:space="preserve">representation of </w:t>
      </w:r>
      <w:r w:rsidR="004D66F2">
        <w:rPr>
          <w:sz w:val="20"/>
        </w:rPr>
        <w:t>ecosystem scale fluxes</w:t>
      </w:r>
      <w:r w:rsidR="00AD7413">
        <w:rPr>
          <w:sz w:val="20"/>
        </w:rPr>
        <w:t xml:space="preserve">. </w:t>
      </w:r>
      <w:r>
        <w:rPr>
          <w:sz w:val="20"/>
        </w:rPr>
        <w:t>The second is eddy covariance</w:t>
      </w:r>
      <w:r w:rsidR="00AD7413">
        <w:rPr>
          <w:sz w:val="20"/>
        </w:rPr>
        <w:t xml:space="preserve"> (EC)</w:t>
      </w:r>
      <w:r>
        <w:rPr>
          <w:sz w:val="20"/>
        </w:rPr>
        <w:t>,</w:t>
      </w:r>
      <w:r w:rsidRPr="00DD3A7F">
        <w:rPr>
          <w:sz w:val="20"/>
        </w:rPr>
        <w:t xml:space="preserve"> a micrometeorological technique that measures energy and mass fluxes between the Earth and the atmosphere across a range of spatial and temporal scales</w:t>
      </w:r>
      <w:r w:rsidR="005C3165">
        <w:rPr>
          <w:sz w:val="20"/>
        </w:rPr>
        <w:t xml:space="preserve"> (Rodrigues et al. 2024)</w:t>
      </w:r>
      <w:r>
        <w:rPr>
          <w:sz w:val="20"/>
        </w:rPr>
        <w:t>.</w:t>
      </w:r>
    </w:p>
    <w:p w14:paraId="12F2A65A" w14:textId="2D69721A" w:rsidR="0084388C" w:rsidRDefault="0084388C" w:rsidP="00A173E2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In this study,</w:t>
      </w:r>
      <w:r w:rsidR="00DD3A7F">
        <w:rPr>
          <w:sz w:val="20"/>
        </w:rPr>
        <w:t xml:space="preserve"> CO</w:t>
      </w:r>
      <w:r w:rsidR="00DD3A7F">
        <w:rPr>
          <w:sz w:val="20"/>
          <w:vertAlign w:val="subscript"/>
        </w:rPr>
        <w:t>2</w:t>
      </w:r>
      <w:r w:rsidR="00DD3A7F">
        <w:rPr>
          <w:sz w:val="20"/>
        </w:rPr>
        <w:t xml:space="preserve"> </w:t>
      </w:r>
      <w:r w:rsidR="00AD7413">
        <w:rPr>
          <w:sz w:val="20"/>
        </w:rPr>
        <w:t>and CH</w:t>
      </w:r>
      <w:r w:rsidR="00AD7413">
        <w:rPr>
          <w:sz w:val="20"/>
          <w:vertAlign w:val="subscript"/>
        </w:rPr>
        <w:t>4</w:t>
      </w:r>
      <w:r w:rsidR="00AD7413">
        <w:rPr>
          <w:sz w:val="20"/>
        </w:rPr>
        <w:t xml:space="preserve"> </w:t>
      </w:r>
      <w:r w:rsidR="00DD3A7F">
        <w:rPr>
          <w:sz w:val="20"/>
        </w:rPr>
        <w:t xml:space="preserve">fluxes in an Urban Wetland in Melbourne, Australia </w:t>
      </w:r>
      <w:r w:rsidR="00AD7413">
        <w:rPr>
          <w:sz w:val="20"/>
        </w:rPr>
        <w:t xml:space="preserve">were measured using a combination of conventional sampling </w:t>
      </w:r>
      <w:r w:rsidR="00393A52">
        <w:rPr>
          <w:sz w:val="20"/>
        </w:rPr>
        <w:t>techniques and</w:t>
      </w:r>
      <w:r w:rsidR="00AD7413">
        <w:rPr>
          <w:sz w:val="20"/>
        </w:rPr>
        <w:t xml:space="preserve"> </w:t>
      </w:r>
      <w:r w:rsidR="00393A52">
        <w:rPr>
          <w:sz w:val="20"/>
        </w:rPr>
        <w:t>measurements from an</w:t>
      </w:r>
      <w:r w:rsidR="00AD7413">
        <w:rPr>
          <w:sz w:val="20"/>
        </w:rPr>
        <w:t xml:space="preserve"> EC tower.</w:t>
      </w:r>
      <w:r>
        <w:rPr>
          <w:sz w:val="20"/>
        </w:rPr>
        <w:t xml:space="preserve"> The aims of this research </w:t>
      </w:r>
      <w:r w:rsidR="00AD7413">
        <w:rPr>
          <w:sz w:val="20"/>
        </w:rPr>
        <w:t>we</w:t>
      </w:r>
      <w:r>
        <w:rPr>
          <w:sz w:val="20"/>
        </w:rPr>
        <w:t xml:space="preserve">re: </w:t>
      </w:r>
      <w:r w:rsidRPr="0084388C">
        <w:rPr>
          <w:sz w:val="20"/>
        </w:rPr>
        <w:t>1</w:t>
      </w:r>
      <w:r>
        <w:rPr>
          <w:sz w:val="20"/>
        </w:rPr>
        <w:t>.</w:t>
      </w:r>
      <w:r w:rsidRPr="0084388C">
        <w:rPr>
          <w:sz w:val="20"/>
        </w:rPr>
        <w:t xml:space="preserve"> To assess the ability of</w:t>
      </w:r>
      <w:r>
        <w:rPr>
          <w:sz w:val="20"/>
        </w:rPr>
        <w:t xml:space="preserve"> EC</w:t>
      </w:r>
      <w:r w:rsidRPr="0084388C">
        <w:rPr>
          <w:sz w:val="20"/>
        </w:rPr>
        <w:t xml:space="preserve"> to deliver precise ecosystem scale CH</w:t>
      </w:r>
      <w:r>
        <w:rPr>
          <w:sz w:val="20"/>
          <w:vertAlign w:val="subscript"/>
        </w:rPr>
        <w:t>4</w:t>
      </w:r>
      <w:r w:rsidRPr="0084388C">
        <w:rPr>
          <w:sz w:val="20"/>
        </w:rPr>
        <w:t xml:space="preserve"> and CO</w:t>
      </w:r>
      <w:r>
        <w:rPr>
          <w:sz w:val="20"/>
          <w:vertAlign w:val="subscript"/>
        </w:rPr>
        <w:t>2</w:t>
      </w:r>
      <w:r w:rsidRPr="0084388C">
        <w:rPr>
          <w:sz w:val="20"/>
        </w:rPr>
        <w:t xml:space="preserve"> flux measurements, and 2</w:t>
      </w:r>
      <w:r>
        <w:rPr>
          <w:sz w:val="20"/>
        </w:rPr>
        <w:t>.</w:t>
      </w:r>
      <w:r w:rsidRPr="0084388C">
        <w:rPr>
          <w:sz w:val="20"/>
        </w:rPr>
        <w:t xml:space="preserve"> To</w:t>
      </w:r>
      <w:r w:rsidR="00A173E2">
        <w:rPr>
          <w:sz w:val="20"/>
        </w:rPr>
        <w:t xml:space="preserve"> </w:t>
      </w:r>
      <w:r w:rsidRPr="0084388C">
        <w:rPr>
          <w:sz w:val="20"/>
        </w:rPr>
        <w:t>assess the potential factors that determine CH</w:t>
      </w:r>
      <w:r>
        <w:rPr>
          <w:sz w:val="20"/>
          <w:vertAlign w:val="subscript"/>
        </w:rPr>
        <w:t>4</w:t>
      </w:r>
      <w:r w:rsidRPr="0084388C">
        <w:rPr>
          <w:sz w:val="20"/>
        </w:rPr>
        <w:t xml:space="preserve"> and CO</w:t>
      </w:r>
      <w:r>
        <w:rPr>
          <w:sz w:val="20"/>
          <w:vertAlign w:val="subscript"/>
        </w:rPr>
        <w:t>2</w:t>
      </w:r>
      <w:r w:rsidRPr="0084388C">
        <w:rPr>
          <w:sz w:val="20"/>
        </w:rPr>
        <w:t xml:space="preserve"> fluxes in urban wetlands. </w:t>
      </w:r>
    </w:p>
    <w:p w14:paraId="491D1F7E" w14:textId="60E22FE3" w:rsidR="00170594" w:rsidRPr="00AD7413" w:rsidRDefault="00023FAA" w:rsidP="00A173E2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Methods</w:t>
      </w:r>
      <w:r w:rsidRPr="00C22CA2">
        <w:rPr>
          <w:b/>
          <w:sz w:val="20"/>
        </w:rPr>
        <w:t>:</w:t>
      </w:r>
      <w:r w:rsidRPr="00C22CA2">
        <w:rPr>
          <w:sz w:val="20"/>
        </w:rPr>
        <w:t xml:space="preserve">  </w:t>
      </w:r>
      <w:r w:rsidR="00BB0EB3" w:rsidRPr="00BB0EB3">
        <w:rPr>
          <w:sz w:val="20"/>
        </w:rPr>
        <w:t xml:space="preserve">Princess Freeway Melbourne Water Retarding Basin on Troups Creek is a Melbourne Water-managed Urban Wetland in Narre Warren, in </w:t>
      </w:r>
      <w:proofErr w:type="gramStart"/>
      <w:r w:rsidR="00BB0EB3" w:rsidRPr="00BB0EB3">
        <w:rPr>
          <w:sz w:val="20"/>
        </w:rPr>
        <w:t>South East</w:t>
      </w:r>
      <w:proofErr w:type="gramEnd"/>
      <w:r w:rsidR="00BB0EB3" w:rsidRPr="00BB0EB3">
        <w:rPr>
          <w:sz w:val="20"/>
        </w:rPr>
        <w:t xml:space="preserve"> Melbourne.</w:t>
      </w:r>
      <w:r w:rsidR="00BB0EB3" w:rsidRPr="00BB0EB3">
        <w:rPr>
          <w:sz w:val="20"/>
        </w:rPr>
        <w:t xml:space="preserve"> </w:t>
      </w:r>
      <w:r w:rsidR="00AD7413">
        <w:rPr>
          <w:sz w:val="20"/>
        </w:rPr>
        <w:t>To assess the fluxes of CO</w:t>
      </w:r>
      <w:r w:rsidR="00AD7413">
        <w:rPr>
          <w:sz w:val="20"/>
          <w:vertAlign w:val="subscript"/>
        </w:rPr>
        <w:t>2</w:t>
      </w:r>
      <w:r w:rsidR="00AD7413">
        <w:rPr>
          <w:sz w:val="20"/>
        </w:rPr>
        <w:t xml:space="preserve"> Troups Creek</w:t>
      </w:r>
      <w:r w:rsidR="00BB0EB3">
        <w:rPr>
          <w:sz w:val="20"/>
        </w:rPr>
        <w:t xml:space="preserve">, </w:t>
      </w:r>
      <w:r w:rsidR="00171462">
        <w:rPr>
          <w:sz w:val="20"/>
        </w:rPr>
        <w:t xml:space="preserve">an EC tower was deployed for six weeks, from the 17/02/2025 until the 07/04/2025. During this time, seven manual sampling trips were taken to record concurrent </w:t>
      </w:r>
      <w:r w:rsidR="00576590">
        <w:rPr>
          <w:sz w:val="20"/>
        </w:rPr>
        <w:t xml:space="preserve">flux data using conventional sampling techniques. During these trips flux data was </w:t>
      </w:r>
      <w:r w:rsidR="00576590">
        <w:rPr>
          <w:sz w:val="20"/>
        </w:rPr>
        <w:t>sampled using a flux chamber.</w:t>
      </w:r>
      <w:r w:rsidR="00610D4A">
        <w:rPr>
          <w:sz w:val="20"/>
        </w:rPr>
        <w:t xml:space="preserve"> </w:t>
      </w:r>
      <w:r w:rsidR="00576590">
        <w:rPr>
          <w:sz w:val="20"/>
        </w:rPr>
        <w:t>Water quality parameters (pH, dissolved oxygen, electrical conductivity, and water temperature), chlorophyll, nutrient levels (APN), carbon isotopes, and total suspended solids (TSS)</w:t>
      </w:r>
      <w:r w:rsidR="00170594">
        <w:rPr>
          <w:sz w:val="20"/>
        </w:rPr>
        <w:t xml:space="preserve"> were all measured during these trips to provide information on flux determinants at Troups Creek. </w:t>
      </w:r>
    </w:p>
    <w:p w14:paraId="576FF2EF" w14:textId="044EDB51" w:rsidR="006D622A" w:rsidRPr="006D622A" w:rsidRDefault="00023FAA" w:rsidP="006D622A">
      <w:pPr>
        <w:spacing w:line="240" w:lineRule="atLeast"/>
        <w:ind w:firstLine="288"/>
        <w:jc w:val="both"/>
        <w:rPr>
          <w:bCs/>
          <w:sz w:val="20"/>
        </w:rPr>
      </w:pPr>
      <w:r>
        <w:rPr>
          <w:b/>
          <w:sz w:val="20"/>
        </w:rPr>
        <w:t>Results</w:t>
      </w:r>
      <w:r w:rsidRPr="00C22CA2">
        <w:rPr>
          <w:b/>
          <w:sz w:val="20"/>
        </w:rPr>
        <w:t>:</w:t>
      </w:r>
      <w:r w:rsidR="006D622A">
        <w:rPr>
          <w:b/>
          <w:sz w:val="20"/>
        </w:rPr>
        <w:t xml:space="preserve"> </w:t>
      </w:r>
      <w:r w:rsidR="006D622A">
        <w:rPr>
          <w:bCs/>
          <w:sz w:val="20"/>
        </w:rPr>
        <w:t>Using python, select flux and environmental data recorded by the EC tower was analysed to assess correlation</w:t>
      </w:r>
      <w:r w:rsidR="00EA2844">
        <w:rPr>
          <w:bCs/>
          <w:sz w:val="20"/>
        </w:rPr>
        <w:t>s</w:t>
      </w:r>
      <w:r w:rsidR="006D622A">
        <w:rPr>
          <w:bCs/>
          <w:sz w:val="20"/>
        </w:rPr>
        <w:t xml:space="preserve"> and potential influence of CO</w:t>
      </w:r>
      <w:r w:rsidR="006D622A">
        <w:rPr>
          <w:bCs/>
          <w:sz w:val="20"/>
          <w:vertAlign w:val="subscript"/>
        </w:rPr>
        <w:t>2</w:t>
      </w:r>
      <w:r w:rsidR="006D622A">
        <w:rPr>
          <w:bCs/>
          <w:sz w:val="20"/>
        </w:rPr>
        <w:t xml:space="preserve"> efflux at Troups Creek. </w:t>
      </w:r>
    </w:p>
    <w:p w14:paraId="38E7E63E" w14:textId="26851360" w:rsidR="002A015A" w:rsidRDefault="00F96EA5" w:rsidP="00171462">
      <w:pPr>
        <w:spacing w:line="240" w:lineRule="atLeast"/>
        <w:jc w:val="both"/>
        <w:rPr>
          <w:sz w:val="20"/>
        </w:rPr>
      </w:pPr>
      <w:r>
        <w:rPr>
          <w:noProof/>
          <w:sz w:val="16"/>
          <w:szCs w:val="16"/>
        </w:rPr>
        <w:drawing>
          <wp:inline distT="0" distB="0" distL="0" distR="0" wp14:anchorId="2A0A9FE4" wp14:editId="65DED22A">
            <wp:extent cx="2820670" cy="2115820"/>
            <wp:effectExtent l="0" t="0" r="0" b="0"/>
            <wp:docPr id="15164782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78220" name="Picture 15164782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2040" cy="21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A3B9" w14:textId="627B191E" w:rsidR="00163A7A" w:rsidRDefault="00171462" w:rsidP="00163A7A">
      <w:pPr>
        <w:spacing w:line="240" w:lineRule="atLeast"/>
        <w:ind w:firstLine="720"/>
        <w:jc w:val="both"/>
        <w:rPr>
          <w:sz w:val="16"/>
          <w:szCs w:val="16"/>
        </w:rPr>
      </w:pPr>
      <w:r w:rsidRPr="00E214FE">
        <w:rPr>
          <w:sz w:val="16"/>
          <w:szCs w:val="16"/>
        </w:rPr>
        <w:t xml:space="preserve">Figure 1: Timeseries of </w:t>
      </w:r>
      <w:r w:rsidR="00A67A32" w:rsidRPr="00E214FE">
        <w:rPr>
          <w:sz w:val="16"/>
          <w:szCs w:val="16"/>
        </w:rPr>
        <w:t>CO</w:t>
      </w:r>
      <w:r w:rsidR="00A67A32" w:rsidRPr="00E214FE">
        <w:rPr>
          <w:sz w:val="16"/>
          <w:szCs w:val="16"/>
          <w:vertAlign w:val="subscript"/>
        </w:rPr>
        <w:t>2</w:t>
      </w:r>
      <w:r w:rsidR="00A67A32" w:rsidRPr="00E214FE">
        <w:rPr>
          <w:sz w:val="16"/>
          <w:szCs w:val="16"/>
        </w:rPr>
        <w:t xml:space="preserve"> flux, air temperature, and evapotranspiration</w:t>
      </w:r>
      <w:r w:rsidR="00F239DB" w:rsidRPr="00E214FE">
        <w:rPr>
          <w:sz w:val="16"/>
          <w:szCs w:val="16"/>
        </w:rPr>
        <w:t xml:space="preserve"> (ET)</w:t>
      </w:r>
      <w:r w:rsidR="00A67A32" w:rsidRPr="00E214FE">
        <w:rPr>
          <w:sz w:val="16"/>
          <w:szCs w:val="16"/>
        </w:rPr>
        <w:t xml:space="preserve"> from the EC tower over the period 21/02/2025-</w:t>
      </w:r>
      <w:r w:rsidR="00F239DB" w:rsidRPr="00E214FE">
        <w:rPr>
          <w:sz w:val="16"/>
          <w:szCs w:val="16"/>
        </w:rPr>
        <w:t xml:space="preserve">08/03/2025. </w:t>
      </w:r>
    </w:p>
    <w:p w14:paraId="62D4CCF6" w14:textId="1DA7676F" w:rsidR="00163A7A" w:rsidRPr="00163A7A" w:rsidRDefault="00163A7A" w:rsidP="00163A7A">
      <w:pPr>
        <w:spacing w:line="240" w:lineRule="atLeast"/>
        <w:ind w:firstLine="720"/>
        <w:jc w:val="both"/>
        <w:rPr>
          <w:sz w:val="20"/>
        </w:rPr>
      </w:pPr>
      <w:r>
        <w:rPr>
          <w:sz w:val="20"/>
        </w:rPr>
        <w:t>Raw flux data from the EC tower (CO</w:t>
      </w:r>
      <w:r>
        <w:rPr>
          <w:sz w:val="20"/>
          <w:vertAlign w:val="subscript"/>
        </w:rPr>
        <w:t>2</w:t>
      </w:r>
      <w:r>
        <w:rPr>
          <w:sz w:val="20"/>
        </w:rPr>
        <w:t xml:space="preserve"> and ET) was noisy (Figure 1).</w:t>
      </w:r>
      <w:r w:rsidR="00A173E2">
        <w:rPr>
          <w:sz w:val="20"/>
        </w:rPr>
        <w:t xml:space="preserve"> Trends were difficult to assess without further analysis.</w:t>
      </w:r>
    </w:p>
    <w:p w14:paraId="0D69B4C8" w14:textId="01A91C5D" w:rsidR="00170594" w:rsidRDefault="00FC1822" w:rsidP="00171462">
      <w:pPr>
        <w:spacing w:line="240" w:lineRule="atLeast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4FB1C91E" wp14:editId="7A6A9B7B">
            <wp:extent cx="2819831" cy="2038865"/>
            <wp:effectExtent l="0" t="0" r="0" b="0"/>
            <wp:docPr id="457502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02014" name="Picture 457502014"/>
                    <pic:cNvPicPr/>
                  </pic:nvPicPr>
                  <pic:blipFill rotWithShape="1">
                    <a:blip r:embed="rId13"/>
                    <a:srcRect l="4820" t="9796" r="5594" b="3851"/>
                    <a:stretch/>
                  </pic:blipFill>
                  <pic:spPr bwMode="auto">
                    <a:xfrm>
                      <a:off x="0" y="0"/>
                      <a:ext cx="2834027" cy="2049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52D42" w14:textId="245F5FAA" w:rsidR="0023094F" w:rsidRDefault="00170594" w:rsidP="00A173E2">
      <w:pPr>
        <w:spacing w:line="240" w:lineRule="atLeast"/>
        <w:ind w:firstLine="720"/>
        <w:jc w:val="both"/>
        <w:rPr>
          <w:sz w:val="20"/>
        </w:rPr>
      </w:pPr>
      <w:r w:rsidRPr="00E214FE">
        <w:rPr>
          <w:sz w:val="16"/>
          <w:szCs w:val="16"/>
        </w:rPr>
        <w:t>Figure 2: P</w:t>
      </w:r>
      <w:r w:rsidR="00A67A32" w:rsidRPr="00E214FE">
        <w:rPr>
          <w:sz w:val="16"/>
          <w:szCs w:val="16"/>
        </w:rPr>
        <w:t xml:space="preserve">rincipal component analysis of EC data </w:t>
      </w:r>
      <w:r w:rsidR="00F239DB" w:rsidRPr="00E214FE">
        <w:rPr>
          <w:sz w:val="16"/>
          <w:szCs w:val="16"/>
        </w:rPr>
        <w:t>for the variable</w:t>
      </w:r>
      <w:r w:rsidR="0023094F">
        <w:rPr>
          <w:sz w:val="16"/>
          <w:szCs w:val="16"/>
        </w:rPr>
        <w:t>s</w:t>
      </w:r>
      <w:r w:rsidR="00F239DB" w:rsidRPr="00E214FE">
        <w:rPr>
          <w:sz w:val="16"/>
          <w:szCs w:val="16"/>
        </w:rPr>
        <w:t xml:space="preserve"> CO</w:t>
      </w:r>
      <w:r w:rsidR="00F239DB" w:rsidRPr="00E214FE">
        <w:rPr>
          <w:sz w:val="16"/>
          <w:szCs w:val="16"/>
          <w:vertAlign w:val="subscript"/>
        </w:rPr>
        <w:t>2</w:t>
      </w:r>
      <w:r w:rsidR="00F239DB" w:rsidRPr="00E214FE">
        <w:rPr>
          <w:sz w:val="16"/>
          <w:szCs w:val="16"/>
        </w:rPr>
        <w:t xml:space="preserve"> flux, H</w:t>
      </w:r>
      <w:r w:rsidR="00F239DB" w:rsidRPr="00E214FE">
        <w:rPr>
          <w:sz w:val="16"/>
          <w:szCs w:val="16"/>
          <w:vertAlign w:val="subscript"/>
        </w:rPr>
        <w:t>2</w:t>
      </w:r>
      <w:r w:rsidR="00F239DB" w:rsidRPr="00E214FE">
        <w:rPr>
          <w:sz w:val="16"/>
          <w:szCs w:val="16"/>
        </w:rPr>
        <w:t xml:space="preserve">O </w:t>
      </w:r>
      <w:r w:rsidR="00F239DB" w:rsidRPr="00E214FE">
        <w:rPr>
          <w:sz w:val="16"/>
          <w:szCs w:val="16"/>
        </w:rPr>
        <w:t>flux</w:t>
      </w:r>
      <w:r w:rsidR="00F239DB" w:rsidRPr="00E214FE">
        <w:rPr>
          <w:sz w:val="16"/>
          <w:szCs w:val="16"/>
        </w:rPr>
        <w:t xml:space="preserve">, </w:t>
      </w:r>
      <w:r w:rsidR="00F239DB" w:rsidRPr="00E214FE">
        <w:rPr>
          <w:sz w:val="16"/>
          <w:szCs w:val="16"/>
        </w:rPr>
        <w:t>wind</w:t>
      </w:r>
      <w:r w:rsidR="00F239DB" w:rsidRPr="00E214FE">
        <w:rPr>
          <w:sz w:val="16"/>
          <w:szCs w:val="16"/>
        </w:rPr>
        <w:t xml:space="preserve"> </w:t>
      </w:r>
      <w:r w:rsidR="00F239DB" w:rsidRPr="00E214FE">
        <w:rPr>
          <w:sz w:val="16"/>
          <w:szCs w:val="16"/>
        </w:rPr>
        <w:t>speed</w:t>
      </w:r>
      <w:r w:rsidR="00F239DB" w:rsidRPr="00E214FE">
        <w:rPr>
          <w:sz w:val="16"/>
          <w:szCs w:val="16"/>
        </w:rPr>
        <w:t xml:space="preserve">, </w:t>
      </w:r>
      <w:r w:rsidR="00F239DB" w:rsidRPr="00E214FE">
        <w:rPr>
          <w:sz w:val="16"/>
          <w:szCs w:val="16"/>
        </w:rPr>
        <w:t>wind</w:t>
      </w:r>
      <w:r w:rsidR="00F239DB" w:rsidRPr="00E214FE">
        <w:rPr>
          <w:sz w:val="16"/>
          <w:szCs w:val="16"/>
        </w:rPr>
        <w:t xml:space="preserve"> </w:t>
      </w:r>
      <w:r w:rsidR="00F239DB" w:rsidRPr="00E214FE">
        <w:rPr>
          <w:sz w:val="16"/>
          <w:szCs w:val="16"/>
        </w:rPr>
        <w:t>dir</w:t>
      </w:r>
      <w:r w:rsidR="00F239DB" w:rsidRPr="00E214FE">
        <w:rPr>
          <w:sz w:val="16"/>
          <w:szCs w:val="16"/>
        </w:rPr>
        <w:t xml:space="preserve">ection, </w:t>
      </w:r>
      <w:r w:rsidR="00F239DB" w:rsidRPr="00E214FE">
        <w:rPr>
          <w:sz w:val="16"/>
          <w:szCs w:val="16"/>
        </w:rPr>
        <w:t>turbulence</w:t>
      </w:r>
      <w:r w:rsidR="00F239DB" w:rsidRPr="00E214FE">
        <w:rPr>
          <w:sz w:val="16"/>
          <w:szCs w:val="16"/>
        </w:rPr>
        <w:t xml:space="preserve">, </w:t>
      </w:r>
      <w:r w:rsidR="00F239DB" w:rsidRPr="00E214FE">
        <w:rPr>
          <w:sz w:val="16"/>
          <w:szCs w:val="16"/>
        </w:rPr>
        <w:t>air</w:t>
      </w:r>
      <w:r w:rsidR="00F239DB" w:rsidRPr="00E214FE">
        <w:rPr>
          <w:sz w:val="16"/>
          <w:szCs w:val="16"/>
        </w:rPr>
        <w:t xml:space="preserve"> </w:t>
      </w:r>
      <w:r w:rsidR="00F239DB" w:rsidRPr="00E214FE">
        <w:rPr>
          <w:sz w:val="16"/>
          <w:szCs w:val="16"/>
        </w:rPr>
        <w:t>temp</w:t>
      </w:r>
      <w:r w:rsidR="00F239DB" w:rsidRPr="00E214FE">
        <w:rPr>
          <w:sz w:val="16"/>
          <w:szCs w:val="16"/>
        </w:rPr>
        <w:t xml:space="preserve">erature, </w:t>
      </w:r>
      <w:r w:rsidR="00F239DB" w:rsidRPr="00E214FE">
        <w:rPr>
          <w:sz w:val="16"/>
          <w:szCs w:val="16"/>
        </w:rPr>
        <w:t>air</w:t>
      </w:r>
      <w:r w:rsidR="00F239DB" w:rsidRPr="00E214FE">
        <w:rPr>
          <w:sz w:val="16"/>
          <w:szCs w:val="16"/>
        </w:rPr>
        <w:t xml:space="preserve"> </w:t>
      </w:r>
      <w:r w:rsidR="00F239DB" w:rsidRPr="00E214FE">
        <w:rPr>
          <w:sz w:val="16"/>
          <w:szCs w:val="16"/>
        </w:rPr>
        <w:t>pressure</w:t>
      </w:r>
      <w:r w:rsidR="00F239DB" w:rsidRPr="00E214FE">
        <w:rPr>
          <w:sz w:val="16"/>
          <w:szCs w:val="16"/>
        </w:rPr>
        <w:t xml:space="preserve">, </w:t>
      </w:r>
      <w:r w:rsidR="00F239DB" w:rsidRPr="00E214FE">
        <w:rPr>
          <w:sz w:val="16"/>
          <w:szCs w:val="16"/>
        </w:rPr>
        <w:t>ET</w:t>
      </w:r>
      <w:r w:rsidR="00F239DB" w:rsidRPr="00E214FE">
        <w:rPr>
          <w:sz w:val="16"/>
          <w:szCs w:val="16"/>
        </w:rPr>
        <w:t>, relative humidity, CO</w:t>
      </w:r>
      <w:r w:rsidR="00F239DB" w:rsidRPr="00E214FE">
        <w:rPr>
          <w:sz w:val="16"/>
          <w:szCs w:val="16"/>
          <w:vertAlign w:val="subscript"/>
        </w:rPr>
        <w:t>2</w:t>
      </w:r>
      <w:r w:rsidR="00F239DB" w:rsidRPr="00E214FE">
        <w:rPr>
          <w:sz w:val="16"/>
          <w:szCs w:val="16"/>
        </w:rPr>
        <w:t xml:space="preserve"> </w:t>
      </w:r>
      <w:r w:rsidR="00F239DB" w:rsidRPr="00E214FE">
        <w:rPr>
          <w:sz w:val="16"/>
          <w:szCs w:val="16"/>
        </w:rPr>
        <w:t>mixing</w:t>
      </w:r>
      <w:r w:rsidR="00F239DB" w:rsidRPr="00E214FE">
        <w:rPr>
          <w:sz w:val="16"/>
          <w:szCs w:val="16"/>
        </w:rPr>
        <w:t xml:space="preserve"> </w:t>
      </w:r>
      <w:r w:rsidR="00F239DB" w:rsidRPr="00E214FE">
        <w:rPr>
          <w:sz w:val="16"/>
          <w:szCs w:val="16"/>
        </w:rPr>
        <w:t>ratio</w:t>
      </w:r>
      <w:r w:rsidR="00F239DB" w:rsidRPr="00E214FE">
        <w:rPr>
          <w:sz w:val="16"/>
          <w:szCs w:val="16"/>
        </w:rPr>
        <w:t xml:space="preserve">, and </w:t>
      </w:r>
      <w:r w:rsidR="00F239DB" w:rsidRPr="00E214FE">
        <w:rPr>
          <w:sz w:val="16"/>
          <w:szCs w:val="16"/>
        </w:rPr>
        <w:t>air</w:t>
      </w:r>
      <w:r w:rsidR="00F239DB" w:rsidRPr="00E214FE">
        <w:rPr>
          <w:sz w:val="16"/>
          <w:szCs w:val="16"/>
        </w:rPr>
        <w:t xml:space="preserve"> </w:t>
      </w:r>
      <w:r w:rsidR="00F239DB" w:rsidRPr="00E214FE">
        <w:rPr>
          <w:sz w:val="16"/>
          <w:szCs w:val="16"/>
        </w:rPr>
        <w:t>density</w:t>
      </w:r>
      <w:r w:rsidR="00F239DB" w:rsidRPr="00E214FE">
        <w:rPr>
          <w:sz w:val="16"/>
          <w:szCs w:val="16"/>
        </w:rPr>
        <w:t>.</w:t>
      </w:r>
      <w:r w:rsidR="00163A7A">
        <w:rPr>
          <w:sz w:val="20"/>
        </w:rPr>
        <w:t xml:space="preserve"> </w:t>
      </w:r>
    </w:p>
    <w:p w14:paraId="6E34CB43" w14:textId="3A71CCBB" w:rsidR="0023094F" w:rsidRDefault="0023094F" w:rsidP="00861CEC">
      <w:pPr>
        <w:spacing w:line="240" w:lineRule="atLeast"/>
        <w:ind w:firstLine="720"/>
        <w:jc w:val="both"/>
        <w:rPr>
          <w:sz w:val="20"/>
        </w:rPr>
      </w:pPr>
      <w:r>
        <w:rPr>
          <w:sz w:val="20"/>
        </w:rPr>
        <w:lastRenderedPageBreak/>
        <w:t>The PCA analysis</w:t>
      </w:r>
      <w:r w:rsidR="00021726">
        <w:rPr>
          <w:sz w:val="20"/>
        </w:rPr>
        <w:t xml:space="preserve"> in figure 2</w:t>
      </w:r>
      <w:r>
        <w:rPr>
          <w:sz w:val="20"/>
        </w:rPr>
        <w:t xml:space="preserve"> revealed a strong correlation </w:t>
      </w:r>
      <w:r w:rsidR="00021726">
        <w:rPr>
          <w:sz w:val="20"/>
        </w:rPr>
        <w:t>between CO</w:t>
      </w:r>
      <w:r w:rsidR="00021726">
        <w:rPr>
          <w:sz w:val="20"/>
          <w:vertAlign w:val="subscript"/>
        </w:rPr>
        <w:t>2</w:t>
      </w:r>
      <w:r w:rsidR="00021726">
        <w:rPr>
          <w:sz w:val="20"/>
        </w:rPr>
        <w:t xml:space="preserve"> flux and the CO</w:t>
      </w:r>
      <w:r w:rsidR="00021726">
        <w:rPr>
          <w:sz w:val="20"/>
          <w:vertAlign w:val="subscript"/>
        </w:rPr>
        <w:t xml:space="preserve">2 </w:t>
      </w:r>
      <w:r w:rsidR="00021726">
        <w:rPr>
          <w:sz w:val="20"/>
        </w:rPr>
        <w:t>mixing ratio. CO</w:t>
      </w:r>
      <w:r w:rsidR="00021726">
        <w:rPr>
          <w:sz w:val="20"/>
          <w:vertAlign w:val="subscript"/>
        </w:rPr>
        <w:t xml:space="preserve">2 </w:t>
      </w:r>
      <w:r w:rsidR="00021726">
        <w:rPr>
          <w:sz w:val="20"/>
        </w:rPr>
        <w:t>flux is not likely correlated with air temperature, wind speed, H</w:t>
      </w:r>
      <w:r w:rsidR="00021726">
        <w:rPr>
          <w:sz w:val="20"/>
          <w:vertAlign w:val="subscript"/>
        </w:rPr>
        <w:t>2</w:t>
      </w:r>
      <w:r w:rsidR="00021726">
        <w:rPr>
          <w:sz w:val="20"/>
        </w:rPr>
        <w:t>O flux, ET, or air density. There is likely a negative correlation between CO</w:t>
      </w:r>
      <w:r w:rsidR="00021726">
        <w:rPr>
          <w:sz w:val="20"/>
          <w:vertAlign w:val="subscript"/>
        </w:rPr>
        <w:t>2</w:t>
      </w:r>
      <w:r w:rsidR="00021726">
        <w:rPr>
          <w:sz w:val="20"/>
        </w:rPr>
        <w:t xml:space="preserve"> flux and specific humidity, wind direction, and air pressure. The PCA also suggests a weaker negative correlation between CO</w:t>
      </w:r>
      <w:r w:rsidR="00021726">
        <w:rPr>
          <w:sz w:val="20"/>
          <w:vertAlign w:val="subscript"/>
        </w:rPr>
        <w:t>2</w:t>
      </w:r>
      <w:r w:rsidR="00021726">
        <w:rPr>
          <w:sz w:val="20"/>
        </w:rPr>
        <w:t xml:space="preserve"> flux and turbulence and relative humidity. </w:t>
      </w:r>
    </w:p>
    <w:p w14:paraId="5DFB7E38" w14:textId="4E491EBD" w:rsidR="00170594" w:rsidRDefault="00170594" w:rsidP="00171462">
      <w:pPr>
        <w:spacing w:line="240" w:lineRule="atLeast"/>
        <w:jc w:val="both"/>
        <w:rPr>
          <w:sz w:val="20"/>
        </w:rPr>
      </w:pPr>
    </w:p>
    <w:p w14:paraId="18628DAB" w14:textId="2E82BDBD" w:rsidR="00B96F0F" w:rsidRDefault="00B96F0F" w:rsidP="00171462">
      <w:pPr>
        <w:spacing w:line="240" w:lineRule="atLeast"/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18F5530" wp14:editId="3E514176">
            <wp:extent cx="2820670" cy="2350770"/>
            <wp:effectExtent l="0" t="0" r="0" b="0"/>
            <wp:docPr id="67575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5478" name="Picture 675754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D0A3" w14:textId="76AE208E" w:rsidR="00F94A05" w:rsidRPr="00861CEC" w:rsidRDefault="00B96F0F" w:rsidP="00F94A05">
      <w:pPr>
        <w:spacing w:line="240" w:lineRule="atLeast"/>
        <w:ind w:firstLine="720"/>
        <w:jc w:val="both"/>
        <w:rPr>
          <w:sz w:val="16"/>
          <w:szCs w:val="16"/>
        </w:rPr>
      </w:pPr>
      <w:r w:rsidRPr="00E214FE">
        <w:rPr>
          <w:sz w:val="16"/>
          <w:szCs w:val="16"/>
        </w:rPr>
        <w:t xml:space="preserve">Figure 3: </w:t>
      </w:r>
      <w:r>
        <w:rPr>
          <w:sz w:val="16"/>
          <w:szCs w:val="16"/>
        </w:rPr>
        <w:t>panels a) and b) depict Windrose</w:t>
      </w:r>
      <w:r>
        <w:rPr>
          <w:sz w:val="16"/>
          <w:szCs w:val="16"/>
        </w:rPr>
        <w:t xml:space="preserve"> plots</w:t>
      </w:r>
      <w:r>
        <w:rPr>
          <w:sz w:val="16"/>
          <w:szCs w:val="16"/>
        </w:rPr>
        <w:t xml:space="preserve"> for CO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 xml:space="preserve"> flux and windspeed respectively. Panel c) shows the correlation between CO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 xml:space="preserve"> flux and windspeed (correlation coefficient r = 0.049). </w:t>
      </w:r>
    </w:p>
    <w:p w14:paraId="335B5EB7" w14:textId="7958971E" w:rsidR="00B96F0F" w:rsidRPr="00A173E2" w:rsidRDefault="00A173E2" w:rsidP="00A173E2">
      <w:pPr>
        <w:spacing w:line="240" w:lineRule="atLeast"/>
        <w:ind w:firstLine="720"/>
        <w:jc w:val="both"/>
        <w:rPr>
          <w:sz w:val="20"/>
        </w:rPr>
      </w:pPr>
      <w:r>
        <w:rPr>
          <w:sz w:val="20"/>
        </w:rPr>
        <w:t xml:space="preserve">The wind rose plots show that </w:t>
      </w:r>
      <w:proofErr w:type="gramStart"/>
      <w:r>
        <w:rPr>
          <w:sz w:val="20"/>
        </w:rPr>
        <w:t>the majority of</w:t>
      </w:r>
      <w:proofErr w:type="gramEnd"/>
      <w:r>
        <w:rPr>
          <w:sz w:val="20"/>
        </w:rPr>
        <w:t xml:space="preserve"> wind is coming from the south easterly direction. The fastest winds are coming from the directly north of the tower (Figure 3, panel b). </w:t>
      </w:r>
      <w:r w:rsidR="00163A7A">
        <w:rPr>
          <w:sz w:val="20"/>
        </w:rPr>
        <w:t xml:space="preserve">Correlation between wind speed and </w:t>
      </w:r>
      <w:r w:rsidR="00021726">
        <w:rPr>
          <w:sz w:val="20"/>
        </w:rPr>
        <w:t>CO</w:t>
      </w:r>
      <w:r w:rsidR="00021726">
        <w:rPr>
          <w:sz w:val="20"/>
          <w:vertAlign w:val="subscript"/>
        </w:rPr>
        <w:t>2</w:t>
      </w:r>
      <w:r w:rsidR="00021726">
        <w:rPr>
          <w:sz w:val="20"/>
        </w:rPr>
        <w:t xml:space="preserve"> flux was low (r=0.049), suggesting the variance in flux measurements cannot be explained by </w:t>
      </w:r>
      <w:r>
        <w:rPr>
          <w:sz w:val="20"/>
        </w:rPr>
        <w:t xml:space="preserve">wind speed. This is consistent with the PCA plot in figure 2. </w:t>
      </w:r>
    </w:p>
    <w:p w14:paraId="5FAB2279" w14:textId="62C49319" w:rsidR="00170594" w:rsidRDefault="00170594" w:rsidP="00171462">
      <w:pPr>
        <w:spacing w:line="240" w:lineRule="atLeast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2A4C23D0" wp14:editId="201632A3">
            <wp:extent cx="2809633" cy="1803400"/>
            <wp:effectExtent l="0" t="0" r="0" b="0"/>
            <wp:docPr id="649064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64923" name="Picture 649064923"/>
                    <pic:cNvPicPr/>
                  </pic:nvPicPr>
                  <pic:blipFill rotWithShape="1">
                    <a:blip r:embed="rId15"/>
                    <a:srcRect l="3904" t="7206" r="5747"/>
                    <a:stretch/>
                  </pic:blipFill>
                  <pic:spPr bwMode="auto">
                    <a:xfrm>
                      <a:off x="0" y="0"/>
                      <a:ext cx="2852268" cy="183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ACF64" w14:textId="0B1449C9" w:rsidR="00170594" w:rsidRPr="00A173E2" w:rsidRDefault="00170594" w:rsidP="00171462">
      <w:pPr>
        <w:spacing w:line="240" w:lineRule="atLeast"/>
        <w:jc w:val="both"/>
        <w:rPr>
          <w:sz w:val="16"/>
          <w:szCs w:val="16"/>
        </w:rPr>
      </w:pPr>
      <w:r w:rsidRPr="00E214FE">
        <w:rPr>
          <w:sz w:val="16"/>
          <w:szCs w:val="16"/>
        </w:rPr>
        <w:t>Figure 4: Correlation between wind direction and CO</w:t>
      </w:r>
      <w:r w:rsidRPr="00E214FE">
        <w:rPr>
          <w:sz w:val="16"/>
          <w:szCs w:val="16"/>
          <w:vertAlign w:val="subscript"/>
        </w:rPr>
        <w:t>2</w:t>
      </w:r>
      <w:r w:rsidRPr="00E214FE">
        <w:rPr>
          <w:sz w:val="16"/>
          <w:szCs w:val="16"/>
        </w:rPr>
        <w:t xml:space="preserve"> flux. </w:t>
      </w:r>
    </w:p>
    <w:p w14:paraId="620A9BF7" w14:textId="32A30AF6" w:rsidR="00163A7A" w:rsidRPr="00610D4A" w:rsidRDefault="0023094F" w:rsidP="00610D4A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Correlation between </w:t>
      </w:r>
      <w:r w:rsidR="0071514C">
        <w:rPr>
          <w:sz w:val="20"/>
        </w:rPr>
        <w:t>wind direction and CO</w:t>
      </w:r>
      <w:r w:rsidR="0071514C">
        <w:rPr>
          <w:sz w:val="20"/>
          <w:vertAlign w:val="subscript"/>
        </w:rPr>
        <w:t>2</w:t>
      </w:r>
      <w:r w:rsidR="0071514C">
        <w:rPr>
          <w:sz w:val="20"/>
        </w:rPr>
        <w:t xml:space="preserve"> flux was found to be low</w:t>
      </w:r>
      <w:r w:rsidR="00B96F0F">
        <w:rPr>
          <w:sz w:val="20"/>
        </w:rPr>
        <w:t xml:space="preserve">. Figure 4 shows that </w:t>
      </w:r>
      <w:r w:rsidR="00B96F0F" w:rsidRPr="00B96F0F">
        <w:rPr>
          <w:sz w:val="20"/>
        </w:rPr>
        <w:t>Easterly</w:t>
      </w:r>
      <w:r w:rsidR="00B96F0F">
        <w:rPr>
          <w:sz w:val="20"/>
        </w:rPr>
        <w:t>/south easterly</w:t>
      </w:r>
      <w:r w:rsidR="00B96F0F" w:rsidRPr="00B96F0F">
        <w:rPr>
          <w:sz w:val="20"/>
        </w:rPr>
        <w:t xml:space="preserve"> winds bring negative CO</w:t>
      </w:r>
      <w:r w:rsidR="00B96F0F">
        <w:rPr>
          <w:sz w:val="20"/>
          <w:vertAlign w:val="subscript"/>
        </w:rPr>
        <w:t>2</w:t>
      </w:r>
      <w:r w:rsidR="00B96F0F" w:rsidRPr="00B96F0F">
        <w:rPr>
          <w:sz w:val="20"/>
        </w:rPr>
        <w:t xml:space="preserve"> fluxes.</w:t>
      </w:r>
      <w:r w:rsidR="00B96F0F">
        <w:rPr>
          <w:sz w:val="20"/>
        </w:rPr>
        <w:t xml:space="preserve"> The area east/southeast from the EC tower is </w:t>
      </w:r>
      <w:r w:rsidR="00B96F0F">
        <w:rPr>
          <w:sz w:val="20"/>
        </w:rPr>
        <w:t>predominantly grass, suggesting that the CO</w:t>
      </w:r>
      <w:r w:rsidR="00B96F0F">
        <w:rPr>
          <w:sz w:val="20"/>
          <w:vertAlign w:val="subscript"/>
        </w:rPr>
        <w:t>2</w:t>
      </w:r>
      <w:r w:rsidR="00B96F0F">
        <w:rPr>
          <w:sz w:val="20"/>
        </w:rPr>
        <w:t xml:space="preserve"> signal from these directions </w:t>
      </w:r>
      <w:r w:rsidR="00163A7A">
        <w:rPr>
          <w:sz w:val="20"/>
        </w:rPr>
        <w:t>is</w:t>
      </w:r>
      <w:r w:rsidR="00B96F0F">
        <w:rPr>
          <w:sz w:val="20"/>
        </w:rPr>
        <w:t xml:space="preserve"> dominated by photosynthesis from the grass. </w:t>
      </w:r>
      <w:r w:rsidR="00163A7A">
        <w:rPr>
          <w:sz w:val="20"/>
        </w:rPr>
        <w:t>This implies that the signal from the water (directly north and south) is low.</w:t>
      </w:r>
      <w:r w:rsidR="00A173E2">
        <w:rPr>
          <w:sz w:val="20"/>
        </w:rPr>
        <w:t xml:space="preserve"> </w:t>
      </w:r>
    </w:p>
    <w:p w14:paraId="3B65FDE7" w14:textId="03195C8E" w:rsidR="001E5174" w:rsidRPr="001E5174" w:rsidRDefault="00023FAA" w:rsidP="008C596E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Discussion</w:t>
      </w:r>
      <w:r w:rsidRPr="00C22CA2">
        <w:rPr>
          <w:b/>
          <w:sz w:val="20"/>
        </w:rPr>
        <w:t>:</w:t>
      </w:r>
      <w:r w:rsidR="008C596E">
        <w:rPr>
          <w:sz w:val="20"/>
        </w:rPr>
        <w:t xml:space="preserve"> </w:t>
      </w:r>
      <w:r w:rsidR="00BB0EB3">
        <w:rPr>
          <w:sz w:val="20"/>
        </w:rPr>
        <w:t xml:space="preserve">The correlation between wind direction and </w:t>
      </w:r>
      <w:r w:rsidR="00BB0EB3" w:rsidRPr="00BB0EB3">
        <w:rPr>
          <w:sz w:val="20"/>
        </w:rPr>
        <w:t>C</w:t>
      </w:r>
      <w:r w:rsidR="00BB0EB3">
        <w:rPr>
          <w:sz w:val="20"/>
        </w:rPr>
        <w:t>O</w:t>
      </w:r>
      <w:r w:rsidR="00BB0EB3">
        <w:rPr>
          <w:sz w:val="20"/>
          <w:vertAlign w:val="subscript"/>
        </w:rPr>
        <w:t>2</w:t>
      </w:r>
      <w:r w:rsidR="00BB0EB3">
        <w:rPr>
          <w:sz w:val="20"/>
        </w:rPr>
        <w:t xml:space="preserve"> flux was measured to determine if </w:t>
      </w:r>
      <w:r w:rsidR="00BB0EB3">
        <w:rPr>
          <w:sz w:val="20"/>
        </w:rPr>
        <w:t xml:space="preserve">an area outside of the wetland was </w:t>
      </w:r>
      <w:r w:rsidR="00BB0EB3">
        <w:rPr>
          <w:sz w:val="20"/>
        </w:rPr>
        <w:t xml:space="preserve">being </w:t>
      </w:r>
      <w:r w:rsidR="00BB0EB3">
        <w:rPr>
          <w:sz w:val="20"/>
        </w:rPr>
        <w:t>overrepresented</w:t>
      </w:r>
      <w:r w:rsidR="00BB0EB3">
        <w:rPr>
          <w:sz w:val="20"/>
        </w:rPr>
        <w:t xml:space="preserve"> in the data collected by the EC tower. </w:t>
      </w:r>
      <w:r w:rsidR="001E5174">
        <w:rPr>
          <w:sz w:val="20"/>
        </w:rPr>
        <w:t>There was a weak negative correlation between easterly winds and CO</w:t>
      </w:r>
      <w:r w:rsidR="001E5174">
        <w:rPr>
          <w:sz w:val="20"/>
          <w:vertAlign w:val="subscript"/>
        </w:rPr>
        <w:t>2</w:t>
      </w:r>
      <w:r w:rsidR="001E5174">
        <w:rPr>
          <w:sz w:val="20"/>
        </w:rPr>
        <w:t xml:space="preserve"> flux, and no correlation in the north/south direction suggesting that </w:t>
      </w:r>
      <w:r w:rsidR="001E5174" w:rsidRPr="001E5174">
        <w:rPr>
          <w:sz w:val="20"/>
        </w:rPr>
        <w:t xml:space="preserve">production or consumption of </w:t>
      </w:r>
      <w:r w:rsidR="001E5174">
        <w:rPr>
          <w:sz w:val="20"/>
        </w:rPr>
        <w:t>CO</w:t>
      </w:r>
      <w:r w:rsidR="001E5174">
        <w:rPr>
          <w:sz w:val="20"/>
          <w:vertAlign w:val="subscript"/>
        </w:rPr>
        <w:t>2</w:t>
      </w:r>
      <w:r w:rsidR="001E5174" w:rsidRPr="001E5174">
        <w:rPr>
          <w:sz w:val="20"/>
        </w:rPr>
        <w:t xml:space="preserve"> from</w:t>
      </w:r>
      <w:r w:rsidR="001E5174">
        <w:rPr>
          <w:sz w:val="20"/>
        </w:rPr>
        <w:t xml:space="preserve"> the</w:t>
      </w:r>
      <w:r w:rsidR="001E5174" w:rsidRPr="001E5174">
        <w:rPr>
          <w:sz w:val="20"/>
        </w:rPr>
        <w:t xml:space="preserve"> </w:t>
      </w:r>
      <w:r w:rsidR="001E5174">
        <w:rPr>
          <w:sz w:val="20"/>
        </w:rPr>
        <w:t xml:space="preserve">direction of the open </w:t>
      </w:r>
      <w:r w:rsidR="001E5174" w:rsidRPr="001E5174">
        <w:rPr>
          <w:sz w:val="20"/>
        </w:rPr>
        <w:t>water is less important than from the surrounding vegetation</w:t>
      </w:r>
      <w:r w:rsidR="001E5174">
        <w:rPr>
          <w:sz w:val="20"/>
        </w:rPr>
        <w:t>. Th</w:t>
      </w:r>
      <w:r w:rsidR="00D333BE">
        <w:rPr>
          <w:sz w:val="20"/>
        </w:rPr>
        <w:t>is</w:t>
      </w:r>
      <w:r w:rsidR="00FF33EB">
        <w:rPr>
          <w:sz w:val="20"/>
        </w:rPr>
        <w:t xml:space="preserve"> larger</w:t>
      </w:r>
      <w:r w:rsidR="001E5174">
        <w:rPr>
          <w:sz w:val="20"/>
        </w:rPr>
        <w:t xml:space="preserve"> study is interested in the fluxes for the net system, </w:t>
      </w:r>
      <w:r w:rsidR="00D333BE">
        <w:rPr>
          <w:sz w:val="20"/>
        </w:rPr>
        <w:t>including surrounding vegetation</w:t>
      </w:r>
    </w:p>
    <w:p w14:paraId="14F72562" w14:textId="77777777" w:rsidR="00A34129" w:rsidRDefault="001E5174" w:rsidP="00A34129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Wind speed did not</w:t>
      </w:r>
      <w:r w:rsidR="00D333BE">
        <w:rPr>
          <w:sz w:val="20"/>
        </w:rPr>
        <w:t xml:space="preserve"> correlate with CO</w:t>
      </w:r>
      <w:r w:rsidR="00D333BE">
        <w:rPr>
          <w:sz w:val="20"/>
          <w:vertAlign w:val="subscript"/>
        </w:rPr>
        <w:t>2</w:t>
      </w:r>
      <w:r w:rsidR="00D333BE">
        <w:rPr>
          <w:sz w:val="20"/>
        </w:rPr>
        <w:t xml:space="preserve"> flux at Troups creek, in contention with findings by Morin et al. (2018) who found a strong correlation between wind speed and flux using EC at a</w:t>
      </w:r>
      <w:r w:rsidR="00F94A05">
        <w:rPr>
          <w:sz w:val="20"/>
        </w:rPr>
        <w:t xml:space="preserve"> freshwater</w:t>
      </w:r>
      <w:r w:rsidR="00D333BE">
        <w:rPr>
          <w:sz w:val="20"/>
        </w:rPr>
        <w:t xml:space="preserve"> lake. A potential reason for this disparity could be explained by the seasonal and spatial variation in key CO</w:t>
      </w:r>
      <w:r w:rsidR="00D333BE">
        <w:rPr>
          <w:sz w:val="20"/>
          <w:vertAlign w:val="subscript"/>
        </w:rPr>
        <w:t>2</w:t>
      </w:r>
      <w:r w:rsidR="00D333BE">
        <w:rPr>
          <w:sz w:val="20"/>
        </w:rPr>
        <w:t xml:space="preserve"> flux drivers (</w:t>
      </w:r>
      <w:r w:rsidR="00176F24">
        <w:rPr>
          <w:sz w:val="20"/>
        </w:rPr>
        <w:t>Mitsch and Mander 2018</w:t>
      </w:r>
      <w:r w:rsidR="00D333BE">
        <w:rPr>
          <w:sz w:val="20"/>
        </w:rPr>
        <w:t>)</w:t>
      </w:r>
      <w:r w:rsidR="0060489D">
        <w:rPr>
          <w:sz w:val="20"/>
        </w:rPr>
        <w:t xml:space="preserve">. The lack of comprehensive flux data from urban wetlands in Australia, but also globally </w:t>
      </w:r>
      <w:r w:rsidR="00176F24">
        <w:rPr>
          <w:sz w:val="20"/>
        </w:rPr>
        <w:t xml:space="preserve">make it difficult to </w:t>
      </w:r>
      <w:r w:rsidR="009950CD">
        <w:rPr>
          <w:sz w:val="20"/>
        </w:rPr>
        <w:t>apply preexisting</w:t>
      </w:r>
      <w:r w:rsidR="00176F24">
        <w:rPr>
          <w:sz w:val="20"/>
        </w:rPr>
        <w:t xml:space="preserve"> trends</w:t>
      </w:r>
      <w:r w:rsidR="00F94A05">
        <w:rPr>
          <w:sz w:val="20"/>
        </w:rPr>
        <w:t xml:space="preserve"> to data collected at Troups Creek</w:t>
      </w:r>
      <w:r w:rsidR="00176F24">
        <w:rPr>
          <w:sz w:val="20"/>
        </w:rPr>
        <w:t xml:space="preserve"> (Delwiche et al. 2021) </w:t>
      </w:r>
      <w:r w:rsidR="00BB0EB3" w:rsidRPr="00BB0EB3">
        <w:rPr>
          <w:sz w:val="20"/>
        </w:rPr>
        <w:t>To</w:t>
      </w:r>
      <w:r w:rsidR="00BB0EB3">
        <w:rPr>
          <w:sz w:val="20"/>
        </w:rPr>
        <w:t xml:space="preserve"> fully understand the drivers behind CO</w:t>
      </w:r>
      <w:r w:rsidR="00BB0EB3">
        <w:rPr>
          <w:sz w:val="20"/>
          <w:vertAlign w:val="subscript"/>
        </w:rPr>
        <w:t>2</w:t>
      </w:r>
      <w:r w:rsidR="00BB0EB3">
        <w:rPr>
          <w:sz w:val="20"/>
        </w:rPr>
        <w:t xml:space="preserve"> efflux at Troups creek</w:t>
      </w:r>
      <w:r w:rsidR="00610D4A">
        <w:rPr>
          <w:sz w:val="20"/>
        </w:rPr>
        <w:t xml:space="preserve"> further analysis of other environmental variables collected through EC </w:t>
      </w:r>
      <w:r w:rsidR="00176F24">
        <w:rPr>
          <w:sz w:val="20"/>
        </w:rPr>
        <w:t>and</w:t>
      </w:r>
      <w:r w:rsidR="00610D4A">
        <w:rPr>
          <w:sz w:val="20"/>
        </w:rPr>
        <w:t xml:space="preserve"> conventional sampling techniques is required. </w:t>
      </w:r>
      <w:r w:rsidR="00BB0EB3">
        <w:rPr>
          <w:sz w:val="20"/>
        </w:rPr>
        <w:t xml:space="preserve"> </w:t>
      </w:r>
    </w:p>
    <w:p w14:paraId="5E9397B3" w14:textId="77777777" w:rsidR="00A34129" w:rsidRDefault="00023FAA" w:rsidP="00A34129">
      <w:pPr>
        <w:spacing w:line="240" w:lineRule="atLeast"/>
        <w:ind w:firstLine="288"/>
        <w:jc w:val="both"/>
        <w:rPr>
          <w:sz w:val="20"/>
        </w:rPr>
      </w:pPr>
      <w:r>
        <w:rPr>
          <w:b/>
          <w:bCs/>
          <w:sz w:val="20"/>
        </w:rPr>
        <w:t xml:space="preserve">Data Availability: </w:t>
      </w:r>
      <w:r w:rsidR="00A34129">
        <w:rPr>
          <w:sz w:val="20"/>
        </w:rPr>
        <w:t xml:space="preserve">Data can be found at: </w:t>
      </w:r>
      <w:hyperlink r:id="rId16" w:history="1">
        <w:r w:rsidR="00A34129" w:rsidRPr="00C557B0">
          <w:rPr>
            <w:rStyle w:val="Hyperlink"/>
            <w:rFonts w:ascii="Times New Roman" w:hAnsi="Times New Roman"/>
            <w:sz w:val="20"/>
          </w:rPr>
          <w:t>https://doi.org/10.5281/zenodo.15108343</w:t>
        </w:r>
      </w:hyperlink>
    </w:p>
    <w:p w14:paraId="56794D7D" w14:textId="23529297" w:rsidR="00A34129" w:rsidRDefault="00023FAA" w:rsidP="00A34129">
      <w:pPr>
        <w:spacing w:line="240" w:lineRule="atLeast"/>
        <w:ind w:firstLine="288"/>
        <w:jc w:val="both"/>
        <w:rPr>
          <w:sz w:val="20"/>
        </w:rPr>
      </w:pPr>
      <w:r>
        <w:rPr>
          <w:b/>
          <w:bCs/>
          <w:sz w:val="20"/>
        </w:rPr>
        <w:t xml:space="preserve">Code Availability: </w:t>
      </w:r>
      <w:r w:rsidR="00A34129" w:rsidRPr="00A34129">
        <w:rPr>
          <w:sz w:val="20"/>
        </w:rPr>
        <w:t xml:space="preserve">Code used to </w:t>
      </w:r>
      <w:r w:rsidR="00A34129">
        <w:rPr>
          <w:sz w:val="20"/>
        </w:rPr>
        <w:t xml:space="preserve">generate the plots in this extended abstract can be found at: </w:t>
      </w:r>
      <w:hyperlink r:id="rId17" w:history="1">
        <w:r w:rsidR="00A34129" w:rsidRPr="00C557B0">
          <w:rPr>
            <w:rStyle w:val="Hyperlink"/>
            <w:rFonts w:ascii="Times New Roman" w:hAnsi="Times New Roman"/>
            <w:sz w:val="20"/>
          </w:rPr>
          <w:t>https://doi.org/10.5281/zenodo.15108343</w:t>
        </w:r>
      </w:hyperlink>
    </w:p>
    <w:p w14:paraId="185BF9CE" w14:textId="1F12E468" w:rsidR="00176F24" w:rsidRPr="00176F24" w:rsidRDefault="00176F24" w:rsidP="00A34129">
      <w:pPr>
        <w:pStyle w:val="NormalWeb"/>
        <w:shd w:val="clear" w:color="auto" w:fill="FFFFFF"/>
        <w:spacing w:before="0" w:beforeAutospacing="0" w:after="0" w:afterAutospacing="0" w:line="240" w:lineRule="atLeast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Acknowledgements: </w:t>
      </w:r>
      <w:r>
        <w:rPr>
          <w:rFonts w:ascii="Times New Roman" w:hAnsi="Times New Roman" w:cs="Times New Roman"/>
          <w:sz w:val="20"/>
          <w:szCs w:val="20"/>
        </w:rPr>
        <w:t xml:space="preserve">I would like to </w:t>
      </w:r>
      <w:r w:rsidR="009950CD">
        <w:rPr>
          <w:rFonts w:ascii="Times New Roman" w:hAnsi="Times New Roman" w:cs="Times New Roman"/>
          <w:sz w:val="20"/>
          <w:szCs w:val="20"/>
        </w:rPr>
        <w:t>thank</w:t>
      </w:r>
      <w:r>
        <w:rPr>
          <w:rFonts w:ascii="Times New Roman" w:hAnsi="Times New Roman" w:cs="Times New Roman"/>
          <w:sz w:val="20"/>
          <w:szCs w:val="20"/>
        </w:rPr>
        <w:t xml:space="preserve"> Adam Kessler and Ruth Reef for their assistance in deploying the EC tower</w:t>
      </w:r>
      <w:r w:rsidR="003B6F0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collecting the data from the tower</w:t>
      </w:r>
      <w:r w:rsidR="003B6F08">
        <w:rPr>
          <w:rFonts w:ascii="Times New Roman" w:hAnsi="Times New Roman" w:cs="Times New Roman"/>
          <w:sz w:val="20"/>
          <w:szCs w:val="20"/>
        </w:rPr>
        <w:t>, and assisting in data interpretation for analysis</w:t>
      </w:r>
      <w:r>
        <w:rPr>
          <w:rFonts w:ascii="Times New Roman" w:hAnsi="Times New Roman" w:cs="Times New Roman"/>
          <w:sz w:val="20"/>
          <w:szCs w:val="20"/>
        </w:rPr>
        <w:t>.</w:t>
      </w:r>
      <w:r w:rsidR="003B6F0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210AE3" w14:textId="35E555AD" w:rsidR="0023094F" w:rsidRPr="00F96EA5" w:rsidRDefault="00C22CA2" w:rsidP="00B96F0F">
      <w:pPr>
        <w:spacing w:line="240" w:lineRule="atLeast"/>
        <w:ind w:firstLine="288"/>
        <w:jc w:val="both"/>
        <w:rPr>
          <w:sz w:val="20"/>
        </w:rPr>
      </w:pPr>
      <w:r w:rsidRPr="00C22CA2">
        <w:rPr>
          <w:b/>
          <w:sz w:val="20"/>
        </w:rPr>
        <w:t>References:</w:t>
      </w:r>
      <w:r w:rsidRPr="00C22CA2">
        <w:rPr>
          <w:sz w:val="20"/>
        </w:rPr>
        <w:t xml:space="preserve"> </w:t>
      </w:r>
      <w:r w:rsidR="0023094F" w:rsidRPr="00C6461E">
        <w:rPr>
          <w:sz w:val="20"/>
        </w:rPr>
        <w:t xml:space="preserve">[1] Mitsch W. J. and Mander U. (2018) </w:t>
      </w:r>
      <w:r w:rsidR="0023094F" w:rsidRPr="00C6461E">
        <w:rPr>
          <w:i/>
          <w:iCs/>
          <w:sz w:val="20"/>
        </w:rPr>
        <w:t>Ecological Engineering</w:t>
      </w:r>
      <w:r w:rsidR="0023094F" w:rsidRPr="00C6461E">
        <w:rPr>
          <w:i/>
          <w:iCs/>
          <w:sz w:val="20"/>
        </w:rPr>
        <w:t>, 114</w:t>
      </w:r>
      <w:r w:rsidR="0023094F" w:rsidRPr="00C6461E">
        <w:rPr>
          <w:sz w:val="20"/>
        </w:rPr>
        <w:t xml:space="preserve">, 1-6. [2] </w:t>
      </w:r>
      <w:r w:rsidR="00E615E0">
        <w:rPr>
          <w:sz w:val="20"/>
        </w:rPr>
        <w:t xml:space="preserve">Scholz M. and Lee B. (2007) Constructed Wetlands: A Review, </w:t>
      </w:r>
      <w:r w:rsidR="00E615E0">
        <w:rPr>
          <w:i/>
          <w:iCs/>
          <w:sz w:val="20"/>
        </w:rPr>
        <w:t xml:space="preserve">International Journal of Environmental Studies, 65, </w:t>
      </w:r>
      <w:r w:rsidR="00E615E0">
        <w:rPr>
          <w:sz w:val="20"/>
        </w:rPr>
        <w:t xml:space="preserve">421-447. [3] </w:t>
      </w:r>
      <w:r w:rsidR="0023094F" w:rsidRPr="00C6461E">
        <w:rPr>
          <w:sz w:val="20"/>
        </w:rPr>
        <w:t xml:space="preserve">Delwiche K. B. et al. (2021) </w:t>
      </w:r>
      <w:r w:rsidR="0023094F" w:rsidRPr="00C6461E">
        <w:rPr>
          <w:i/>
          <w:iCs/>
          <w:sz w:val="20"/>
        </w:rPr>
        <w:t>Earth System Science Data</w:t>
      </w:r>
      <w:r w:rsidR="0023094F" w:rsidRPr="00C6461E">
        <w:rPr>
          <w:i/>
          <w:iCs/>
          <w:sz w:val="20"/>
        </w:rPr>
        <w:t>, 13</w:t>
      </w:r>
      <w:r w:rsidR="0023094F" w:rsidRPr="00C6461E">
        <w:rPr>
          <w:sz w:val="20"/>
        </w:rPr>
        <w:t xml:space="preserve">, </w:t>
      </w:r>
      <w:r w:rsidR="0023094F" w:rsidRPr="00C6461E">
        <w:rPr>
          <w:sz w:val="20"/>
        </w:rPr>
        <w:t>3607–3689</w:t>
      </w:r>
      <w:r w:rsidR="0023094F" w:rsidRPr="00C6461E">
        <w:rPr>
          <w:sz w:val="20"/>
        </w:rPr>
        <w:t>. [</w:t>
      </w:r>
      <w:r w:rsidR="00E615E0">
        <w:rPr>
          <w:sz w:val="20"/>
        </w:rPr>
        <w:t>4</w:t>
      </w:r>
      <w:r w:rsidR="0023094F" w:rsidRPr="00C6461E">
        <w:rPr>
          <w:sz w:val="20"/>
        </w:rPr>
        <w:t xml:space="preserve">] </w:t>
      </w:r>
      <w:r w:rsidR="0023094F" w:rsidRPr="00C6461E">
        <w:rPr>
          <w:sz w:val="20"/>
        </w:rPr>
        <w:t>Rodrigues</w:t>
      </w:r>
      <w:r w:rsidR="00F96EA5" w:rsidRPr="00C6461E">
        <w:rPr>
          <w:sz w:val="20"/>
        </w:rPr>
        <w:t xml:space="preserve"> C. C. F.</w:t>
      </w:r>
      <w:r w:rsidR="0023094F" w:rsidRPr="00C6461E">
        <w:rPr>
          <w:sz w:val="20"/>
        </w:rPr>
        <w:t xml:space="preserve"> et al. </w:t>
      </w:r>
      <w:r w:rsidR="0023094F" w:rsidRPr="00C6461E">
        <w:rPr>
          <w:sz w:val="20"/>
        </w:rPr>
        <w:t>(</w:t>
      </w:r>
      <w:r w:rsidR="0023094F" w:rsidRPr="00C6461E">
        <w:rPr>
          <w:sz w:val="20"/>
        </w:rPr>
        <w:t>2024</w:t>
      </w:r>
      <w:r w:rsidR="0023094F" w:rsidRPr="00C6461E">
        <w:rPr>
          <w:sz w:val="20"/>
        </w:rPr>
        <w:t xml:space="preserve">) </w:t>
      </w:r>
      <w:r w:rsidR="00F96EA5" w:rsidRPr="00C6461E">
        <w:rPr>
          <w:i/>
          <w:iCs/>
          <w:sz w:val="20"/>
        </w:rPr>
        <w:t xml:space="preserve">Journal of Marine Systems, 243, </w:t>
      </w:r>
      <w:r w:rsidR="00F96EA5" w:rsidRPr="00C6461E">
        <w:rPr>
          <w:sz w:val="20"/>
        </w:rPr>
        <w:t>103949</w:t>
      </w:r>
      <w:r w:rsidR="00F96EA5" w:rsidRPr="00C6461E">
        <w:rPr>
          <w:sz w:val="20"/>
        </w:rPr>
        <w:t>. [</w:t>
      </w:r>
      <w:r w:rsidR="00E615E0">
        <w:rPr>
          <w:sz w:val="20"/>
        </w:rPr>
        <w:t>5</w:t>
      </w:r>
      <w:r w:rsidR="00F96EA5" w:rsidRPr="00C6461E">
        <w:rPr>
          <w:sz w:val="20"/>
        </w:rPr>
        <w:t xml:space="preserve">] </w:t>
      </w:r>
      <w:r w:rsidR="00C6461E" w:rsidRPr="00C6461E">
        <w:rPr>
          <w:sz w:val="20"/>
        </w:rPr>
        <w:t xml:space="preserve">Morin T. H. et al. (2018) </w:t>
      </w:r>
      <w:r w:rsidR="00C6461E" w:rsidRPr="00C6461E">
        <w:rPr>
          <w:sz w:val="20"/>
        </w:rPr>
        <w:t xml:space="preserve">Carbon </w:t>
      </w:r>
      <w:r w:rsidR="00CE1894">
        <w:rPr>
          <w:sz w:val="20"/>
        </w:rPr>
        <w:t>D</w:t>
      </w:r>
      <w:r w:rsidR="00C6461E" w:rsidRPr="00C6461E">
        <w:rPr>
          <w:sz w:val="20"/>
        </w:rPr>
        <w:t xml:space="preserve">ioxide </w:t>
      </w:r>
      <w:r w:rsidR="00CE1894">
        <w:rPr>
          <w:sz w:val="20"/>
        </w:rPr>
        <w:t>E</w:t>
      </w:r>
      <w:r w:rsidR="00C6461E" w:rsidRPr="00C6461E">
        <w:rPr>
          <w:sz w:val="20"/>
        </w:rPr>
        <w:t>missions from an</w:t>
      </w:r>
      <w:r w:rsidR="00C6461E" w:rsidRPr="00C6461E">
        <w:rPr>
          <w:sz w:val="20"/>
          <w:szCs w:val="21"/>
        </w:rPr>
        <w:t xml:space="preserve"> </w:t>
      </w:r>
      <w:r w:rsidR="00CE1894">
        <w:rPr>
          <w:sz w:val="20"/>
        </w:rPr>
        <w:t>O</w:t>
      </w:r>
      <w:r w:rsidR="00C6461E" w:rsidRPr="00C6461E">
        <w:rPr>
          <w:sz w:val="20"/>
        </w:rPr>
        <w:t xml:space="preserve">ligotrophic </w:t>
      </w:r>
      <w:r w:rsidR="00CE1894">
        <w:rPr>
          <w:sz w:val="20"/>
        </w:rPr>
        <w:t>T</w:t>
      </w:r>
      <w:r w:rsidR="00C6461E" w:rsidRPr="00C6461E">
        <w:rPr>
          <w:sz w:val="20"/>
        </w:rPr>
        <w:t xml:space="preserve">emperate </w:t>
      </w:r>
      <w:r w:rsidR="00CE1894">
        <w:rPr>
          <w:sz w:val="20"/>
        </w:rPr>
        <w:t>L</w:t>
      </w:r>
      <w:r w:rsidR="00C6461E" w:rsidRPr="00C6461E">
        <w:rPr>
          <w:sz w:val="20"/>
        </w:rPr>
        <w:t xml:space="preserve">ake: An </w:t>
      </w:r>
      <w:r w:rsidR="00CE1894">
        <w:rPr>
          <w:sz w:val="20"/>
        </w:rPr>
        <w:t>E</w:t>
      </w:r>
      <w:r w:rsidR="00C6461E" w:rsidRPr="00C6461E">
        <w:rPr>
          <w:sz w:val="20"/>
        </w:rPr>
        <w:t xml:space="preserve">ddy </w:t>
      </w:r>
      <w:r w:rsidR="00CE1894">
        <w:rPr>
          <w:sz w:val="20"/>
        </w:rPr>
        <w:t>C</w:t>
      </w:r>
      <w:r w:rsidR="00C6461E" w:rsidRPr="00C6461E">
        <w:rPr>
          <w:sz w:val="20"/>
        </w:rPr>
        <w:t xml:space="preserve">ovariance </w:t>
      </w:r>
      <w:r w:rsidR="00CE1894">
        <w:rPr>
          <w:sz w:val="20"/>
        </w:rPr>
        <w:t>A</w:t>
      </w:r>
      <w:r w:rsidR="00C6461E" w:rsidRPr="00C6461E">
        <w:rPr>
          <w:sz w:val="20"/>
        </w:rPr>
        <w:t>pproach</w:t>
      </w:r>
      <w:r w:rsidR="00C6461E" w:rsidRPr="00C6461E">
        <w:rPr>
          <w:sz w:val="20"/>
        </w:rPr>
        <w:t xml:space="preserve">, </w:t>
      </w:r>
      <w:r w:rsidR="00C6461E" w:rsidRPr="00C6461E">
        <w:rPr>
          <w:i/>
          <w:iCs/>
          <w:sz w:val="20"/>
        </w:rPr>
        <w:t>Ecological Engineering</w:t>
      </w:r>
      <w:r w:rsidR="00C6461E" w:rsidRPr="00C6461E">
        <w:rPr>
          <w:i/>
          <w:iCs/>
          <w:sz w:val="20"/>
        </w:rPr>
        <w:t>, 114</w:t>
      </w:r>
      <w:r w:rsidR="00C6461E" w:rsidRPr="00C6461E">
        <w:rPr>
          <w:sz w:val="20"/>
        </w:rPr>
        <w:t>, 25-33.</w:t>
      </w:r>
      <w:r w:rsidR="00C6461E">
        <w:t xml:space="preserve"> </w:t>
      </w:r>
    </w:p>
    <w:p w14:paraId="007149BC" w14:textId="30E8132D" w:rsidR="00023FAA" w:rsidRPr="00023FAA" w:rsidRDefault="00023FAA" w:rsidP="00023FAA">
      <w:pPr>
        <w:spacing w:line="240" w:lineRule="atLeast"/>
        <w:ind w:firstLine="288"/>
        <w:jc w:val="both"/>
        <w:rPr>
          <w:sz w:val="20"/>
        </w:rPr>
      </w:pPr>
    </w:p>
    <w:sectPr w:rsidR="00023FAA" w:rsidRPr="00023FAA" w:rsidSect="00C22CA2">
      <w:type w:val="continuous"/>
      <w:pgSz w:w="12240" w:h="15840"/>
      <w:pgMar w:top="1440" w:right="1440" w:bottom="1440" w:left="1440" w:header="720" w:footer="720" w:gutter="0"/>
      <w:cols w:num="2" w:space="47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BD021" w14:textId="77777777" w:rsidR="00235883" w:rsidRDefault="00235883">
      <w:r>
        <w:separator/>
      </w:r>
    </w:p>
  </w:endnote>
  <w:endnote w:type="continuationSeparator" w:id="0">
    <w:p w14:paraId="7109678D" w14:textId="77777777" w:rsidR="00235883" w:rsidRDefault="0023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CBED1" w14:textId="77777777" w:rsidR="006A128D" w:rsidRDefault="006A12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14956" w14:textId="77777777" w:rsidR="00235883" w:rsidRDefault="00235883">
      <w:r>
        <w:separator/>
      </w:r>
    </w:p>
  </w:footnote>
  <w:footnote w:type="continuationSeparator" w:id="0">
    <w:p w14:paraId="676B1CEC" w14:textId="77777777" w:rsidR="00235883" w:rsidRDefault="0023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EFF01" w14:textId="77777777" w:rsidR="006A128D" w:rsidRDefault="006A128D">
    <w:pPr>
      <w:pStyle w:val="Header"/>
      <w:jc w:val="center"/>
    </w:pPr>
    <w:r>
      <w:t>SHORT TITLE HERE:  A. B. Author and C. D. Author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416F6"/>
    <w:multiLevelType w:val="hybridMultilevel"/>
    <w:tmpl w:val="011C04D6"/>
    <w:lvl w:ilvl="0" w:tplc="06A67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67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8E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90B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0F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EA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4F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63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02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3465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2CA2"/>
    <w:rsid w:val="00021726"/>
    <w:rsid w:val="00023FAA"/>
    <w:rsid w:val="000275A9"/>
    <w:rsid w:val="00045644"/>
    <w:rsid w:val="000A76A6"/>
    <w:rsid w:val="001510C6"/>
    <w:rsid w:val="00163A7A"/>
    <w:rsid w:val="00170594"/>
    <w:rsid w:val="00171462"/>
    <w:rsid w:val="00176F24"/>
    <w:rsid w:val="001C5A15"/>
    <w:rsid w:val="001C6380"/>
    <w:rsid w:val="001E5174"/>
    <w:rsid w:val="00203A2B"/>
    <w:rsid w:val="0023094F"/>
    <w:rsid w:val="00235883"/>
    <w:rsid w:val="002412FE"/>
    <w:rsid w:val="00266950"/>
    <w:rsid w:val="002A015A"/>
    <w:rsid w:val="00393A52"/>
    <w:rsid w:val="00393D80"/>
    <w:rsid w:val="003A58C1"/>
    <w:rsid w:val="003B07C0"/>
    <w:rsid w:val="003B6F08"/>
    <w:rsid w:val="0045061F"/>
    <w:rsid w:val="004D66F2"/>
    <w:rsid w:val="00576590"/>
    <w:rsid w:val="005C3165"/>
    <w:rsid w:val="0060489D"/>
    <w:rsid w:val="00610D4A"/>
    <w:rsid w:val="00622526"/>
    <w:rsid w:val="00670717"/>
    <w:rsid w:val="006824D5"/>
    <w:rsid w:val="006A128D"/>
    <w:rsid w:val="006D622A"/>
    <w:rsid w:val="0071514C"/>
    <w:rsid w:val="0074190B"/>
    <w:rsid w:val="007666A2"/>
    <w:rsid w:val="00792E20"/>
    <w:rsid w:val="007B5FDB"/>
    <w:rsid w:val="007C5F1E"/>
    <w:rsid w:val="0084388C"/>
    <w:rsid w:val="00861CEC"/>
    <w:rsid w:val="008C596E"/>
    <w:rsid w:val="0093500B"/>
    <w:rsid w:val="009950CD"/>
    <w:rsid w:val="009D098F"/>
    <w:rsid w:val="00A173E2"/>
    <w:rsid w:val="00A34129"/>
    <w:rsid w:val="00A35664"/>
    <w:rsid w:val="00A365A6"/>
    <w:rsid w:val="00A4519B"/>
    <w:rsid w:val="00A67A32"/>
    <w:rsid w:val="00AB69BF"/>
    <w:rsid w:val="00AC2DBA"/>
    <w:rsid w:val="00AC5C33"/>
    <w:rsid w:val="00AD7413"/>
    <w:rsid w:val="00B21123"/>
    <w:rsid w:val="00B26AF6"/>
    <w:rsid w:val="00B81EE3"/>
    <w:rsid w:val="00B96F0F"/>
    <w:rsid w:val="00BB0EB3"/>
    <w:rsid w:val="00BB11C1"/>
    <w:rsid w:val="00C22CA2"/>
    <w:rsid w:val="00C6461E"/>
    <w:rsid w:val="00CE15F3"/>
    <w:rsid w:val="00CE1894"/>
    <w:rsid w:val="00CF4208"/>
    <w:rsid w:val="00D333BE"/>
    <w:rsid w:val="00D5379A"/>
    <w:rsid w:val="00DD3A7F"/>
    <w:rsid w:val="00E214FE"/>
    <w:rsid w:val="00E31575"/>
    <w:rsid w:val="00E43065"/>
    <w:rsid w:val="00E615E0"/>
    <w:rsid w:val="00EA2844"/>
    <w:rsid w:val="00EC3001"/>
    <w:rsid w:val="00F0047B"/>
    <w:rsid w:val="00F239DB"/>
    <w:rsid w:val="00F94A05"/>
    <w:rsid w:val="00F96EA5"/>
    <w:rsid w:val="00FC1822"/>
    <w:rsid w:val="00FF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97F4A"/>
  <w14:defaultImageDpi w14:val="0"/>
  <w15:docId w15:val="{265F17DB-641F-413D-82F7-EA6C782C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A2"/>
    <w:rPr>
      <w:rFonts w:ascii="Times New Roman" w:hAnsi="Times New Roman" w:cs="Times New Roman"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3065"/>
    <w:rPr>
      <w:rFonts w:asciiTheme="minorHAnsi" w:hAnsiTheme="minorHAnsi" w:cs="Times New Roman"/>
      <w:color w:val="0000FF"/>
      <w:u w:val="single"/>
    </w:rPr>
  </w:style>
  <w:style w:type="paragraph" w:styleId="NoSpacing">
    <w:name w:val="No Spacing"/>
    <w:uiPriority w:val="1"/>
    <w:qFormat/>
    <w:rsid w:val="003A58C1"/>
    <w:rPr>
      <w:rFonts w:eastAsiaTheme="minorEastAsia" w:cs="Times New Roman"/>
    </w:rPr>
  </w:style>
  <w:style w:type="table" w:customStyle="1" w:styleId="Style1">
    <w:name w:val="Style1"/>
    <w:basedOn w:val="TableNormal"/>
    <w:uiPriority w:val="99"/>
    <w:rsid w:val="002412FE"/>
    <w:rPr>
      <w:rFonts w:eastAsiaTheme="minorEastAsia" w:cs="Times New Roman"/>
      <w:color w:val="000000" w:themeColor="text1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  <w:tblStylePr w:type="firstRow">
      <w:rPr>
        <w:rFonts w:cs="Times New Roman"/>
        <w:b/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Horz">
      <w:rPr>
        <w:rFonts w:cs="Times New Roman"/>
      </w:rPr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15F3"/>
    <w:rPr>
      <w:rFonts w:eastAsiaTheme="minorEastAsia" w:cs="Times New Roman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rFonts w:cs="Times New Roman"/>
        <w:b w:val="0"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9D9" w:themeFill="accent6" w:themeFillTint="33"/>
      </w:tcPr>
    </w:tblStylePr>
    <w:tblStylePr w:type="band1Horz">
      <w:rPr>
        <w:rFonts w:cs="Times New Roman"/>
      </w:rPr>
      <w:tblPr/>
      <w:tcPr>
        <w:shd w:val="clear" w:color="auto" w:fill="FDE9D9" w:themeFill="accent6" w:themeFillTint="33"/>
      </w:tcPr>
    </w:tblStylePr>
  </w:style>
  <w:style w:type="paragraph" w:styleId="Footer">
    <w:name w:val="footer"/>
    <w:basedOn w:val="Normal"/>
    <w:link w:val="FooterChar"/>
    <w:uiPriority w:val="99"/>
    <w:rsid w:val="00C22C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2CA2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C22C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2CA2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2CA2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C22CA2"/>
    <w:rPr>
      <w:b/>
    </w:rPr>
  </w:style>
  <w:style w:type="character" w:styleId="Emphasis">
    <w:name w:val="Emphasis"/>
    <w:basedOn w:val="DefaultParagraphFont"/>
    <w:uiPriority w:val="20"/>
    <w:qFormat/>
    <w:rsid w:val="00C22CA2"/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6707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3E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129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129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1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.kessler@monash.edu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oi.org/10.5281/zenodo.151083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5281/zenodo.151083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uth.reef@monash.edu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E198F-56A1-4A87-9FA2-0A4ABF3B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Linda</dc:creator>
  <cp:keywords/>
  <dc:description/>
  <cp:lastModifiedBy>Tamara Croome</cp:lastModifiedBy>
  <cp:revision>4</cp:revision>
  <dcterms:created xsi:type="dcterms:W3CDTF">2025-03-30T10:58:00Z</dcterms:created>
  <dcterms:modified xsi:type="dcterms:W3CDTF">2025-03-30T11:09:00Z</dcterms:modified>
</cp:coreProperties>
</file>