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75B6"/>
          <w:sz w:val="20"/>
          <w:szCs w:val="20"/>
        </w:rPr>
        <w:t xml:space="preserve">DOC 4</w:t>
      </w:r>
    </w:p>
    <w:p>
      <w:pPr>
        <w:spacing w:after="60"/>
      </w:pPr>
      <w:r>
        <w:rPr>
          <w:rFonts w:ascii="Arial" w:cs="Arial" w:eastAsia="Arial" w:hAnsi="Arial"/>
          <w:b/>
          <w:bCs/>
          <w:color w:val="1B2A4A"/>
          <w:sz w:val="36"/>
          <w:szCs w:val="36"/>
        </w:rPr>
        <w:t xml:space="preserve">FAQ Revised Answers</w:t>
      </w:r>
    </w:p>
    <w:p>
      <w:pPr>
        <w:spacing w:after="200"/>
      </w:pPr>
      <w:r>
        <w:rPr>
          <w:rFonts w:ascii="Arial" w:cs="Arial" w:eastAsia="Arial" w:hAnsi="Arial"/>
          <w:color w:val="2E75B6"/>
          <w:sz w:val="22"/>
          <w:szCs w:val="22"/>
        </w:rPr>
        <w:t xml:space="preserve">mayaziv-law.com</w:t>
      </w:r>
    </w:p>
    <w:p>
      <w:pPr>
        <w:pBdr>
          <w:bottom w:val="single" w:color="2E75B6" w:sz="6" w:space="1"/>
        </w:pBdr>
        <w:spacing w:after="300"/>
      </w:pPr>
    </w:p>
    <w:p>
      <w:pPr>
        <w:spacing w:after="360"/>
      </w:pPr>
      <w:r>
        <w:rPr>
          <w:rFonts w:ascii="Arial" w:cs="Arial" w:eastAsia="Arial" w:hAnsi="Arial"/>
          <w:color w:val="2D2D2D"/>
          <w:sz w:val="20"/>
          <w:szCs w:val="20"/>
        </w:rPr>
        <w:t xml:space="preserve">This document presents the revised FAQ answers for each of the 9 questions used across the mayaziv-law.com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5D3E8" w:sz="1"/>
              <w:left w:val="single" w:color="C5D3E8" w:sz="1"/>
              <w:bottom w:val="single" w:color="C5D3E8" w:sz="1"/>
              <w:right w:val="single" w:color="C5D3E8"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Q1</w:t>
            </w:r>
          </w:p>
        </w:tc>
        <w:tc>
          <w:tcPr>
            <w:tcW w:type="dxa" w:w="8460"/>
            <w:tcBorders>
              <w:top w:val="single" w:color="C5D3E8" w:sz="1"/>
              <w:left w:val="single" w:color="C5D3E8" w:sz="1"/>
              <w:bottom w:val="single" w:color="C5D3E8" w:sz="1"/>
              <w:right w:val="single" w:color="C5D3E8" w:sz="1"/>
            </w:tcBorders>
            <w:shd w:fill="1B2A4A" w:val="clear"/>
            <w:tcMar>
              <w:top w:type="dxa" w:w="100"/>
              <w:left w:type="dxa" w:w="140"/>
              <w:bottom w:type="dxa" w:w="100"/>
              <w:right w:type="dxa" w:w="140"/>
            </w:tcMar>
            <w:vAlign w:val="center"/>
          </w:tcPr>
          <w:p>
            <w:r>
              <w:rPr>
                <w:rFonts w:ascii="Arial" w:cs="Arial" w:eastAsia="Arial" w:hAnsi="Arial"/>
                <w:b/>
                <w:bCs/>
                <w:color w:val="FFFFFF"/>
                <w:sz w:val="22"/>
                <w:szCs w:val="22"/>
              </w:rPr>
              <w:t xml:space="preserve">When should I start tax planning?</w:t>
            </w:r>
          </w:p>
        </w:tc>
      </w:tr>
      <w:tr>
        <w:tc>
          <w:tcPr>
            <w:tcW w:type="dxa" w:w="9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40"/>
            </w:tcMar>
            <w:vAlign w:val="top"/>
          </w:tcPr>
          <w:p>
            <w:pPr>
              <w:spacing w:after="40" w:before="40"/>
              <w:jc w:val="center"/>
            </w:pPr>
            <w:r>
              <w:rPr>
                <w:rFonts w:ascii="Arial" w:cs="Arial" w:eastAsia="Arial" w:hAnsi="Arial"/>
                <w:b/>
                <w:bCs/>
                <w:color w:val="2E75B6"/>
                <w:sz w:val="18"/>
                <w:szCs w:val="18"/>
              </w:rPr>
              <w:t xml:space="preserve">Answer</w:t>
            </w:r>
          </w:p>
        </w:tc>
        <w:tc>
          <w:tcPr>
            <w:tcW w:type="dxa" w:w="84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40"/>
            </w:tcMar>
          </w:tcPr>
          <w:p>
            <w:pPr>
              <w:spacing w:after="40" w:before="40" w:line="300"/>
            </w:pPr>
            <w:r>
              <w:rPr>
                <w:rFonts w:ascii="Arial" w:cs="Arial" w:eastAsia="Arial" w:hAnsi="Arial"/>
                <w:color w:val="2D2D2D"/>
                <w:sz w:val="20"/>
                <w:szCs w:val="20"/>
              </w:rPr>
              <w:t xml:space="preserve">Tax planning on an Israeli property transaction must begin before any document is signed, ideally at the negotiation stage. The applicable Purchase Tax rate depends on your residency status, whether this is your first property in Israel, and the timing of the transaction relative to any Aliyah or relocation. Getting this wrong after the fact is expensive and in some cases irreversible. We assess your tax position at the outset, as part of the transaction structure.</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5D3E8" w:sz="1"/>
              <w:left w:val="single" w:color="C5D3E8" w:sz="1"/>
              <w:bottom w:val="single" w:color="C5D3E8" w:sz="1"/>
              <w:right w:val="single" w:color="C5D3E8"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Q2</w:t>
            </w:r>
          </w:p>
        </w:tc>
        <w:tc>
          <w:tcPr>
            <w:tcW w:type="dxa" w:w="8460"/>
            <w:tcBorders>
              <w:top w:val="single" w:color="C5D3E8" w:sz="1"/>
              <w:left w:val="single" w:color="C5D3E8" w:sz="1"/>
              <w:bottom w:val="single" w:color="C5D3E8" w:sz="1"/>
              <w:right w:val="single" w:color="C5D3E8" w:sz="1"/>
            </w:tcBorders>
            <w:shd w:fill="1B2A4A" w:val="clear"/>
            <w:tcMar>
              <w:top w:type="dxa" w:w="100"/>
              <w:left w:type="dxa" w:w="140"/>
              <w:bottom w:type="dxa" w:w="100"/>
              <w:right w:type="dxa" w:w="140"/>
            </w:tcMar>
            <w:vAlign w:val="center"/>
          </w:tcPr>
          <w:p>
            <w:r>
              <w:rPr>
                <w:rFonts w:ascii="Arial" w:cs="Arial" w:eastAsia="Arial" w:hAnsi="Arial"/>
                <w:b/>
                <w:bCs/>
                <w:color w:val="FFFFFF"/>
                <w:sz w:val="22"/>
                <w:szCs w:val="22"/>
              </w:rPr>
              <w:t xml:space="preserve">How are buyer funds protected during the transaction?</w:t>
            </w:r>
          </w:p>
        </w:tc>
      </w:tr>
      <w:tr>
        <w:tc>
          <w:tcPr>
            <w:tcW w:type="dxa" w:w="9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40"/>
            </w:tcMar>
            <w:vAlign w:val="top"/>
          </w:tcPr>
          <w:p>
            <w:pPr>
              <w:spacing w:after="40" w:before="40"/>
              <w:jc w:val="center"/>
            </w:pPr>
            <w:r>
              <w:rPr>
                <w:rFonts w:ascii="Arial" w:cs="Arial" w:eastAsia="Arial" w:hAnsi="Arial"/>
                <w:b/>
                <w:bCs/>
                <w:color w:val="2E75B6"/>
                <w:sz w:val="18"/>
                <w:szCs w:val="18"/>
              </w:rPr>
              <w:t xml:space="preserve">Answer</w:t>
            </w:r>
          </w:p>
        </w:tc>
        <w:tc>
          <w:tcPr>
            <w:tcW w:type="dxa" w:w="84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40"/>
            </w:tcMar>
          </w:tcPr>
          <w:p>
            <w:pPr>
              <w:spacing w:after="40" w:before="40" w:line="300"/>
            </w:pPr>
            <w:r>
              <w:rPr>
                <w:rFonts w:ascii="Arial" w:cs="Arial" w:eastAsia="Arial" w:hAnsi="Arial"/>
                <w:color w:val="2D2D2D"/>
                <w:sz w:val="20"/>
                <w:szCs w:val="20"/>
              </w:rPr>
              <w:t xml:space="preserve">Buyer funds in Israeli property transactions are released to the seller in stages, tied to specific legal milestones rather than as a lump sum. At each stage, a corresponding security interest is registered in the buyer’s favor at the Land Registry, known as a Hearat Azhara or warning note. This mechanism ensures that if the transaction does not complete, the buyer’s financial exposure is limited. The payment schedule and its linkage to milestones is one of the most important elements of the purchase contract and is negotiated before signing.</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5D3E8" w:sz="1"/>
              <w:left w:val="single" w:color="C5D3E8" w:sz="1"/>
              <w:bottom w:val="single" w:color="C5D3E8" w:sz="1"/>
              <w:right w:val="single" w:color="C5D3E8"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Q3</w:t>
            </w:r>
          </w:p>
        </w:tc>
        <w:tc>
          <w:tcPr>
            <w:tcW w:type="dxa" w:w="8460"/>
            <w:tcBorders>
              <w:top w:val="single" w:color="C5D3E8" w:sz="1"/>
              <w:left w:val="single" w:color="C5D3E8" w:sz="1"/>
              <w:bottom w:val="single" w:color="C5D3E8" w:sz="1"/>
              <w:right w:val="single" w:color="C5D3E8" w:sz="1"/>
            </w:tcBorders>
            <w:shd w:fill="1B2A4A" w:val="clear"/>
            <w:tcMar>
              <w:top w:type="dxa" w:w="100"/>
              <w:left w:type="dxa" w:w="140"/>
              <w:bottom w:type="dxa" w:w="100"/>
              <w:right w:type="dxa" w:w="140"/>
            </w:tcMar>
            <w:vAlign w:val="center"/>
          </w:tcPr>
          <w:p>
            <w:r>
              <w:rPr>
                <w:rFonts w:ascii="Arial" w:cs="Arial" w:eastAsia="Arial" w:hAnsi="Arial"/>
                <w:b/>
                <w:bCs/>
                <w:color w:val="FFFFFF"/>
                <w:sz w:val="22"/>
                <w:szCs w:val="22"/>
              </w:rPr>
              <w:t xml:space="preserve">Can I purchase property before making Aliyah?</w:t>
            </w:r>
          </w:p>
        </w:tc>
      </w:tr>
      <w:tr>
        <w:tc>
          <w:tcPr>
            <w:tcW w:type="dxa" w:w="9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40"/>
            </w:tcMar>
            <w:vAlign w:val="top"/>
          </w:tcPr>
          <w:p>
            <w:pPr>
              <w:spacing w:after="40" w:before="40"/>
              <w:jc w:val="center"/>
            </w:pPr>
            <w:r>
              <w:rPr>
                <w:rFonts w:ascii="Arial" w:cs="Arial" w:eastAsia="Arial" w:hAnsi="Arial"/>
                <w:b/>
                <w:bCs/>
                <w:color w:val="2E75B6"/>
                <w:sz w:val="18"/>
                <w:szCs w:val="18"/>
              </w:rPr>
              <w:t xml:space="preserve">Answer</w:t>
            </w:r>
          </w:p>
        </w:tc>
        <w:tc>
          <w:tcPr>
            <w:tcW w:type="dxa" w:w="84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40"/>
            </w:tcMar>
          </w:tcPr>
          <w:p>
            <w:pPr>
              <w:spacing w:after="40" w:before="40" w:line="300"/>
            </w:pPr>
            <w:r>
              <w:rPr>
                <w:rFonts w:ascii="Arial" w:cs="Arial" w:eastAsia="Arial" w:hAnsi="Arial"/>
                <w:color w:val="2D2D2D"/>
                <w:sz w:val="20"/>
                <w:szCs w:val="20"/>
              </w:rPr>
              <w:t xml:space="preserve">Yes. Non-residents can purchase property in Israel. The more important question is the timing of the purchase relative to your Aliyah date, as this affects your Purchase Tax eligibility. In some cases purchasing before making Aliyah preserves certain benefits. In others, waiting is the better structure. This analysis is specific to each client’s situation and should be done before any commitment is made.</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5D3E8" w:sz="1"/>
              <w:left w:val="single" w:color="C5D3E8" w:sz="1"/>
              <w:bottom w:val="single" w:color="C5D3E8" w:sz="1"/>
              <w:right w:val="single" w:color="C5D3E8"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Q4</w:t>
            </w:r>
          </w:p>
        </w:tc>
        <w:tc>
          <w:tcPr>
            <w:tcW w:type="dxa" w:w="8460"/>
            <w:tcBorders>
              <w:top w:val="single" w:color="C5D3E8" w:sz="1"/>
              <w:left w:val="single" w:color="C5D3E8" w:sz="1"/>
              <w:bottom w:val="single" w:color="C5D3E8" w:sz="1"/>
              <w:right w:val="single" w:color="C5D3E8" w:sz="1"/>
            </w:tcBorders>
            <w:shd w:fill="1B2A4A" w:val="clear"/>
            <w:tcMar>
              <w:top w:type="dxa" w:w="100"/>
              <w:left w:type="dxa" w:w="140"/>
              <w:bottom w:type="dxa" w:w="100"/>
              <w:right w:type="dxa" w:w="140"/>
            </w:tcMar>
            <w:vAlign w:val="center"/>
          </w:tcPr>
          <w:p>
            <w:r>
              <w:rPr>
                <w:rFonts w:ascii="Arial" w:cs="Arial" w:eastAsia="Arial" w:hAnsi="Arial"/>
                <w:b/>
                <w:bCs/>
                <w:color w:val="FFFFFF"/>
                <w:sz w:val="22"/>
                <w:szCs w:val="22"/>
              </w:rPr>
              <w:t xml:space="preserve">Can I pay Israeli purchase tax in foreign currency?</w:t>
            </w:r>
          </w:p>
        </w:tc>
      </w:tr>
      <w:tr>
        <w:tc>
          <w:tcPr>
            <w:tcW w:type="dxa" w:w="9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40"/>
            </w:tcMar>
            <w:vAlign w:val="top"/>
          </w:tcPr>
          <w:p>
            <w:pPr>
              <w:spacing w:after="40" w:before="40"/>
              <w:jc w:val="center"/>
            </w:pPr>
            <w:r>
              <w:rPr>
                <w:rFonts w:ascii="Arial" w:cs="Arial" w:eastAsia="Arial" w:hAnsi="Arial"/>
                <w:b/>
                <w:bCs/>
                <w:color w:val="2E75B6"/>
                <w:sz w:val="18"/>
                <w:szCs w:val="18"/>
              </w:rPr>
              <w:t xml:space="preserve">Answer</w:t>
            </w:r>
          </w:p>
        </w:tc>
        <w:tc>
          <w:tcPr>
            <w:tcW w:type="dxa" w:w="84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40"/>
            </w:tcMar>
          </w:tcPr>
          <w:p>
            <w:pPr>
              <w:spacing w:after="40" w:before="40" w:line="300"/>
            </w:pPr>
            <w:r>
              <w:rPr>
                <w:rFonts w:ascii="Arial" w:cs="Arial" w:eastAsia="Arial" w:hAnsi="Arial"/>
                <w:color w:val="2D2D2D"/>
                <w:sz w:val="20"/>
                <w:szCs w:val="20"/>
              </w:rPr>
              <w:t xml:space="preserve">No. Purchase Tax payments to the Israeli Tax Authority are made in New Israeli Shekels. For clients transferring funds from abroad, this requires coordinating currency conversion, timing the transfer to limit exchange rate exposure, and ensuring the receiving Israeli bank accepts the funds. We manage this process as part of the transaction.</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5D3E8" w:sz="1"/>
              <w:left w:val="single" w:color="C5D3E8" w:sz="1"/>
              <w:bottom w:val="single" w:color="C5D3E8" w:sz="1"/>
              <w:right w:val="single" w:color="C5D3E8"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Q5</w:t>
            </w:r>
          </w:p>
        </w:tc>
        <w:tc>
          <w:tcPr>
            <w:tcW w:type="dxa" w:w="8460"/>
            <w:tcBorders>
              <w:top w:val="single" w:color="C5D3E8" w:sz="1"/>
              <w:left w:val="single" w:color="C5D3E8" w:sz="1"/>
              <w:bottom w:val="single" w:color="C5D3E8" w:sz="1"/>
              <w:right w:val="single" w:color="C5D3E8" w:sz="1"/>
            </w:tcBorders>
            <w:shd w:fill="1B2A4A" w:val="clear"/>
            <w:tcMar>
              <w:top w:type="dxa" w:w="100"/>
              <w:left w:type="dxa" w:w="140"/>
              <w:bottom w:type="dxa" w:w="100"/>
              <w:right w:type="dxa" w:w="140"/>
            </w:tcMar>
            <w:vAlign w:val="center"/>
          </w:tcPr>
          <w:p>
            <w:r>
              <w:rPr>
                <w:rFonts w:ascii="Arial" w:cs="Arial" w:eastAsia="Arial" w:hAnsi="Arial"/>
                <w:b/>
                <w:bCs/>
                <w:color w:val="FFFFFF"/>
                <w:sz w:val="22"/>
                <w:szCs w:val="22"/>
              </w:rPr>
              <w:t xml:space="preserve">Will the Israeli bank automatically accept my transfer?</w:t>
            </w:r>
          </w:p>
        </w:tc>
      </w:tr>
      <w:tr>
        <w:tc>
          <w:tcPr>
            <w:tcW w:type="dxa" w:w="9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40"/>
            </w:tcMar>
            <w:vAlign w:val="top"/>
          </w:tcPr>
          <w:p>
            <w:pPr>
              <w:spacing w:after="40" w:before="40"/>
              <w:jc w:val="center"/>
            </w:pPr>
            <w:r>
              <w:rPr>
                <w:rFonts w:ascii="Arial" w:cs="Arial" w:eastAsia="Arial" w:hAnsi="Arial"/>
                <w:b/>
                <w:bCs/>
                <w:color w:val="2E75B6"/>
                <w:sz w:val="18"/>
                <w:szCs w:val="18"/>
              </w:rPr>
              <w:t xml:space="preserve">Answer</w:t>
            </w:r>
          </w:p>
        </w:tc>
        <w:tc>
          <w:tcPr>
            <w:tcW w:type="dxa" w:w="84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40"/>
            </w:tcMar>
          </w:tcPr>
          <w:p>
            <w:pPr>
              <w:spacing w:after="40" w:before="40" w:line="300"/>
            </w:pPr>
            <w:r>
              <w:rPr>
                <w:rFonts w:ascii="Arial" w:cs="Arial" w:eastAsia="Arial" w:hAnsi="Arial"/>
                <w:color w:val="2D2D2D"/>
                <w:sz w:val="20"/>
                <w:szCs w:val="20"/>
              </w:rPr>
              <w:t xml:space="preserve">No. Israeli banks operate under strict anti-money laundering and compliance requirements. An international transfer that arrives without prior documentation establishing the source of funds, the purpose of the transfer, and the underlying transaction is likely to be held or returned. Preparing the source-of-funds file in advance and coordinating with the bank before the transfer is initiated is standard practice on any cross-border transaction. We handle this as part of our representation.</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5D3E8" w:sz="1"/>
              <w:left w:val="single" w:color="C5D3E8" w:sz="1"/>
              <w:bottom w:val="single" w:color="C5D3E8" w:sz="1"/>
              <w:right w:val="single" w:color="C5D3E8"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Q6</w:t>
            </w:r>
          </w:p>
        </w:tc>
        <w:tc>
          <w:tcPr>
            <w:tcW w:type="dxa" w:w="8460"/>
            <w:tcBorders>
              <w:top w:val="single" w:color="C5D3E8" w:sz="1"/>
              <w:left w:val="single" w:color="C5D3E8" w:sz="1"/>
              <w:bottom w:val="single" w:color="C5D3E8" w:sz="1"/>
              <w:right w:val="single" w:color="C5D3E8" w:sz="1"/>
            </w:tcBorders>
            <w:shd w:fill="1B2A4A" w:val="clear"/>
            <w:tcMar>
              <w:top w:type="dxa" w:w="100"/>
              <w:left w:type="dxa" w:w="140"/>
              <w:bottom w:type="dxa" w:w="100"/>
              <w:right w:type="dxa" w:w="140"/>
            </w:tcMar>
            <w:vAlign w:val="center"/>
          </w:tcPr>
          <w:p>
            <w:r>
              <w:rPr>
                <w:rFonts w:ascii="Arial" w:cs="Arial" w:eastAsia="Arial" w:hAnsi="Arial"/>
                <w:b/>
                <w:bCs/>
                <w:color w:val="FFFFFF"/>
                <w:sz w:val="22"/>
                <w:szCs w:val="22"/>
              </w:rPr>
              <w:t xml:space="preserve">When do I become a tax resident of Israel?</w:t>
            </w:r>
          </w:p>
        </w:tc>
      </w:tr>
      <w:tr>
        <w:tc>
          <w:tcPr>
            <w:tcW w:type="dxa" w:w="9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40"/>
            </w:tcMar>
            <w:vAlign w:val="top"/>
          </w:tcPr>
          <w:p>
            <w:pPr>
              <w:spacing w:after="40" w:before="40"/>
              <w:jc w:val="center"/>
            </w:pPr>
            <w:r>
              <w:rPr>
                <w:rFonts w:ascii="Arial" w:cs="Arial" w:eastAsia="Arial" w:hAnsi="Arial"/>
                <w:b/>
                <w:bCs/>
                <w:color w:val="2E75B6"/>
                <w:sz w:val="18"/>
                <w:szCs w:val="18"/>
              </w:rPr>
              <w:t xml:space="preserve">Answer</w:t>
            </w:r>
          </w:p>
        </w:tc>
        <w:tc>
          <w:tcPr>
            <w:tcW w:type="dxa" w:w="84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40"/>
            </w:tcMar>
          </w:tcPr>
          <w:p>
            <w:pPr>
              <w:spacing w:after="40" w:before="40" w:line="300"/>
            </w:pPr>
            <w:r>
              <w:rPr>
                <w:rFonts w:ascii="Arial" w:cs="Arial" w:eastAsia="Arial" w:hAnsi="Arial"/>
                <w:color w:val="2D2D2D"/>
                <w:sz w:val="20"/>
                <w:szCs w:val="20"/>
              </w:rPr>
              <w:t xml:space="preserve">Israeli tax residency is determined by the center of life test, a factual assessment that includes physical presence of over 183 days in a tax year or over 425 days across three consecutive years, as well as the location of your economic and personal ties. It is not determined by citizenship or Aliyah status alone. The consequences of becoming an Israeli tax resident are significant and affect reporting obligations on worldwide income. We advise on residency classification as part of pre-arrival planning.</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5D3E8" w:sz="1"/>
              <w:left w:val="single" w:color="C5D3E8" w:sz="1"/>
              <w:bottom w:val="single" w:color="C5D3E8" w:sz="1"/>
              <w:right w:val="single" w:color="C5D3E8"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Q7</w:t>
            </w:r>
          </w:p>
        </w:tc>
        <w:tc>
          <w:tcPr>
            <w:tcW w:type="dxa" w:w="8460"/>
            <w:tcBorders>
              <w:top w:val="single" w:color="C5D3E8" w:sz="1"/>
              <w:left w:val="single" w:color="C5D3E8" w:sz="1"/>
              <w:bottom w:val="single" w:color="C5D3E8" w:sz="1"/>
              <w:right w:val="single" w:color="C5D3E8" w:sz="1"/>
            </w:tcBorders>
            <w:shd w:fill="1B2A4A" w:val="clear"/>
            <w:tcMar>
              <w:top w:type="dxa" w:w="100"/>
              <w:left w:type="dxa" w:w="140"/>
              <w:bottom w:type="dxa" w:w="100"/>
              <w:right w:type="dxa" w:w="140"/>
            </w:tcMar>
            <w:vAlign w:val="center"/>
          </w:tcPr>
          <w:p>
            <w:r>
              <w:rPr>
                <w:rFonts w:ascii="Arial" w:cs="Arial" w:eastAsia="Arial" w:hAnsi="Arial"/>
                <w:b/>
                <w:bCs/>
                <w:color w:val="FFFFFF"/>
                <w:sz w:val="22"/>
                <w:szCs w:val="22"/>
              </w:rPr>
              <w:t xml:space="preserve">Is a foreign will valid in Israel?</w:t>
            </w:r>
          </w:p>
        </w:tc>
      </w:tr>
      <w:tr>
        <w:tc>
          <w:tcPr>
            <w:tcW w:type="dxa" w:w="9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40"/>
            </w:tcMar>
            <w:vAlign w:val="top"/>
          </w:tcPr>
          <w:p>
            <w:pPr>
              <w:spacing w:after="40" w:before="40"/>
              <w:jc w:val="center"/>
            </w:pPr>
            <w:r>
              <w:rPr>
                <w:rFonts w:ascii="Arial" w:cs="Arial" w:eastAsia="Arial" w:hAnsi="Arial"/>
                <w:b/>
                <w:bCs/>
                <w:color w:val="2E75B6"/>
                <w:sz w:val="18"/>
                <w:szCs w:val="18"/>
              </w:rPr>
              <w:t xml:space="preserve">Answer</w:t>
            </w:r>
          </w:p>
        </w:tc>
        <w:tc>
          <w:tcPr>
            <w:tcW w:type="dxa" w:w="84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40"/>
            </w:tcMar>
          </w:tcPr>
          <w:p>
            <w:pPr>
              <w:spacing w:after="40" w:before="40" w:line="300"/>
            </w:pPr>
            <w:r>
              <w:rPr>
                <w:rFonts w:ascii="Arial" w:cs="Arial" w:eastAsia="Arial" w:hAnsi="Arial"/>
                <w:color w:val="2D2D2D"/>
                <w:sz w:val="20"/>
                <w:szCs w:val="20"/>
              </w:rPr>
              <w:t xml:space="preserve">A foreign will can be recognized in Israel but it must go through a probate process that includes expert opinions on the relevant foreign law. This process adds time, cost, and uncertainty, particularly when the estate includes Israeli real estate. The more reliable approach is to draft a separate Israeli will that addresses Israeli assets specifically, coordinated with your foreign will so that the two instruments do not conflict. We advise on both the drafting and the coordination across jurisdictions.</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5D3E8" w:sz="1"/>
              <w:left w:val="single" w:color="C5D3E8" w:sz="1"/>
              <w:bottom w:val="single" w:color="C5D3E8" w:sz="1"/>
              <w:right w:val="single" w:color="C5D3E8"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Q8</w:t>
            </w:r>
          </w:p>
        </w:tc>
        <w:tc>
          <w:tcPr>
            <w:tcW w:type="dxa" w:w="8460"/>
            <w:tcBorders>
              <w:top w:val="single" w:color="C5D3E8" w:sz="1"/>
              <w:left w:val="single" w:color="C5D3E8" w:sz="1"/>
              <w:bottom w:val="single" w:color="C5D3E8" w:sz="1"/>
              <w:right w:val="single" w:color="C5D3E8" w:sz="1"/>
            </w:tcBorders>
            <w:shd w:fill="1B2A4A" w:val="clear"/>
            <w:tcMar>
              <w:top w:type="dxa" w:w="100"/>
              <w:left w:type="dxa" w:w="140"/>
              <w:bottom w:type="dxa" w:w="100"/>
              <w:right w:type="dxa" w:w="140"/>
            </w:tcMar>
            <w:vAlign w:val="center"/>
          </w:tcPr>
          <w:p>
            <w:r>
              <w:rPr>
                <w:rFonts w:ascii="Arial" w:cs="Arial" w:eastAsia="Arial" w:hAnsi="Arial"/>
                <w:b/>
                <w:bCs/>
                <w:color w:val="FFFFFF"/>
                <w:sz w:val="22"/>
                <w:szCs w:val="22"/>
              </w:rPr>
              <w:t xml:space="preserve">Can I appoint an estate administrator residing outside Israel?</w:t>
            </w:r>
          </w:p>
        </w:tc>
      </w:tr>
      <w:tr>
        <w:tc>
          <w:tcPr>
            <w:tcW w:type="dxa" w:w="9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40"/>
            </w:tcMar>
            <w:vAlign w:val="top"/>
          </w:tcPr>
          <w:p>
            <w:pPr>
              <w:spacing w:after="40" w:before="40"/>
              <w:jc w:val="center"/>
            </w:pPr>
            <w:r>
              <w:rPr>
                <w:rFonts w:ascii="Arial" w:cs="Arial" w:eastAsia="Arial" w:hAnsi="Arial"/>
                <w:b/>
                <w:bCs/>
                <w:color w:val="2E75B6"/>
                <w:sz w:val="18"/>
                <w:szCs w:val="18"/>
              </w:rPr>
              <w:t xml:space="preserve">Answer</w:t>
            </w:r>
          </w:p>
        </w:tc>
        <w:tc>
          <w:tcPr>
            <w:tcW w:type="dxa" w:w="84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40"/>
            </w:tcMar>
          </w:tcPr>
          <w:p>
            <w:pPr>
              <w:spacing w:after="40" w:before="40" w:line="300"/>
            </w:pPr>
            <w:r>
              <w:rPr>
                <w:rFonts w:ascii="Arial" w:cs="Arial" w:eastAsia="Arial" w:hAnsi="Arial"/>
                <w:color w:val="2D2D2D"/>
                <w:sz w:val="20"/>
                <w:szCs w:val="20"/>
              </w:rPr>
              <w:t xml:space="preserve">Yes, though Israeli courts may require additional procedural steps including the provision of guarantees before appointing a non-resident administrator. The practical implications depend on the composition of the estate and the complexity of the proceedings. We advise on executor selection as part of the estate planning process, with attention to the realistic demands of the role and the client’s family and asset structure.</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5D3E8" w:sz="1"/>
              <w:left w:val="single" w:color="C5D3E8" w:sz="1"/>
              <w:bottom w:val="single" w:color="C5D3E8" w:sz="1"/>
              <w:right w:val="single" w:color="C5D3E8"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Q9</w:t>
            </w:r>
          </w:p>
        </w:tc>
        <w:tc>
          <w:tcPr>
            <w:tcW w:type="dxa" w:w="8460"/>
            <w:tcBorders>
              <w:top w:val="single" w:color="C5D3E8" w:sz="1"/>
              <w:left w:val="single" w:color="C5D3E8" w:sz="1"/>
              <w:bottom w:val="single" w:color="C5D3E8" w:sz="1"/>
              <w:right w:val="single" w:color="C5D3E8" w:sz="1"/>
            </w:tcBorders>
            <w:shd w:fill="1B2A4A" w:val="clear"/>
            <w:tcMar>
              <w:top w:type="dxa" w:w="100"/>
              <w:left w:type="dxa" w:w="140"/>
              <w:bottom w:type="dxa" w:w="100"/>
              <w:right w:type="dxa" w:w="140"/>
            </w:tcMar>
            <w:vAlign w:val="center"/>
          </w:tcPr>
          <w:p>
            <w:r>
              <w:rPr>
                <w:rFonts w:ascii="Arial" w:cs="Arial" w:eastAsia="Arial" w:hAnsi="Arial"/>
                <w:b/>
                <w:bCs/>
                <w:color w:val="FFFFFF"/>
                <w:sz w:val="22"/>
                <w:szCs w:val="22"/>
              </w:rPr>
              <w:t xml:space="preserve">What is the difference between an inheritance order and a probate order?</w:t>
            </w:r>
          </w:p>
        </w:tc>
      </w:tr>
      <w:tr>
        <w:tc>
          <w:tcPr>
            <w:tcW w:type="dxa" w:w="9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40"/>
            </w:tcMar>
            <w:vAlign w:val="top"/>
          </w:tcPr>
          <w:p>
            <w:pPr>
              <w:spacing w:after="40" w:before="40"/>
              <w:jc w:val="center"/>
            </w:pPr>
            <w:r>
              <w:rPr>
                <w:rFonts w:ascii="Arial" w:cs="Arial" w:eastAsia="Arial" w:hAnsi="Arial"/>
                <w:b/>
                <w:bCs/>
                <w:color w:val="2E75B6"/>
                <w:sz w:val="18"/>
                <w:szCs w:val="18"/>
              </w:rPr>
              <w:t xml:space="preserve">Answer</w:t>
            </w:r>
          </w:p>
        </w:tc>
        <w:tc>
          <w:tcPr>
            <w:tcW w:type="dxa" w:w="84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40"/>
            </w:tcMar>
          </w:tcPr>
          <w:p>
            <w:pPr>
              <w:spacing w:after="40" w:before="40" w:line="300"/>
            </w:pPr>
            <w:r>
              <w:rPr>
                <w:rFonts w:ascii="Arial" w:cs="Arial" w:eastAsia="Arial" w:hAnsi="Arial"/>
                <w:color w:val="2D2D2D"/>
                <w:sz w:val="20"/>
                <w:szCs w:val="20"/>
              </w:rPr>
              <w:t xml:space="preserve">A probate order, Kiyum Tzava’a, is issued by the Israeli Registrar of Inheritance when the deceased left a valid will. It confirms the will’s validity and authorizes its execution. An inheritance order, Tzav Yerusha, is issued when there is no valid will, and estate distribution then follows the statutory provisions of Israel’s Succession Law. In cross-border estates, coordinating the Israeli process with foreign proceedings is essential to avoid conflicts between jurisdictions.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7A7A"/>
        <w:sz w:val="16"/>
        <w:szCs w:val="16"/>
      </w:rPr>
      <w:t xml:space="preserve">Page </w:t>
    </w:r>
    <w:r>
      <w:rPr>
        <w:rFonts w:ascii="Arial" w:cs="Arial" w:eastAsia="Arial" w:hAnsi="Arial"/>
        <w:color w:val="7A7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2E75B6"/>
        <w:sz w:val="16"/>
        <w:szCs w:val="16"/>
      </w:rPr>
      <w:t xml:space="preserve">Maya Ziv Law  |  FAQ Revised Answers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2026-03-13T09:55:38.515Z</dcterms:created>
  <dcterms:modified xsi:type="dcterms:W3CDTF">2026-03-13T09:55:38.517Z</dcterms:modified>
</cp:coreProperties>
</file>

<file path=docProps/custom.xml><?xml version="1.0" encoding="utf-8"?>
<Properties xmlns="http://schemas.openxmlformats.org/officeDocument/2006/custom-properties" xmlns:vt="http://schemas.openxmlformats.org/officeDocument/2006/docPropsVTypes"/>
</file>