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2332"/>
          <w:sz w:val="44"/>
          <w:szCs w:val="44"/>
        </w:rPr>
        <w:t xml:space="preserve">MAYA ZIV LAW</w:t>
      </w:r>
    </w:p>
    <w:p>
      <w:pPr>
        <w:pBdr>
          <w:bottom w:val="single" w:color="2E75B6" w:sz="6" w:space="1"/>
        </w:pBdr>
        <w:spacing w:after="100"/>
        <w:jc w:val="center"/>
      </w:pPr>
      <w:r>
        <w:rPr>
          <w:rFonts w:ascii="Arial" w:cs="Arial" w:eastAsia="Arial" w:hAnsi="Arial"/>
          <w:sz w:val="12"/>
          <w:szCs w:val="12"/>
        </w:rPr>
        <w:t xml:space="preserve"> </w:t>
      </w:r>
    </w:p>
    <w:p>
      <w:pPr>
        <w:spacing w:before="400"/>
      </w:pPr>
    </w:p>
    <w:p>
      <w:pPr>
        <w:spacing w:after="200"/>
        <w:jc w:val="center"/>
      </w:pPr>
      <w:r>
        <w:rPr>
          <w:rFonts w:ascii="Arial" w:cs="Arial" w:eastAsia="Arial" w:hAnsi="Arial"/>
          <w:b/>
          <w:bCs/>
          <w:color w:val="2E75B6"/>
          <w:sz w:val="36"/>
          <w:szCs w:val="36"/>
        </w:rPr>
        <w:t xml:space="preserve">DOC 5</w:t>
      </w:r>
    </w:p>
    <w:p>
      <w:pPr>
        <w:spacing w:after="200"/>
        <w:jc w:val="center"/>
      </w:pPr>
      <w:r>
        <w:rPr>
          <w:rFonts w:ascii="Arial" w:cs="Arial" w:eastAsia="Arial" w:hAnsi="Arial"/>
          <w:b/>
          <w:bCs/>
          <w:color w:val="1A2332"/>
          <w:sz w:val="32"/>
          <w:szCs w:val="32"/>
        </w:rPr>
        <w:t xml:space="preserve">Full Revised Service Pages Content</w:t>
      </w:r>
    </w:p>
    <w:p>
      <w:pPr>
        <w:spacing w:after="600"/>
        <w:jc w:val="center"/>
      </w:pPr>
      <w:r>
        <w:rPr>
          <w:rFonts w:ascii="Arial" w:cs="Arial" w:eastAsia="Arial" w:hAnsi="Arial"/>
          <w:color w:val="666666"/>
          <w:sz w:val="24"/>
          <w:szCs w:val="24"/>
        </w:rPr>
        <w:t xml:space="preserve">Complete Revised Copy for All Five Service Pages</w:t>
      </w:r>
    </w:p>
    <w:p>
      <w:pPr>
        <w:spacing w:after="100"/>
        <w:jc w:val="center"/>
      </w:pPr>
      <w:r>
        <w:rPr>
          <w:rFonts w:ascii="Arial" w:cs="Arial" w:eastAsia="Arial" w:hAnsi="Arial"/>
          <w:color w:val="333333"/>
          <w:sz w:val="20"/>
          <w:szCs w:val="20"/>
        </w:rPr>
        <w:t xml:space="preserve">Website: mayaziv-law.com</w:t>
      </w:r>
    </w:p>
    <w:p>
      <w:pPr>
        <w:spacing w:after="100"/>
        <w:jc w:val="center"/>
      </w:pPr>
      <w:r>
        <w:rPr>
          <w:rFonts w:ascii="Arial" w:cs="Arial" w:eastAsia="Arial" w:hAnsi="Arial"/>
          <w:color w:val="333333"/>
          <w:sz w:val="20"/>
          <w:szCs w:val="20"/>
        </w:rPr>
        <w:t xml:space="preserve">Language: English</w:t>
      </w:r>
    </w:p>
    <w:p>
      <w:pPr>
        <w:spacing w:after="100"/>
        <w:jc w:val="center"/>
      </w:pPr>
      <w:r>
        <w:rPr>
          <w:rFonts w:ascii="Arial" w:cs="Arial" w:eastAsia="Arial" w:hAnsi="Arial"/>
          <w:color w:val="333333"/>
          <w:sz w:val="20"/>
          <w:szCs w:val="20"/>
        </w:rPr>
        <w:t xml:space="preserve">Date: March 2026</w:t>
      </w:r>
    </w:p>
    <w:p>
      <w:pPr>
        <w:spacing w:after="100"/>
        <w:jc w:val="center"/>
      </w:pPr>
      <w:r>
        <w:rPr>
          <w:rFonts w:ascii="Arial" w:cs="Arial" w:eastAsia="Arial" w:hAnsi="Arial"/>
          <w:color w:val="333333"/>
          <w:sz w:val="20"/>
          <w:szCs w:val="20"/>
        </w:rPr>
        <w:t xml:space="preserve">Positioning: Boutique private client firm (Withers / Payne Hicks Beach model)</w:t>
      </w:r>
    </w:p>
    <w:p>
      <w:pPr>
        <w:spacing w:before="600" w:after="200"/>
        <w:jc w:val="center"/>
      </w:pPr>
      <w:r>
        <w:rPr>
          <w:rFonts w:ascii="Arial" w:cs="Arial" w:eastAsia="Arial" w:hAnsi="Arial"/>
          <w:i/>
          <w:iCs/>
          <w:color w:val="666666"/>
          <w:sz w:val="20"/>
          <w:szCs w:val="20"/>
        </w:rPr>
        <w:t xml:space="preserve">Confidential</w:t>
      </w:r>
    </w:p>
    <w:p>
      <w:r>
        <w:br w:type="page"/>
      </w:r>
    </w:p>
    <w:p>
      <w:pPr>
        <w:pBdr>
          <w:bottom w:val="single" w:color="2E75B6" w:sz="2" w:space="4"/>
        </w:pBdr>
        <w:spacing w:before="300" w:after="150"/>
      </w:pPr>
      <w:r>
        <w:rPr>
          <w:rFonts w:ascii="Arial" w:cs="Arial" w:eastAsia="Arial" w:hAnsi="Arial"/>
          <w:b/>
          <w:bCs/>
          <w:color w:val="2E75B6"/>
          <w:sz w:val="24"/>
          <w:szCs w:val="24"/>
        </w:rPr>
        <w:t xml:space="preserve">About This Document</w:t>
      </w:r>
    </w:p>
    <w:p>
      <w:pPr>
        <w:spacing w:after="180" w:line="300"/>
      </w:pPr>
      <w:r>
        <w:rPr>
          <w:rFonts w:ascii="Arial" w:cs="Arial" w:eastAsia="Arial" w:hAnsi="Arial"/>
          <w:color w:val="333333"/>
          <w:sz w:val="20"/>
          <w:szCs w:val="20"/>
        </w:rPr>
        <w:t xml:space="preserve">This document contains the complete revised English-language copy for all five service pages on mayaziv-law.com. It is designed as a ready-to-implement content brief: the developer can replace the current page content with the text provided below, section by section.</w:t>
      </w:r>
    </w:p>
    <w:p>
      <w:pPr>
        <w:spacing w:after="180" w:line="300"/>
      </w:pPr>
      <w:r>
        <w:rPr>
          <w:rFonts w:ascii="Arial" w:cs="Arial" w:eastAsia="Arial" w:hAnsi="Arial"/>
          <w:color w:val="333333"/>
          <w:sz w:val="20"/>
          <w:szCs w:val="20"/>
        </w:rPr>
        <w:t xml:space="preserve">The revised copy reflects a repositioning of Maya Ziv Law as a boutique private client firm in the tradition of Withers and Payne Hicks Beach: understated authority, financial literacy as a core differentiator, and a client base of high-net-worth individuals, families, and businesses with cross-border interests.</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Core Positioning Principles</w:t>
      </w:r>
    </w:p>
    <w:p>
      <w:pPr>
        <w:spacing w:after="180" w:line="300"/>
      </w:pPr>
      <w:r>
        <w:rPr>
          <w:rFonts w:ascii="Arial" w:cs="Arial" w:eastAsia="Arial" w:hAnsi="Arial"/>
          <w:b/>
          <w:bCs/>
          <w:color w:val="1A2332"/>
          <w:sz w:val="20"/>
          <w:szCs w:val="20"/>
        </w:rPr>
        <w:t xml:space="preserve">Voice: </w:t>
      </w:r>
      <w:r>
        <w:rPr>
          <w:rFonts w:ascii="Arial" w:cs="Arial" w:eastAsia="Arial" w:hAnsi="Arial"/>
          <w:color w:val="333333"/>
          <w:sz w:val="20"/>
          <w:szCs w:val="20"/>
        </w:rPr>
        <w:t xml:space="preserve">Confident, precise, and understated. The firm does not oversell. It states what it does and why its approach matters. Every sentence earns its place.</w:t>
      </w:r>
    </w:p>
    <w:p>
      <w:pPr>
        <w:spacing w:after="180" w:line="300"/>
      </w:pPr>
      <w:r>
        <w:rPr>
          <w:rFonts w:ascii="Arial" w:cs="Arial" w:eastAsia="Arial" w:hAnsi="Arial"/>
          <w:b/>
          <w:bCs/>
          <w:color w:val="1A2332"/>
          <w:sz w:val="20"/>
          <w:szCs w:val="20"/>
        </w:rPr>
        <w:t xml:space="preserve">Differentiator: </w:t>
      </w:r>
      <w:r>
        <w:rPr>
          <w:rFonts w:ascii="Arial" w:cs="Arial" w:eastAsia="Arial" w:hAnsi="Arial"/>
          <w:color w:val="333333"/>
          <w:sz w:val="20"/>
          <w:szCs w:val="20"/>
        </w:rPr>
        <w:t xml:space="preserve">Maya Ziv holds both an LLB (College of Law and Business, Israel) and a BBA in Finance and Accounting (Baruch College, City University of New York). Before entering legal practice, she worked at Citi Innovation Lab and Vornado Realty Trust. This combination of legal training and financial discipline is woven into every service page as the firm's defining advantage.</w:t>
      </w:r>
    </w:p>
    <w:p>
      <w:pPr>
        <w:spacing w:after="180" w:line="300"/>
      </w:pPr>
      <w:r>
        <w:rPr>
          <w:rFonts w:ascii="Arial" w:cs="Arial" w:eastAsia="Arial" w:hAnsi="Arial"/>
          <w:b/>
          <w:bCs/>
          <w:color w:val="1A2332"/>
          <w:sz w:val="20"/>
          <w:szCs w:val="20"/>
        </w:rPr>
        <w:t xml:space="preserve">Client base: </w:t>
      </w:r>
      <w:r>
        <w:rPr>
          <w:rFonts w:ascii="Arial" w:cs="Arial" w:eastAsia="Arial" w:hAnsi="Arial"/>
          <w:color w:val="333333"/>
          <w:sz w:val="20"/>
          <w:szCs w:val="20"/>
        </w:rPr>
        <w:t xml:space="preserve">High-net-worth private individuals, families, and businesses. Many clients have assets, income, or family connections that cross national borders. The firm serves Israeli residents and international clients alike.</w:t>
      </w:r>
    </w:p>
    <w:p>
      <w:pPr>
        <w:spacing w:after="180" w:line="300"/>
      </w:pPr>
      <w:r>
        <w:rPr>
          <w:rFonts w:ascii="Arial" w:cs="Arial" w:eastAsia="Arial" w:hAnsi="Arial"/>
          <w:b/>
          <w:bCs/>
          <w:color w:val="1A2332"/>
          <w:sz w:val="20"/>
          <w:szCs w:val="20"/>
        </w:rPr>
        <w:t xml:space="preserve">Tone benchmark: </w:t>
      </w:r>
      <w:r>
        <w:rPr>
          <w:rFonts w:ascii="Arial" w:cs="Arial" w:eastAsia="Arial" w:hAnsi="Arial"/>
          <w:color w:val="333333"/>
          <w:sz w:val="20"/>
          <w:szCs w:val="20"/>
        </w:rPr>
        <w:t xml:space="preserve">Withers ("every decision, covered"), Payne Hicks Beach ("quiet excellence for private clients"). Not aggressive. Not salesy. The copy should read like the firm's senior partner explaining your matter to you in a well-appointed office.</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Service Pages Covered</w:t>
      </w:r>
    </w:p>
    <w:p>
      <w:pPr>
        <w:spacing w:after="180" w:line="300"/>
      </w:pPr>
      <w:r>
        <w:rPr>
          <w:rFonts w:ascii="Arial" w:cs="Arial" w:eastAsia="Arial" w:hAnsi="Arial"/>
          <w:color w:val="333333"/>
          <w:sz w:val="20"/>
          <w:szCs w:val="20"/>
        </w:rPr>
        <w:t xml:space="preserve">1. Real Estate (/en/real-estate)</w:t>
      </w:r>
    </w:p>
    <w:p>
      <w:pPr>
        <w:spacing w:after="180" w:line="300"/>
      </w:pPr>
      <w:r>
        <w:rPr>
          <w:rFonts w:ascii="Arial" w:cs="Arial" w:eastAsia="Arial" w:hAnsi="Arial"/>
          <w:color w:val="333333"/>
          <w:sz w:val="20"/>
          <w:szCs w:val="20"/>
        </w:rPr>
        <w:t xml:space="preserve">2. Tax and Compliance (/en/taxation)</w:t>
      </w:r>
    </w:p>
    <w:p>
      <w:pPr>
        <w:spacing w:after="180" w:line="300"/>
      </w:pPr>
      <w:r>
        <w:rPr>
          <w:rFonts w:ascii="Arial" w:cs="Arial" w:eastAsia="Arial" w:hAnsi="Arial"/>
          <w:color w:val="333333"/>
          <w:sz w:val="20"/>
          <w:szCs w:val="20"/>
        </w:rPr>
        <w:t xml:space="preserve">3. Family and Legacy (/en/estate-planning)</w:t>
      </w:r>
    </w:p>
    <w:p>
      <w:pPr>
        <w:spacing w:after="180" w:line="300"/>
      </w:pPr>
      <w:r>
        <w:rPr>
          <w:rFonts w:ascii="Arial" w:cs="Arial" w:eastAsia="Arial" w:hAnsi="Arial"/>
          <w:color w:val="333333"/>
          <w:sz w:val="20"/>
          <w:szCs w:val="20"/>
        </w:rPr>
        <w:t xml:space="preserve">4. Commercial and Civil (/en/commercial)</w:t>
      </w:r>
    </w:p>
    <w:p>
      <w:pPr>
        <w:spacing w:after="180" w:line="300"/>
      </w:pPr>
      <w:r>
        <w:rPr>
          <w:rFonts w:ascii="Arial" w:cs="Arial" w:eastAsia="Arial" w:hAnsi="Arial"/>
          <w:color w:val="333333"/>
          <w:sz w:val="20"/>
          <w:szCs w:val="20"/>
        </w:rPr>
        <w:t xml:space="preserve">5. Olim Hadashim and Returning Residents (/en/olim-residents)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EBF3FA" w:val="clear"/>
            <w:tcMar>
              <w:top w:type="dxa" w:w="160"/>
              <w:left w:type="dxa" w:w="240"/>
              <w:bottom w:type="dxa" w:w="160"/>
              <w:right w:type="dxa" w:w="240"/>
            </w:tcMar>
          </w:tcPr>
          <w:p>
            <w:pPr>
              <w:spacing w:line="276"/>
            </w:pPr>
            <w:r>
              <w:rPr>
                <w:rFonts w:ascii="Arial" w:cs="Arial" w:eastAsia="Arial" w:hAnsi="Arial"/>
                <w:i/>
                <w:iCs/>
                <w:color w:val="333333"/>
                <w:sz w:val="19"/>
                <w:szCs w:val="19"/>
              </w:rPr>
              <w:t xml:space="preserve">Implementation note: Each service page section below is labelled with its content key (e.g. realestate.hero.title) for developer reference. The developer should match these keys to the i18n translation file in the JavaScript bundle.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2332" w:val="clear"/>
            <w:tcMar>
              <w:top w:type="dxa" w:w="200"/>
              <w:left w:type="dxa" w:w="300"/>
              <w:bottom w:type="dxa" w:w="200"/>
              <w:right w:type="dxa" w:w="300"/>
            </w:tcMar>
          </w:tcPr>
          <w:p>
            <w:pPr>
              <w:jc w:val="left"/>
            </w:pPr>
            <w:r>
              <w:rPr>
                <w:rFonts w:ascii="Arial" w:cs="Arial" w:eastAsia="Arial" w:hAnsi="Arial"/>
                <w:b/>
                <w:bCs/>
                <w:color w:val="FFFFFF"/>
                <w:sz w:val="28"/>
                <w:szCs w:val="28"/>
              </w:rPr>
              <w:t xml:space="preserve">PAGE 1: REAL ESTATE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1A2332"/>
                <w:sz w:val="20"/>
                <w:szCs w:val="20"/>
              </w:rPr>
              <w:t xml:space="preserve">URL:</w:t>
            </w:r>
          </w:p>
        </w:tc>
        <w:tc>
          <w:tcPr>
            <w:tcW w:type="dxa" w:w="6960"/>
            <w:tcBorders>
              <w:top w:val="none" w:sz="0"/>
              <w:left w:val="none" w:sz="0"/>
              <w:bottom w:val="none" w:sz="0"/>
              <w:right w:val="none" w:sz="0"/>
            </w:tcBorders>
            <w:tcMar>
              <w:top w:type="dxa" w:w="60"/>
              <w:left w:type="dxa" w:w="120"/>
              <w:bottom w:type="dxa" w:w="60"/>
              <w:right w:type="dxa" w:w="0"/>
            </w:tcMar>
          </w:tcPr>
          <w:p>
            <w:pPr>
              <w:spacing w:line="276"/>
            </w:pPr>
            <w:r>
              <w:rPr>
                <w:rFonts w:ascii="Arial" w:cs="Arial" w:eastAsia="Arial" w:hAnsi="Arial"/>
                <w:color w:val="333333"/>
                <w:sz w:val="20"/>
                <w:szCs w:val="20"/>
              </w:rPr>
              <w:t xml:space="preserve">/en/real-estate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1A2332"/>
                <w:sz w:val="20"/>
                <w:szCs w:val="20"/>
              </w:rPr>
              <w:t xml:space="preserve">Nav Label:</w:t>
            </w:r>
          </w:p>
        </w:tc>
        <w:tc>
          <w:tcPr>
            <w:tcW w:type="dxa" w:w="6960"/>
            <w:tcBorders>
              <w:top w:val="none" w:sz="0"/>
              <w:left w:val="none" w:sz="0"/>
              <w:bottom w:val="none" w:sz="0"/>
              <w:right w:val="none" w:sz="0"/>
            </w:tcBorders>
            <w:tcMar>
              <w:top w:type="dxa" w:w="60"/>
              <w:left w:type="dxa" w:w="120"/>
              <w:bottom w:type="dxa" w:w="60"/>
              <w:right w:type="dxa" w:w="0"/>
            </w:tcMar>
          </w:tcPr>
          <w:p>
            <w:pPr>
              <w:spacing w:line="276"/>
            </w:pPr>
            <w:r>
              <w:rPr>
                <w:rFonts w:ascii="Arial" w:cs="Arial" w:eastAsia="Arial" w:hAnsi="Arial"/>
                <w:color w:val="333333"/>
                <w:sz w:val="20"/>
                <w:szCs w:val="20"/>
              </w:rPr>
              <w:t xml:space="preserve">Real Estate</w:t>
            </w:r>
          </w:p>
        </w:tc>
      </w:tr>
    </w:tbl>
    <w:p>
      <w:pPr>
        <w:spacing w:before="100"/>
      </w:pPr>
    </w:p>
    <w:p>
      <w:pPr>
        <w:pBdr>
          <w:bottom w:val="single" w:color="2E75B6" w:sz="2" w:space="4"/>
        </w:pBdr>
        <w:spacing w:before="300" w:after="150"/>
      </w:pPr>
      <w:r>
        <w:rPr>
          <w:rFonts w:ascii="Arial" w:cs="Arial" w:eastAsia="Arial" w:hAnsi="Arial"/>
          <w:b/>
          <w:bCs/>
          <w:color w:val="2E75B6"/>
          <w:sz w:val="24"/>
          <w:szCs w:val="24"/>
        </w:rPr>
        <w:t xml:space="preserve">Hero Section</w:t>
      </w:r>
    </w:p>
    <w:p>
      <w:pPr>
        <w:spacing w:after="180" w:line="300"/>
      </w:pPr>
      <w:r>
        <w:rPr>
          <w:rFonts w:ascii="Arial" w:cs="Arial" w:eastAsia="Arial" w:hAnsi="Arial"/>
          <w:b/>
          <w:bCs/>
          <w:color w:val="1A2332"/>
          <w:sz w:val="20"/>
          <w:szCs w:val="20"/>
        </w:rPr>
        <w:t xml:space="preserve">realestate.hero.title: </w:t>
      </w:r>
      <w:r>
        <w:rPr>
          <w:rFonts w:ascii="Arial" w:cs="Arial" w:eastAsia="Arial" w:hAnsi="Arial"/>
          <w:color w:val="333333"/>
          <w:sz w:val="20"/>
          <w:szCs w:val="20"/>
        </w:rPr>
        <w:t xml:space="preserve">Real Estate</w:t>
      </w:r>
    </w:p>
    <w:p>
      <w:pPr>
        <w:spacing w:after="180" w:line="300"/>
      </w:pPr>
      <w:r>
        <w:rPr>
          <w:rFonts w:ascii="Arial" w:cs="Arial" w:eastAsia="Arial" w:hAnsi="Arial"/>
          <w:b/>
          <w:bCs/>
          <w:color w:val="1A2332"/>
          <w:sz w:val="20"/>
          <w:szCs w:val="20"/>
        </w:rPr>
        <w:t xml:space="preserve">realestate.hero.subtitle: </w:t>
      </w:r>
      <w:r>
        <w:rPr>
          <w:rFonts w:ascii="Arial" w:cs="Arial" w:eastAsia="Arial" w:hAnsi="Arial"/>
          <w:color w:val="333333"/>
          <w:sz w:val="20"/>
          <w:szCs w:val="20"/>
        </w:rPr>
        <w:t xml:space="preserve">Advising private clients and investors on property transactions in Israel, with the financial discipline and legal precision that complex acquisitions require.</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Approach Section</w:t>
      </w:r>
    </w:p>
    <w:p>
      <w:pPr>
        <w:spacing w:after="180" w:line="300"/>
      </w:pPr>
      <w:r>
        <w:rPr>
          <w:rFonts w:ascii="Arial" w:cs="Arial" w:eastAsia="Arial" w:hAnsi="Arial"/>
          <w:b/>
          <w:bCs/>
          <w:color w:val="1A2332"/>
          <w:sz w:val="20"/>
          <w:szCs w:val="20"/>
        </w:rPr>
        <w:t xml:space="preserve">realestate.approach.title: </w:t>
      </w:r>
      <w:r>
        <w:rPr>
          <w:rFonts w:ascii="Arial" w:cs="Arial" w:eastAsia="Arial" w:hAnsi="Arial"/>
          <w:color w:val="333333"/>
          <w:sz w:val="20"/>
          <w:szCs w:val="20"/>
        </w:rPr>
        <w:t xml:space="preserve">Where Legal Execution Meets Financial Judgment</w:t>
      </w:r>
    </w:p>
    <w:p>
      <w:pPr>
        <w:spacing w:after="180" w:line="300"/>
      </w:pPr>
      <w:r>
        <w:rPr>
          <w:rFonts w:ascii="Arial" w:cs="Arial" w:eastAsia="Arial" w:hAnsi="Arial"/>
          <w:b/>
          <w:bCs/>
          <w:color w:val="1A2332"/>
          <w:sz w:val="20"/>
          <w:szCs w:val="20"/>
        </w:rPr>
        <w:t xml:space="preserve">realestate.approach.body: </w:t>
      </w:r>
      <w:r>
        <w:rPr>
          <w:rFonts w:ascii="Arial" w:cs="Arial" w:eastAsia="Arial" w:hAnsi="Arial"/>
          <w:color w:val="333333"/>
          <w:sz w:val="20"/>
          <w:szCs w:val="20"/>
        </w:rPr>
        <w:t xml:space="preserve">For many clients, acquiring property in Israel is both a personal milestone and a significant financial commitment. The legal framework governing Israeli real estate is technically demanding: title verification, planning compliance, tax classification, and staged payment structures each carry consequences if mishandled. The firm provides end-to-end legal counsel across the entire acquisition process, from preliminary due diligence through contract negotiation to final registration at the Israel Land Registry (Tabu). Every stage is managed with the analytical rigour that comes from a background in both law and finance.</w:t>
      </w:r>
    </w:p>
    <w:p>
      <w:pPr>
        <w:spacing w:after="180" w:line="300"/>
      </w:pPr>
      <w:r>
        <w:rPr>
          <w:rFonts w:ascii="Arial" w:cs="Arial" w:eastAsia="Arial" w:hAnsi="Arial"/>
          <w:b/>
          <w:bCs/>
          <w:color w:val="1A2332"/>
          <w:sz w:val="20"/>
          <w:szCs w:val="20"/>
        </w:rPr>
        <w:t xml:space="preserve">realestate.approach.body2: </w:t>
      </w:r>
      <w:r>
        <w:rPr>
          <w:rFonts w:ascii="Arial" w:cs="Arial" w:eastAsia="Arial" w:hAnsi="Arial"/>
          <w:color w:val="333333"/>
          <w:sz w:val="20"/>
          <w:szCs w:val="20"/>
        </w:rPr>
        <w:t xml:space="preserve">Maya Ziv's prior experience in financial and operational roles, including positions at Citi Innovation Lab and Vornado Realty Trust, informs the firm's approach to property transactions. The result is legal advice that accounts not only for regulatory compliance but also for the financial structure, timing, and long-term consequences of every decision.</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Risk Section</w:t>
      </w:r>
    </w:p>
    <w:p>
      <w:pPr>
        <w:spacing w:after="180" w:line="300"/>
      </w:pPr>
      <w:r>
        <w:rPr>
          <w:rFonts w:ascii="Arial" w:cs="Arial" w:eastAsia="Arial" w:hAnsi="Arial"/>
          <w:b/>
          <w:bCs/>
          <w:color w:val="1A2332"/>
          <w:sz w:val="20"/>
          <w:szCs w:val="20"/>
        </w:rPr>
        <w:t xml:space="preserve">realestate.risk.title: </w:t>
      </w:r>
      <w:r>
        <w:rPr>
          <w:rFonts w:ascii="Arial" w:cs="Arial" w:eastAsia="Arial" w:hAnsi="Arial"/>
          <w:color w:val="333333"/>
          <w:sz w:val="20"/>
          <w:szCs w:val="20"/>
        </w:rPr>
        <w:t xml:space="preserve">Identifying and Neutralising Risk Before You Commit</w:t>
      </w:r>
    </w:p>
    <w:p>
      <w:pPr>
        <w:spacing w:after="180" w:line="300"/>
      </w:pPr>
      <w:r>
        <w:rPr>
          <w:rFonts w:ascii="Arial" w:cs="Arial" w:eastAsia="Arial" w:hAnsi="Arial"/>
          <w:b/>
          <w:bCs/>
          <w:color w:val="1A2332"/>
          <w:sz w:val="20"/>
          <w:szCs w:val="20"/>
        </w:rPr>
        <w:t xml:space="preserve">realestate.risk.intro: </w:t>
      </w:r>
      <w:r>
        <w:rPr>
          <w:rFonts w:ascii="Arial" w:cs="Arial" w:eastAsia="Arial" w:hAnsi="Arial"/>
          <w:color w:val="333333"/>
          <w:sz w:val="20"/>
          <w:szCs w:val="20"/>
        </w:rPr>
        <w:t xml:space="preserve">Israeli real estate law places the burden of verification squarely on the buyer. The firm's due diligence process is designed to surface and address exposure before any binding commitment is made:</w:t>
      </w:r>
    </w:p>
    <w:p>
      <w:pPr>
        <w:spacing w:before="50"/>
      </w:pPr>
    </w:p>
    <w:p>
      <w:pPr>
        <w:spacing w:after="180" w:line="300"/>
      </w:pPr>
      <w:r>
        <w:rPr>
          <w:rFonts w:ascii="Arial" w:cs="Arial" w:eastAsia="Arial" w:hAnsi="Arial"/>
          <w:b/>
          <w:bCs/>
          <w:color w:val="1A2332"/>
          <w:sz w:val="20"/>
          <w:szCs w:val="20"/>
        </w:rPr>
        <w:t xml:space="preserve">realestate.risk.liabilities.title: </w:t>
      </w:r>
      <w:r>
        <w:rPr>
          <w:rFonts w:ascii="Arial" w:cs="Arial" w:eastAsia="Arial" w:hAnsi="Arial"/>
          <w:color w:val="333333"/>
          <w:sz w:val="20"/>
          <w:szCs w:val="20"/>
        </w:rPr>
        <w:t xml:space="preserve">Title and Encumbrances</w:t>
      </w:r>
    </w:p>
    <w:p>
      <w:pPr>
        <w:spacing w:after="180" w:line="300"/>
      </w:pPr>
      <w:r>
        <w:rPr>
          <w:rFonts w:ascii="Arial" w:cs="Arial" w:eastAsia="Arial" w:hAnsi="Arial"/>
          <w:b/>
          <w:bCs/>
          <w:color w:val="1A2332"/>
          <w:sz w:val="20"/>
          <w:szCs w:val="20"/>
        </w:rPr>
        <w:t xml:space="preserve">realestate.risk.liabilities.desc: </w:t>
      </w:r>
      <w:r>
        <w:rPr>
          <w:rFonts w:ascii="Arial" w:cs="Arial" w:eastAsia="Arial" w:hAnsi="Arial"/>
          <w:color w:val="333333"/>
          <w:sz w:val="20"/>
          <w:szCs w:val="20"/>
        </w:rPr>
        <w:t xml:space="preserve">Confirming registered ownership and detecting any liens, mortgages, caveats, or third-party rights that could affect the transaction or limit future use.</w:t>
      </w:r>
    </w:p>
    <w:p>
      <w:pPr>
        <w:spacing w:before="50"/>
      </w:pPr>
    </w:p>
    <w:p>
      <w:pPr>
        <w:spacing w:after="180" w:line="300"/>
      </w:pPr>
      <w:r>
        <w:rPr>
          <w:rFonts w:ascii="Arial" w:cs="Arial" w:eastAsia="Arial" w:hAnsi="Arial"/>
          <w:b/>
          <w:bCs/>
          <w:color w:val="1A2332"/>
          <w:sz w:val="20"/>
          <w:szCs w:val="20"/>
        </w:rPr>
        <w:t xml:space="preserve">realestate.risk.planning.title: </w:t>
      </w:r>
      <w:r>
        <w:rPr>
          <w:rFonts w:ascii="Arial" w:cs="Arial" w:eastAsia="Arial" w:hAnsi="Arial"/>
          <w:color w:val="333333"/>
          <w:sz w:val="20"/>
          <w:szCs w:val="20"/>
        </w:rPr>
        <w:t xml:space="preserve">Planning and Zoning Compliance</w:t>
      </w:r>
    </w:p>
    <w:p>
      <w:pPr>
        <w:spacing w:after="180" w:line="300"/>
      </w:pPr>
      <w:r>
        <w:rPr>
          <w:rFonts w:ascii="Arial" w:cs="Arial" w:eastAsia="Arial" w:hAnsi="Arial"/>
          <w:b/>
          <w:bCs/>
          <w:color w:val="1A2332"/>
          <w:sz w:val="20"/>
          <w:szCs w:val="20"/>
        </w:rPr>
        <w:t xml:space="preserve">realestate.risk.planning.desc: </w:t>
      </w:r>
      <w:r>
        <w:rPr>
          <w:rFonts w:ascii="Arial" w:cs="Arial" w:eastAsia="Arial" w:hAnsi="Arial"/>
          <w:color w:val="333333"/>
          <w:sz w:val="20"/>
          <w:szCs w:val="20"/>
        </w:rPr>
        <w:t xml:space="preserve">Verifying that the property was built in accordance with approved permits and that no open enforcement proceedings, deviation orders, or zoning restrictions exist that could trigger fines or devaluation.</w:t>
      </w:r>
    </w:p>
    <w:p>
      <w:pPr>
        <w:spacing w:before="50"/>
      </w:pPr>
    </w:p>
    <w:p>
      <w:pPr>
        <w:spacing w:after="180" w:line="300"/>
      </w:pPr>
      <w:r>
        <w:rPr>
          <w:rFonts w:ascii="Arial" w:cs="Arial" w:eastAsia="Arial" w:hAnsi="Arial"/>
          <w:b/>
          <w:bCs/>
          <w:color w:val="1A2332"/>
          <w:sz w:val="20"/>
          <w:szCs w:val="20"/>
        </w:rPr>
        <w:t xml:space="preserve">realestate.risk.tax.title: </w:t>
      </w:r>
      <w:r>
        <w:rPr>
          <w:rFonts w:ascii="Arial" w:cs="Arial" w:eastAsia="Arial" w:hAnsi="Arial"/>
          <w:color w:val="333333"/>
          <w:sz w:val="20"/>
          <w:szCs w:val="20"/>
        </w:rPr>
        <w:t xml:space="preserve">Tax Exposure</w:t>
      </w:r>
    </w:p>
    <w:p>
      <w:pPr>
        <w:spacing w:after="180" w:line="300"/>
      </w:pPr>
      <w:r>
        <w:rPr>
          <w:rFonts w:ascii="Arial" w:cs="Arial" w:eastAsia="Arial" w:hAnsi="Arial"/>
          <w:b/>
          <w:bCs/>
          <w:color w:val="1A2332"/>
          <w:sz w:val="20"/>
          <w:szCs w:val="20"/>
        </w:rPr>
        <w:t xml:space="preserve">realestate.risk.tax.desc: </w:t>
      </w:r>
      <w:r>
        <w:rPr>
          <w:rFonts w:ascii="Arial" w:cs="Arial" w:eastAsia="Arial" w:hAnsi="Arial"/>
          <w:color w:val="333333"/>
          <w:sz w:val="20"/>
          <w:szCs w:val="20"/>
        </w:rPr>
        <w:t xml:space="preserve">Analysing the client's residency status, acquisition timing, and transaction structure to identify the applicable Purchase Tax bracket and any Capital Gains exposure, and to ensure that no avoidable liability is triggered.</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Tax and Regulatory Section</w:t>
      </w:r>
    </w:p>
    <w:p>
      <w:pPr>
        <w:spacing w:after="180" w:line="300"/>
      </w:pPr>
      <w:r>
        <w:rPr>
          <w:rFonts w:ascii="Arial" w:cs="Arial" w:eastAsia="Arial" w:hAnsi="Arial"/>
          <w:b/>
          <w:bCs/>
          <w:color w:val="1A2332"/>
          <w:sz w:val="20"/>
          <w:szCs w:val="20"/>
        </w:rPr>
        <w:t xml:space="preserve">realestate.tax.title: </w:t>
      </w:r>
      <w:r>
        <w:rPr>
          <w:rFonts w:ascii="Arial" w:cs="Arial" w:eastAsia="Arial" w:hAnsi="Arial"/>
          <w:color w:val="333333"/>
          <w:sz w:val="20"/>
          <w:szCs w:val="20"/>
        </w:rPr>
        <w:t xml:space="preserve">Tax and Regulatory Considerations</w:t>
      </w:r>
    </w:p>
    <w:p>
      <w:pPr>
        <w:spacing w:after="180" w:line="300"/>
      </w:pPr>
      <w:r>
        <w:rPr>
          <w:rFonts w:ascii="Arial" w:cs="Arial" w:eastAsia="Arial" w:hAnsi="Arial"/>
          <w:b/>
          <w:bCs/>
          <w:color w:val="1A2332"/>
          <w:sz w:val="20"/>
          <w:szCs w:val="20"/>
        </w:rPr>
        <w:t xml:space="preserve">realestate.tax.body: </w:t>
      </w:r>
      <w:r>
        <w:rPr>
          <w:rFonts w:ascii="Arial" w:cs="Arial" w:eastAsia="Arial" w:hAnsi="Arial"/>
          <w:color w:val="333333"/>
          <w:sz w:val="20"/>
          <w:szCs w:val="20"/>
        </w:rPr>
        <w:t xml:space="preserve">Purchase Tax (Mas Rechisha) in Israel is calculated according to a tiered bracket system that varies based on the buyer's classification: Israeli resident, foreign resident, new immigrant (Oleh), or returning resident (Toshav Hozer). The applicable rate can differ substantially between categories, and misclassification, whether by omission or by poor timing, can result in significant overpayment.</w:t>
      </w:r>
    </w:p>
    <w:p>
      <w:pPr>
        <w:spacing w:after="180" w:line="300"/>
      </w:pPr>
      <w:r>
        <w:rPr>
          <w:rFonts w:ascii="Arial" w:cs="Arial" w:eastAsia="Arial" w:hAnsi="Arial"/>
          <w:b/>
          <w:bCs/>
          <w:color w:val="1A2332"/>
          <w:sz w:val="20"/>
          <w:szCs w:val="20"/>
        </w:rPr>
        <w:t xml:space="preserve">realestate.tax.body2: </w:t>
      </w:r>
      <w:r>
        <w:rPr>
          <w:rFonts w:ascii="Arial" w:cs="Arial" w:eastAsia="Arial" w:hAnsi="Arial"/>
          <w:color w:val="333333"/>
          <w:sz w:val="20"/>
          <w:szCs w:val="20"/>
        </w:rPr>
        <w:t xml:space="preserve">The firm assesses each client's tax position at the outset of every transaction. Filings to the Israel Tax Authority are prepared and submitted with careful attention to deadlines, documentation, and eligibility for any lawful relief. Clients who qualify for reduced rates under immigration or residency provisions receive structured guidance on the documentation and timing required to secure those benefits.</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Due Diligence Section</w:t>
      </w:r>
    </w:p>
    <w:p>
      <w:pPr>
        <w:spacing w:after="180" w:line="300"/>
      </w:pPr>
      <w:r>
        <w:rPr>
          <w:rFonts w:ascii="Arial" w:cs="Arial" w:eastAsia="Arial" w:hAnsi="Arial"/>
          <w:b/>
          <w:bCs/>
          <w:color w:val="1A2332"/>
          <w:sz w:val="20"/>
          <w:szCs w:val="20"/>
        </w:rPr>
        <w:t xml:space="preserve">realestate.diligence.title: </w:t>
      </w:r>
      <w:r>
        <w:rPr>
          <w:rFonts w:ascii="Arial" w:cs="Arial" w:eastAsia="Arial" w:hAnsi="Arial"/>
          <w:color w:val="333333"/>
          <w:sz w:val="20"/>
          <w:szCs w:val="20"/>
        </w:rPr>
        <w:t xml:space="preserve">Comprehensive Legal Due Diligence</w:t>
      </w:r>
    </w:p>
    <w:p>
      <w:pPr>
        <w:spacing w:after="180" w:line="300"/>
      </w:pPr>
      <w:r>
        <w:rPr>
          <w:rFonts w:ascii="Arial" w:cs="Arial" w:eastAsia="Arial" w:hAnsi="Arial"/>
          <w:b/>
          <w:bCs/>
          <w:color w:val="1A2332"/>
          <w:sz w:val="20"/>
          <w:szCs w:val="20"/>
        </w:rPr>
        <w:t xml:space="preserve">realestate.diligence.body: </w:t>
      </w:r>
      <w:r>
        <w:rPr>
          <w:rFonts w:ascii="Arial" w:cs="Arial" w:eastAsia="Arial" w:hAnsi="Arial"/>
          <w:color w:val="333333"/>
          <w:sz w:val="20"/>
          <w:szCs w:val="20"/>
        </w:rPr>
        <w:t xml:space="preserve">A secure acquisition begins with verification. Before any contractual commitment, the firm conducts a thorough legal audit of the property, covering registered title, encumbrances, planning history, building permits, and any pending administrative or legal proceedings that could affect the asset.</w:t>
      </w:r>
    </w:p>
    <w:p>
      <w:pPr>
        <w:spacing w:after="180" w:line="300"/>
      </w:pPr>
      <w:r>
        <w:rPr>
          <w:rFonts w:ascii="Arial" w:cs="Arial" w:eastAsia="Arial" w:hAnsi="Arial"/>
          <w:b/>
          <w:bCs/>
          <w:color w:val="1A2332"/>
          <w:sz w:val="20"/>
          <w:szCs w:val="20"/>
        </w:rPr>
        <w:t xml:space="preserve">realestate.diligence.body2: </w:t>
      </w:r>
      <w:r>
        <w:rPr>
          <w:rFonts w:ascii="Arial" w:cs="Arial" w:eastAsia="Arial" w:hAnsi="Arial"/>
          <w:color w:val="333333"/>
          <w:sz w:val="20"/>
          <w:szCs w:val="20"/>
        </w:rPr>
        <w:t xml:space="preserve">This structured analysis ensures that the property you acquire corresponds to the legal and physical reality you were shown. Clients make decisions based on documented facts, not assumptions.</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Remote Representation Section</w:t>
      </w:r>
    </w:p>
    <w:p>
      <w:pPr>
        <w:spacing w:after="180" w:line="300"/>
      </w:pPr>
      <w:r>
        <w:rPr>
          <w:rFonts w:ascii="Arial" w:cs="Arial" w:eastAsia="Arial" w:hAnsi="Arial"/>
          <w:b/>
          <w:bCs/>
          <w:color w:val="1A2332"/>
          <w:sz w:val="20"/>
          <w:szCs w:val="20"/>
        </w:rPr>
        <w:t xml:space="preserve">realestate.remote.title: </w:t>
      </w:r>
      <w:r>
        <w:rPr>
          <w:rFonts w:ascii="Arial" w:cs="Arial" w:eastAsia="Arial" w:hAnsi="Arial"/>
          <w:color w:val="333333"/>
          <w:sz w:val="20"/>
          <w:szCs w:val="20"/>
        </w:rPr>
        <w:t xml:space="preserve">Representation for Clients Outside Israel</w:t>
      </w:r>
    </w:p>
    <w:p>
      <w:pPr>
        <w:spacing w:after="180" w:line="300"/>
      </w:pPr>
      <w:r>
        <w:rPr>
          <w:rFonts w:ascii="Arial" w:cs="Arial" w:eastAsia="Arial" w:hAnsi="Arial"/>
          <w:b/>
          <w:bCs/>
          <w:color w:val="1A2332"/>
          <w:sz w:val="20"/>
          <w:szCs w:val="20"/>
        </w:rPr>
        <w:t xml:space="preserve">realestate.remote.body: </w:t>
      </w:r>
      <w:r>
        <w:rPr>
          <w:rFonts w:ascii="Arial" w:cs="Arial" w:eastAsia="Arial" w:hAnsi="Arial"/>
          <w:color w:val="333333"/>
          <w:sz w:val="20"/>
          <w:szCs w:val="20"/>
        </w:rPr>
        <w:t xml:space="preserve">Clients who reside abroad can complete the entire acquisition remotely. The firm acts under an irrevocable power of attorney, signed at an Israeli consulate or before a notary public with apostille certification. This instrument enables full legal representation from negotiation through to final registration, without requiring the client's physical presence in Israel at any stage.</w:t>
      </w:r>
    </w:p>
    <w:p>
      <w:pPr>
        <w:spacing w:after="180" w:line="300"/>
      </w:pPr>
      <w:r>
        <w:rPr>
          <w:rFonts w:ascii="Arial" w:cs="Arial" w:eastAsia="Arial" w:hAnsi="Arial"/>
          <w:b/>
          <w:bCs/>
          <w:color w:val="1A2332"/>
          <w:sz w:val="20"/>
          <w:szCs w:val="20"/>
        </w:rPr>
        <w:t xml:space="preserve">realestate.remote.body2: </w:t>
      </w:r>
      <w:r>
        <w:rPr>
          <w:rFonts w:ascii="Arial" w:cs="Arial" w:eastAsia="Arial" w:hAnsi="Arial"/>
          <w:color w:val="333333"/>
          <w:sz w:val="20"/>
          <w:szCs w:val="20"/>
        </w:rPr>
        <w:t xml:space="preserve">The firm manages every step of the process on the client's behalf: contract negotiation, due diligence, tax filings, coordination with the seller's counsel, and registration at the Land Registry. Communication is maintained throughout in English and Hebrew.</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FAQ Section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A2332" w:val="clear"/>
            <w:tcMar>
              <w:top w:type="dxa" w:w="120"/>
              <w:left w:type="dxa" w:w="200"/>
              <w:bottom w:type="dxa" w:w="120"/>
              <w:right w:type="dxa" w:w="200"/>
            </w:tcMar>
          </w:tcPr>
          <w:p>
            <w:r>
              <w:rPr>
                <w:rFonts w:ascii="Arial" w:cs="Arial" w:eastAsia="Arial" w:hAnsi="Arial"/>
                <w:b/>
                <w:bCs/>
                <w:color w:val="FFFFFF"/>
                <w:sz w:val="20"/>
                <w:szCs w:val="20"/>
              </w:rPr>
              <w:t xml:space="preserve">When should I start tax planning?</w:t>
            </w:r>
          </w:p>
        </w:tc>
      </w:tr>
      <w:tr>
        <w:tc>
          <w:tcPr>
            <w:tcW w:type="dxa" w:w="9360"/>
            <w:tcBorders>
              <w:top w:val="single" w:color="D0D0D0" w:sz="1"/>
              <w:left w:val="single" w:color="D0D0D0" w:sz="1"/>
              <w:bottom w:val="single" w:color="D0D0D0" w:sz="1"/>
              <w:right w:val="single" w:color="D0D0D0" w:sz="1"/>
            </w:tcBorders>
            <w:tcMar>
              <w:top w:type="dxa" w:w="120"/>
              <w:left w:type="dxa" w:w="200"/>
              <w:bottom w:type="dxa" w:w="120"/>
              <w:right w:type="dxa" w:w="200"/>
            </w:tcMar>
          </w:tcPr>
          <w:p>
            <w:pPr>
              <w:spacing w:line="300"/>
            </w:pPr>
            <w:r>
              <w:rPr>
                <w:rFonts w:ascii="Arial" w:cs="Arial" w:eastAsia="Arial" w:hAnsi="Arial"/>
                <w:color w:val="333333"/>
                <w:sz w:val="20"/>
                <w:szCs w:val="20"/>
              </w:rPr>
              <w:t xml:space="preserve">Tax planning on an Israeli property transaction must begin before any document is signed, ideally at the negotiation stage. The applicable Purchase Tax rate depends on your residency status, whether this is your first property in Israel, and the timing of the transaction relative to any Aliyah or relocation. Getting this wrong after the fact is expensive and in some cases irreversible. We assess your tax position at the outset, as part of the transaction structure.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A2332" w:val="clear"/>
            <w:tcMar>
              <w:top w:type="dxa" w:w="120"/>
              <w:left w:type="dxa" w:w="200"/>
              <w:bottom w:type="dxa" w:w="120"/>
              <w:right w:type="dxa" w:w="200"/>
            </w:tcMar>
          </w:tcPr>
          <w:p>
            <w:r>
              <w:rPr>
                <w:rFonts w:ascii="Arial" w:cs="Arial" w:eastAsia="Arial" w:hAnsi="Arial"/>
                <w:b/>
                <w:bCs/>
                <w:color w:val="FFFFFF"/>
                <w:sz w:val="20"/>
                <w:szCs w:val="20"/>
              </w:rPr>
              <w:t xml:space="preserve">How are buyer funds protected during the transaction?</w:t>
            </w:r>
          </w:p>
        </w:tc>
      </w:tr>
      <w:tr>
        <w:tc>
          <w:tcPr>
            <w:tcW w:type="dxa" w:w="9360"/>
            <w:tcBorders>
              <w:top w:val="single" w:color="D0D0D0" w:sz="1"/>
              <w:left w:val="single" w:color="D0D0D0" w:sz="1"/>
              <w:bottom w:val="single" w:color="D0D0D0" w:sz="1"/>
              <w:right w:val="single" w:color="D0D0D0" w:sz="1"/>
            </w:tcBorders>
            <w:tcMar>
              <w:top w:type="dxa" w:w="120"/>
              <w:left w:type="dxa" w:w="200"/>
              <w:bottom w:type="dxa" w:w="120"/>
              <w:right w:type="dxa" w:w="200"/>
            </w:tcMar>
          </w:tcPr>
          <w:p>
            <w:pPr>
              <w:spacing w:line="300"/>
            </w:pPr>
            <w:r>
              <w:rPr>
                <w:rFonts w:ascii="Arial" w:cs="Arial" w:eastAsia="Arial" w:hAnsi="Arial"/>
                <w:color w:val="333333"/>
                <w:sz w:val="20"/>
                <w:szCs w:val="20"/>
              </w:rPr>
              <w:t xml:space="preserve">Buyer funds in Israeli property transactions are released to the seller in stages, tied to specific legal milestones rather than as a lump sum. At each stage, a corresponding security interest is registered in the buyer's favour at the Land Registry, known as a Hearat Azhara (warning note). This mechanism ensures that if the transaction does not complete, the buyer's financial exposure is limited. The payment schedule and its linkage to milestones is one of the most important elements of the purchase contract and is negotiated before signing.</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A2332" w:val="clear"/>
            <w:tcMar>
              <w:top w:type="dxa" w:w="120"/>
              <w:left w:type="dxa" w:w="200"/>
              <w:bottom w:type="dxa" w:w="120"/>
              <w:right w:type="dxa" w:w="200"/>
            </w:tcMar>
          </w:tcPr>
          <w:p>
            <w:r>
              <w:rPr>
                <w:rFonts w:ascii="Arial" w:cs="Arial" w:eastAsia="Arial" w:hAnsi="Arial"/>
                <w:b/>
                <w:bCs/>
                <w:color w:val="FFFFFF"/>
                <w:sz w:val="20"/>
                <w:szCs w:val="20"/>
              </w:rPr>
              <w:t xml:space="preserve">Can I purchase property before making Aliyah?</w:t>
            </w:r>
          </w:p>
        </w:tc>
      </w:tr>
      <w:tr>
        <w:tc>
          <w:tcPr>
            <w:tcW w:type="dxa" w:w="9360"/>
            <w:tcBorders>
              <w:top w:val="single" w:color="D0D0D0" w:sz="1"/>
              <w:left w:val="single" w:color="D0D0D0" w:sz="1"/>
              <w:bottom w:val="single" w:color="D0D0D0" w:sz="1"/>
              <w:right w:val="single" w:color="D0D0D0" w:sz="1"/>
            </w:tcBorders>
            <w:tcMar>
              <w:top w:type="dxa" w:w="120"/>
              <w:left w:type="dxa" w:w="200"/>
              <w:bottom w:type="dxa" w:w="120"/>
              <w:right w:type="dxa" w:w="200"/>
            </w:tcMar>
          </w:tcPr>
          <w:p>
            <w:pPr>
              <w:spacing w:line="300"/>
            </w:pPr>
            <w:r>
              <w:rPr>
                <w:rFonts w:ascii="Arial" w:cs="Arial" w:eastAsia="Arial" w:hAnsi="Arial"/>
                <w:color w:val="333333"/>
                <w:sz w:val="20"/>
                <w:szCs w:val="20"/>
              </w:rPr>
              <w:t xml:space="preserve">Yes. Non-residents can purchase property in Israel. The more important question is the timing of the purchase relative to your Aliyah date, as this affects your Purchase Tax eligibility. In some cases, purchasing before making Aliyah preserves certain benefits. In others, waiting is the better structure. This analysis is specific to each client's situation and should be done before any commitment is made.</w:t>
            </w:r>
          </w:p>
        </w:tc>
      </w:tr>
    </w:tbl>
    <w:p>
      <w:pPr>
        <w:spacing w:before="100"/>
      </w:pPr>
    </w:p>
    <w:p>
      <w:pPr>
        <w:pBdr>
          <w:bottom w:val="single" w:color="2E75B6" w:sz="2" w:space="4"/>
        </w:pBdr>
        <w:spacing w:before="300" w:after="150"/>
      </w:pPr>
      <w:r>
        <w:rPr>
          <w:rFonts w:ascii="Arial" w:cs="Arial" w:eastAsia="Arial" w:hAnsi="Arial"/>
          <w:b/>
          <w:bCs/>
          <w:color w:val="2E75B6"/>
          <w:sz w:val="24"/>
          <w:szCs w:val="24"/>
        </w:rPr>
        <w:t xml:space="preserve">CTA Section</w:t>
      </w:r>
    </w:p>
    <w:p>
      <w:pPr>
        <w:spacing w:after="180" w:line="300"/>
      </w:pPr>
      <w:r>
        <w:rPr>
          <w:rFonts w:ascii="Arial" w:cs="Arial" w:eastAsia="Arial" w:hAnsi="Arial"/>
          <w:b/>
          <w:bCs/>
          <w:color w:val="1A2332"/>
          <w:sz w:val="20"/>
          <w:szCs w:val="20"/>
        </w:rPr>
        <w:t xml:space="preserve">realestate.cta.title: </w:t>
      </w:r>
      <w:r>
        <w:rPr>
          <w:rFonts w:ascii="Arial" w:cs="Arial" w:eastAsia="Arial" w:hAnsi="Arial"/>
          <w:color w:val="333333"/>
          <w:sz w:val="20"/>
          <w:szCs w:val="20"/>
        </w:rPr>
        <w:t xml:space="preserve">Invest with Precision</w:t>
      </w:r>
    </w:p>
    <w:p>
      <w:pPr>
        <w:spacing w:after="180" w:line="300"/>
      </w:pPr>
      <w:r>
        <w:rPr>
          <w:rFonts w:ascii="Arial" w:cs="Arial" w:eastAsia="Arial" w:hAnsi="Arial"/>
          <w:b/>
          <w:bCs/>
          <w:color w:val="1A2332"/>
          <w:sz w:val="20"/>
          <w:szCs w:val="20"/>
        </w:rPr>
        <w:t xml:space="preserve">realestate.cta.body: </w:t>
      </w:r>
      <w:r>
        <w:rPr>
          <w:rFonts w:ascii="Arial" w:cs="Arial" w:eastAsia="Arial" w:hAnsi="Arial"/>
          <w:color w:val="333333"/>
          <w:sz w:val="20"/>
          <w:szCs w:val="20"/>
        </w:rPr>
        <w:t xml:space="preserve">Begin your property acquisition with a clear legal and financial strategy. Inquiries welcome in English and Hebrew.</w:t>
      </w:r>
    </w:p>
    <w:p>
      <w:pPr>
        <w:spacing w:after="180" w:line="300"/>
      </w:pPr>
      <w:r>
        <w:rPr>
          <w:rFonts w:ascii="Arial" w:cs="Arial" w:eastAsia="Arial" w:hAnsi="Arial"/>
          <w:b/>
          <w:bCs/>
          <w:color w:val="1A2332"/>
          <w:sz w:val="20"/>
          <w:szCs w:val="20"/>
        </w:rPr>
        <w:t xml:space="preserve">realestate.cta.button: </w:t>
      </w:r>
      <w:r>
        <w:rPr>
          <w:rFonts w:ascii="Arial" w:cs="Arial" w:eastAsia="Arial" w:hAnsi="Arial"/>
          <w:color w:val="333333"/>
          <w:sz w:val="20"/>
          <w:szCs w:val="20"/>
        </w:rPr>
        <w:t xml:space="preserve">Schedule a Consultation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2332" w:val="clear"/>
            <w:tcMar>
              <w:top w:type="dxa" w:w="200"/>
              <w:left w:type="dxa" w:w="300"/>
              <w:bottom w:type="dxa" w:w="200"/>
              <w:right w:type="dxa" w:w="300"/>
            </w:tcMar>
          </w:tcPr>
          <w:p>
            <w:pPr>
              <w:jc w:val="left"/>
            </w:pPr>
            <w:r>
              <w:rPr>
                <w:rFonts w:ascii="Arial" w:cs="Arial" w:eastAsia="Arial" w:hAnsi="Arial"/>
                <w:b/>
                <w:bCs/>
                <w:color w:val="FFFFFF"/>
                <w:sz w:val="28"/>
                <w:szCs w:val="28"/>
              </w:rPr>
              <w:t xml:space="preserve">PAGE 2: TAX AND COMPLIANCE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1A2332"/>
                <w:sz w:val="20"/>
                <w:szCs w:val="20"/>
              </w:rPr>
              <w:t xml:space="preserve">URL:</w:t>
            </w:r>
          </w:p>
        </w:tc>
        <w:tc>
          <w:tcPr>
            <w:tcW w:type="dxa" w:w="6960"/>
            <w:tcBorders>
              <w:top w:val="none" w:sz="0"/>
              <w:left w:val="none" w:sz="0"/>
              <w:bottom w:val="none" w:sz="0"/>
              <w:right w:val="none" w:sz="0"/>
            </w:tcBorders>
            <w:tcMar>
              <w:top w:type="dxa" w:w="60"/>
              <w:left w:type="dxa" w:w="120"/>
              <w:bottom w:type="dxa" w:w="60"/>
              <w:right w:type="dxa" w:w="0"/>
            </w:tcMar>
          </w:tcPr>
          <w:p>
            <w:pPr>
              <w:spacing w:line="276"/>
            </w:pPr>
            <w:r>
              <w:rPr>
                <w:rFonts w:ascii="Arial" w:cs="Arial" w:eastAsia="Arial" w:hAnsi="Arial"/>
                <w:color w:val="333333"/>
                <w:sz w:val="20"/>
                <w:szCs w:val="20"/>
              </w:rPr>
              <w:t xml:space="preserve">/en/taxation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1A2332"/>
                <w:sz w:val="20"/>
                <w:szCs w:val="20"/>
              </w:rPr>
              <w:t xml:space="preserve">Nav Label:</w:t>
            </w:r>
          </w:p>
        </w:tc>
        <w:tc>
          <w:tcPr>
            <w:tcW w:type="dxa" w:w="6960"/>
            <w:tcBorders>
              <w:top w:val="none" w:sz="0"/>
              <w:left w:val="none" w:sz="0"/>
              <w:bottom w:val="none" w:sz="0"/>
              <w:right w:val="none" w:sz="0"/>
            </w:tcBorders>
            <w:tcMar>
              <w:top w:type="dxa" w:w="60"/>
              <w:left w:type="dxa" w:w="120"/>
              <w:bottom w:type="dxa" w:w="60"/>
              <w:right w:type="dxa" w:w="0"/>
            </w:tcMar>
          </w:tcPr>
          <w:p>
            <w:pPr>
              <w:spacing w:line="276"/>
            </w:pPr>
            <w:r>
              <w:rPr>
                <w:rFonts w:ascii="Arial" w:cs="Arial" w:eastAsia="Arial" w:hAnsi="Arial"/>
                <w:color w:val="333333"/>
                <w:sz w:val="20"/>
                <w:szCs w:val="20"/>
              </w:rPr>
              <w:t xml:space="preserve">Tax and Compliance</w:t>
            </w:r>
          </w:p>
        </w:tc>
      </w:tr>
    </w:tbl>
    <w:p>
      <w:pPr>
        <w:spacing w:before="100"/>
      </w:pPr>
    </w:p>
    <w:p>
      <w:pPr>
        <w:pBdr>
          <w:bottom w:val="single" w:color="2E75B6" w:sz="2" w:space="4"/>
        </w:pBdr>
        <w:spacing w:before="300" w:after="150"/>
      </w:pPr>
      <w:r>
        <w:rPr>
          <w:rFonts w:ascii="Arial" w:cs="Arial" w:eastAsia="Arial" w:hAnsi="Arial"/>
          <w:b/>
          <w:bCs/>
          <w:color w:val="2E75B6"/>
          <w:sz w:val="24"/>
          <w:szCs w:val="24"/>
        </w:rPr>
        <w:t xml:space="preserve">Hero Section</w:t>
      </w:r>
    </w:p>
    <w:p>
      <w:pPr>
        <w:spacing w:after="180" w:line="300"/>
      </w:pPr>
      <w:r>
        <w:rPr>
          <w:rFonts w:ascii="Arial" w:cs="Arial" w:eastAsia="Arial" w:hAnsi="Arial"/>
          <w:b/>
          <w:bCs/>
          <w:color w:val="1A2332"/>
          <w:sz w:val="20"/>
          <w:szCs w:val="20"/>
        </w:rPr>
        <w:t xml:space="preserve">tax.hero.title: </w:t>
      </w:r>
      <w:r>
        <w:rPr>
          <w:rFonts w:ascii="Arial" w:cs="Arial" w:eastAsia="Arial" w:hAnsi="Arial"/>
          <w:color w:val="333333"/>
          <w:sz w:val="20"/>
          <w:szCs w:val="20"/>
        </w:rPr>
        <w:t xml:space="preserve">Tax and Compliance</w:t>
      </w:r>
    </w:p>
    <w:p>
      <w:pPr>
        <w:spacing w:after="180" w:line="300"/>
      </w:pPr>
      <w:r>
        <w:rPr>
          <w:rFonts w:ascii="Arial" w:cs="Arial" w:eastAsia="Arial" w:hAnsi="Arial"/>
          <w:b/>
          <w:bCs/>
          <w:color w:val="1A2332"/>
          <w:sz w:val="20"/>
          <w:szCs w:val="20"/>
        </w:rPr>
        <w:t xml:space="preserve">tax.hero.subtitle: </w:t>
      </w:r>
      <w:r>
        <w:rPr>
          <w:rFonts w:ascii="Arial" w:cs="Arial" w:eastAsia="Arial" w:hAnsi="Arial"/>
          <w:color w:val="333333"/>
          <w:sz w:val="20"/>
          <w:szCs w:val="20"/>
        </w:rPr>
        <w:t xml:space="preserve">Structuring cross-border tax positions and regulatory compliance for private clients and businesses with connections to Israel.</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Context Section</w:t>
      </w:r>
    </w:p>
    <w:p>
      <w:pPr>
        <w:spacing w:after="180" w:line="300"/>
      </w:pPr>
      <w:r>
        <w:rPr>
          <w:rFonts w:ascii="Arial" w:cs="Arial" w:eastAsia="Arial" w:hAnsi="Arial"/>
          <w:b/>
          <w:bCs/>
          <w:color w:val="1A2332"/>
          <w:sz w:val="20"/>
          <w:szCs w:val="20"/>
        </w:rPr>
        <w:t xml:space="preserve">tax.context.title: </w:t>
      </w:r>
      <w:r>
        <w:rPr>
          <w:rFonts w:ascii="Arial" w:cs="Arial" w:eastAsia="Arial" w:hAnsi="Arial"/>
          <w:color w:val="333333"/>
          <w:sz w:val="20"/>
          <w:szCs w:val="20"/>
        </w:rPr>
        <w:t xml:space="preserve">Financial Discipline Applied to Legal Strategy</w:t>
      </w:r>
    </w:p>
    <w:p>
      <w:pPr>
        <w:spacing w:after="180" w:line="300"/>
      </w:pPr>
      <w:r>
        <w:rPr>
          <w:rFonts w:ascii="Arial" w:cs="Arial" w:eastAsia="Arial" w:hAnsi="Arial"/>
          <w:b/>
          <w:bCs/>
          <w:color w:val="1A2332"/>
          <w:sz w:val="20"/>
          <w:szCs w:val="20"/>
        </w:rPr>
        <w:t xml:space="preserve">tax.context.body: </w:t>
      </w:r>
      <w:r>
        <w:rPr>
          <w:rFonts w:ascii="Arial" w:cs="Arial" w:eastAsia="Arial" w:hAnsi="Arial"/>
          <w:color w:val="333333"/>
          <w:sz w:val="20"/>
          <w:szCs w:val="20"/>
        </w:rPr>
        <w:t xml:space="preserve">Tax and regulatory compliance determine whether transactions are approved, funded, and completed. Whether you are purchasing property, transferring capital, or restructuring holdings, every transaction carries implications in Israel and potentially in other jurisdictions. A misstep in classification, timing, or documentation can result in penalties, blocked funds, or lost treaty benefits.</w:t>
      </w:r>
    </w:p>
    <w:p>
      <w:pPr>
        <w:spacing w:after="180" w:line="300"/>
      </w:pPr>
      <w:r>
        <w:rPr>
          <w:rFonts w:ascii="Arial" w:cs="Arial" w:eastAsia="Arial" w:hAnsi="Arial"/>
          <w:b/>
          <w:bCs/>
          <w:color w:val="1A2332"/>
          <w:sz w:val="20"/>
          <w:szCs w:val="20"/>
        </w:rPr>
        <w:t xml:space="preserve">tax.context.body2: </w:t>
      </w:r>
      <w:r>
        <w:rPr>
          <w:rFonts w:ascii="Arial" w:cs="Arial" w:eastAsia="Arial" w:hAnsi="Arial"/>
          <w:color w:val="333333"/>
          <w:sz w:val="20"/>
          <w:szCs w:val="20"/>
        </w:rPr>
        <w:t xml:space="preserve">The firm approaches every engagement with the financial discipline that comes from Maya Ziv's background in finance and accounting. By integrating tax planning into the legal process from the outset, we minimise regulatory friction, support full compliance, and protect the client's standing with Israeli financial institutions and tax authorities.</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Real Estate Tax Planning</w:t>
      </w:r>
    </w:p>
    <w:p>
      <w:pPr>
        <w:spacing w:after="180" w:line="300"/>
      </w:pPr>
      <w:r>
        <w:rPr>
          <w:rFonts w:ascii="Arial" w:cs="Arial" w:eastAsia="Arial" w:hAnsi="Arial"/>
          <w:b/>
          <w:bCs/>
          <w:color w:val="1A2332"/>
          <w:sz w:val="20"/>
          <w:szCs w:val="20"/>
        </w:rPr>
        <w:t xml:space="preserve">tax.realEstate.title: </w:t>
      </w:r>
      <w:r>
        <w:rPr>
          <w:rFonts w:ascii="Arial" w:cs="Arial" w:eastAsia="Arial" w:hAnsi="Arial"/>
          <w:color w:val="333333"/>
          <w:sz w:val="20"/>
          <w:szCs w:val="20"/>
        </w:rPr>
        <w:t xml:space="preserve">Real Estate Tax Planning</w:t>
      </w:r>
    </w:p>
    <w:p>
      <w:pPr>
        <w:spacing w:after="180" w:line="300"/>
      </w:pPr>
      <w:r>
        <w:rPr>
          <w:rFonts w:ascii="Arial" w:cs="Arial" w:eastAsia="Arial" w:hAnsi="Arial"/>
          <w:b/>
          <w:bCs/>
          <w:color w:val="1A2332"/>
          <w:sz w:val="20"/>
          <w:szCs w:val="20"/>
        </w:rPr>
        <w:t xml:space="preserve">tax.realEstate.body: </w:t>
      </w:r>
      <w:r>
        <w:rPr>
          <w:rFonts w:ascii="Arial" w:cs="Arial" w:eastAsia="Arial" w:hAnsi="Arial"/>
          <w:color w:val="333333"/>
          <w:sz w:val="20"/>
          <w:szCs w:val="20"/>
        </w:rPr>
        <w:t xml:space="preserve">Tax assessment is the critical first step of any property transaction in Israel. The brackets for Purchase Tax (Mas Rechisha) and Capital Gains Tax (Mas Shevach) vary based on the client's residency classification, the nature of the property, and whether other properties are held.</w:t>
      </w:r>
    </w:p>
    <w:p>
      <w:pPr>
        <w:spacing w:before="50"/>
      </w:pPr>
    </w:p>
    <w:p>
      <w:pPr>
        <w:spacing w:after="180" w:line="300"/>
      </w:pPr>
      <w:r>
        <w:rPr>
          <w:rFonts w:ascii="Arial" w:cs="Arial" w:eastAsia="Arial" w:hAnsi="Arial"/>
          <w:b/>
          <w:bCs/>
          <w:color w:val="1A2332"/>
          <w:sz w:val="20"/>
          <w:szCs w:val="20"/>
        </w:rPr>
        <w:t xml:space="preserve">tax.realEstate.assessment.title: </w:t>
      </w:r>
      <w:r>
        <w:rPr>
          <w:rFonts w:ascii="Arial" w:cs="Arial" w:eastAsia="Arial" w:hAnsi="Arial"/>
          <w:color w:val="333333"/>
          <w:sz w:val="20"/>
          <w:szCs w:val="20"/>
        </w:rPr>
        <w:t xml:space="preserve">Pre-Contract Assessment</w:t>
      </w:r>
    </w:p>
    <w:p>
      <w:pPr>
        <w:spacing w:after="180" w:line="300"/>
      </w:pPr>
      <w:r>
        <w:rPr>
          <w:rFonts w:ascii="Arial" w:cs="Arial" w:eastAsia="Arial" w:hAnsi="Arial"/>
          <w:b/>
          <w:bCs/>
          <w:color w:val="1A2332"/>
          <w:sz w:val="20"/>
          <w:szCs w:val="20"/>
        </w:rPr>
        <w:t xml:space="preserve">tax.realEstate.assessment.desc: </w:t>
      </w:r>
      <w:r>
        <w:rPr>
          <w:rFonts w:ascii="Arial" w:cs="Arial" w:eastAsia="Arial" w:hAnsi="Arial"/>
          <w:color w:val="333333"/>
          <w:sz w:val="20"/>
          <w:szCs w:val="20"/>
        </w:rPr>
        <w:t xml:space="preserve">Calculating projected tax liabilities, identifying the correct residency classification, and confirming eligibility for any applicable relief before a binding commitment is made.</w:t>
      </w:r>
    </w:p>
    <w:p>
      <w:pPr>
        <w:spacing w:before="50"/>
      </w:pPr>
    </w:p>
    <w:p>
      <w:pPr>
        <w:spacing w:after="180" w:line="300"/>
      </w:pPr>
      <w:r>
        <w:rPr>
          <w:rFonts w:ascii="Arial" w:cs="Arial" w:eastAsia="Arial" w:hAnsi="Arial"/>
          <w:b/>
          <w:bCs/>
          <w:color w:val="1A2332"/>
          <w:sz w:val="20"/>
          <w:szCs w:val="20"/>
        </w:rPr>
        <w:t xml:space="preserve">tax.realEstate.ownership.title: </w:t>
      </w:r>
      <w:r>
        <w:rPr>
          <w:rFonts w:ascii="Arial" w:cs="Arial" w:eastAsia="Arial" w:hAnsi="Arial"/>
          <w:color w:val="333333"/>
          <w:sz w:val="20"/>
          <w:szCs w:val="20"/>
        </w:rPr>
        <w:t xml:space="preserve">Ownership and Structure Planning</w:t>
      </w:r>
    </w:p>
    <w:p>
      <w:pPr>
        <w:spacing w:after="180" w:line="300"/>
      </w:pPr>
      <w:r>
        <w:rPr>
          <w:rFonts w:ascii="Arial" w:cs="Arial" w:eastAsia="Arial" w:hAnsi="Arial"/>
          <w:b/>
          <w:bCs/>
          <w:color w:val="1A2332"/>
          <w:sz w:val="20"/>
          <w:szCs w:val="20"/>
        </w:rPr>
        <w:t xml:space="preserve">tax.realEstate.ownership.desc: </w:t>
      </w:r>
      <w:r>
        <w:rPr>
          <w:rFonts w:ascii="Arial" w:cs="Arial" w:eastAsia="Arial" w:hAnsi="Arial"/>
          <w:color w:val="333333"/>
          <w:sz w:val="20"/>
          <w:szCs w:val="20"/>
        </w:rPr>
        <w:t xml:space="preserve">Evaluating registration and ownership options aligned with the client's status, family structure, and long-term financial objectives.</w:t>
      </w:r>
    </w:p>
    <w:p>
      <w:pPr>
        <w:spacing w:before="50"/>
      </w:pPr>
    </w:p>
    <w:p>
      <w:pPr>
        <w:spacing w:after="180" w:line="300"/>
      </w:pPr>
      <w:r>
        <w:rPr>
          <w:rFonts w:ascii="Arial" w:cs="Arial" w:eastAsia="Arial" w:hAnsi="Arial"/>
          <w:b/>
          <w:bCs/>
          <w:color w:val="1A2332"/>
          <w:sz w:val="20"/>
          <w:szCs w:val="20"/>
        </w:rPr>
        <w:t xml:space="preserve">tax.realEstate.filing.title: </w:t>
      </w:r>
      <w:r>
        <w:rPr>
          <w:rFonts w:ascii="Arial" w:cs="Arial" w:eastAsia="Arial" w:hAnsi="Arial"/>
          <w:color w:val="333333"/>
          <w:sz w:val="20"/>
          <w:szCs w:val="20"/>
        </w:rPr>
        <w:t xml:space="preserve">Filing and Reporting</w:t>
      </w:r>
    </w:p>
    <w:p>
      <w:pPr>
        <w:spacing w:after="180" w:line="300"/>
      </w:pPr>
      <w:r>
        <w:rPr>
          <w:rFonts w:ascii="Arial" w:cs="Arial" w:eastAsia="Arial" w:hAnsi="Arial"/>
          <w:b/>
          <w:bCs/>
          <w:color w:val="1A2332"/>
          <w:sz w:val="20"/>
          <w:szCs w:val="20"/>
        </w:rPr>
        <w:t xml:space="preserve">tax.realEstate.filing.desc: </w:t>
      </w:r>
      <w:r>
        <w:rPr>
          <w:rFonts w:ascii="Arial" w:cs="Arial" w:eastAsia="Arial" w:hAnsi="Arial"/>
          <w:color w:val="333333"/>
          <w:sz w:val="20"/>
          <w:szCs w:val="20"/>
        </w:rPr>
        <w:t xml:space="preserve">Preparing and submitting all declarations to the Israel Tax Authority with precise documentation, within the statutory deadlines, to avoid interest, penalties, and administrative delays.</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Banking and Source of Funds</w:t>
      </w:r>
    </w:p>
    <w:p>
      <w:pPr>
        <w:spacing w:after="180" w:line="300"/>
      </w:pPr>
      <w:r>
        <w:rPr>
          <w:rFonts w:ascii="Arial" w:cs="Arial" w:eastAsia="Arial" w:hAnsi="Arial"/>
          <w:b/>
          <w:bCs/>
          <w:color w:val="1A2332"/>
          <w:sz w:val="20"/>
          <w:szCs w:val="20"/>
        </w:rPr>
        <w:t xml:space="preserve">tax.banking.title: </w:t>
      </w:r>
      <w:r>
        <w:rPr>
          <w:rFonts w:ascii="Arial" w:cs="Arial" w:eastAsia="Arial" w:hAnsi="Arial"/>
          <w:color w:val="333333"/>
          <w:sz w:val="20"/>
          <w:szCs w:val="20"/>
        </w:rPr>
        <w:t xml:space="preserve">Banking Regulation and Source of Funds</w:t>
      </w:r>
    </w:p>
    <w:p>
      <w:pPr>
        <w:spacing w:after="180" w:line="300"/>
      </w:pPr>
      <w:r>
        <w:rPr>
          <w:rFonts w:ascii="Arial" w:cs="Arial" w:eastAsia="Arial" w:hAnsi="Arial"/>
          <w:b/>
          <w:bCs/>
          <w:color w:val="1A2332"/>
          <w:sz w:val="20"/>
          <w:szCs w:val="20"/>
        </w:rPr>
        <w:t xml:space="preserve">tax.banking.body: </w:t>
      </w:r>
      <w:r>
        <w:rPr>
          <w:rFonts w:ascii="Arial" w:cs="Arial" w:eastAsia="Arial" w:hAnsi="Arial"/>
          <w:color w:val="333333"/>
          <w:sz w:val="20"/>
          <w:szCs w:val="20"/>
        </w:rPr>
        <w:t xml:space="preserve">Transferring capital to or from Israel requires strict compliance with anti-money laundering regulations and banking guidelines. Israeli banks conduct their own due diligence on incoming funds, and transfers that are not supported by clear documentation of source and purpose may be delayed, rejected, or flagged for further review.</w:t>
      </w:r>
    </w:p>
    <w:p>
      <w:pPr>
        <w:spacing w:after="180" w:line="300"/>
      </w:pPr>
      <w:r>
        <w:rPr>
          <w:rFonts w:ascii="Arial" w:cs="Arial" w:eastAsia="Arial" w:hAnsi="Arial"/>
          <w:b/>
          <w:bCs/>
          <w:color w:val="1A2332"/>
          <w:sz w:val="20"/>
          <w:szCs w:val="20"/>
        </w:rPr>
        <w:t xml:space="preserve">tax.banking.body2: </w:t>
      </w:r>
      <w:r>
        <w:rPr>
          <w:rFonts w:ascii="Arial" w:cs="Arial" w:eastAsia="Arial" w:hAnsi="Arial"/>
          <w:color w:val="333333"/>
          <w:sz w:val="20"/>
          <w:szCs w:val="20"/>
        </w:rPr>
        <w:t xml:space="preserve">The firm prepares comprehensive source-of-funds files and coordinates directly with the receiving bank to facilitate smooth acceptance. We also assist in preparing ongoing tax declarations, aligning Israeli reporting obligations with international requirements and relevant treaty provisions to reduce the risk of double taxation.</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Cross-Border Coordination</w:t>
      </w:r>
    </w:p>
    <w:p>
      <w:pPr>
        <w:spacing w:after="180" w:line="300"/>
      </w:pPr>
      <w:r>
        <w:rPr>
          <w:rFonts w:ascii="Arial" w:cs="Arial" w:eastAsia="Arial" w:hAnsi="Arial"/>
          <w:b/>
          <w:bCs/>
          <w:color w:val="1A2332"/>
          <w:sz w:val="20"/>
          <w:szCs w:val="20"/>
        </w:rPr>
        <w:t xml:space="preserve">tax.crossBorder.title: </w:t>
      </w:r>
      <w:r>
        <w:rPr>
          <w:rFonts w:ascii="Arial" w:cs="Arial" w:eastAsia="Arial" w:hAnsi="Arial"/>
          <w:color w:val="333333"/>
          <w:sz w:val="20"/>
          <w:szCs w:val="20"/>
        </w:rPr>
        <w:t xml:space="preserve">Coordination with International Tax Obligations</w:t>
      </w:r>
    </w:p>
    <w:p>
      <w:pPr>
        <w:spacing w:after="180" w:line="300"/>
      </w:pPr>
      <w:r>
        <w:rPr>
          <w:rFonts w:ascii="Arial" w:cs="Arial" w:eastAsia="Arial" w:hAnsi="Arial"/>
          <w:b/>
          <w:bCs/>
          <w:color w:val="1A2332"/>
          <w:sz w:val="20"/>
          <w:szCs w:val="20"/>
        </w:rPr>
        <w:t xml:space="preserve">tax.crossBorder.body: </w:t>
      </w:r>
      <w:r>
        <w:rPr>
          <w:rFonts w:ascii="Arial" w:cs="Arial" w:eastAsia="Arial" w:hAnsi="Arial"/>
          <w:color w:val="333333"/>
          <w:sz w:val="20"/>
          <w:szCs w:val="20"/>
        </w:rPr>
        <w:t xml:space="preserve">Israel's network of bilateral tax treaties may affect how income, gains, and reporting obligations are treated depending on the client's jurisdiction of residence or citizenship.</w:t>
      </w:r>
    </w:p>
    <w:p>
      <w:pPr>
        <w:spacing w:after="180" w:line="300"/>
      </w:pPr>
      <w:r>
        <w:rPr>
          <w:rFonts w:ascii="Arial" w:cs="Arial" w:eastAsia="Arial" w:hAnsi="Arial"/>
          <w:b/>
          <w:bCs/>
          <w:color w:val="1A2332"/>
          <w:sz w:val="20"/>
          <w:szCs w:val="20"/>
        </w:rPr>
        <w:t xml:space="preserve">tax.crossBorder.body2: </w:t>
      </w:r>
      <w:r>
        <w:rPr>
          <w:rFonts w:ascii="Arial" w:cs="Arial" w:eastAsia="Arial" w:hAnsi="Arial"/>
          <w:color w:val="333333"/>
          <w:sz w:val="20"/>
          <w:szCs w:val="20"/>
        </w:rPr>
        <w:t xml:space="preserve">The firm identifies potential treaty-related considerations and coordinates with the client's foreign tax advisors to maintain a consistent tax position across jurisdictions. While we do not file foreign tax returns, we ensure that every Israeli legal action is documented and communicated clearly to the client's global advisory team.</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Olim and Returning Residents Tax</w:t>
      </w:r>
    </w:p>
    <w:p>
      <w:pPr>
        <w:spacing w:after="180" w:line="300"/>
      </w:pPr>
      <w:r>
        <w:rPr>
          <w:rFonts w:ascii="Arial" w:cs="Arial" w:eastAsia="Arial" w:hAnsi="Arial"/>
          <w:b/>
          <w:bCs/>
          <w:color w:val="1A2332"/>
          <w:sz w:val="20"/>
          <w:szCs w:val="20"/>
        </w:rPr>
        <w:t xml:space="preserve">tax.olim.title: </w:t>
      </w:r>
      <w:r>
        <w:rPr>
          <w:rFonts w:ascii="Arial" w:cs="Arial" w:eastAsia="Arial" w:hAnsi="Arial"/>
          <w:color w:val="333333"/>
          <w:sz w:val="20"/>
          <w:szCs w:val="20"/>
        </w:rPr>
        <w:t xml:space="preserve">Tax Planning for Olim Hadashim and Returning Residents</w:t>
      </w:r>
    </w:p>
    <w:p>
      <w:pPr>
        <w:spacing w:after="180" w:line="300"/>
      </w:pPr>
      <w:r>
        <w:rPr>
          <w:rFonts w:ascii="Arial" w:cs="Arial" w:eastAsia="Arial" w:hAnsi="Arial"/>
          <w:b/>
          <w:bCs/>
          <w:color w:val="1A2332"/>
          <w:sz w:val="20"/>
          <w:szCs w:val="20"/>
        </w:rPr>
        <w:t xml:space="preserve">tax.olim.body: </w:t>
      </w:r>
      <w:r>
        <w:rPr>
          <w:rFonts w:ascii="Arial" w:cs="Arial" w:eastAsia="Arial" w:hAnsi="Arial"/>
          <w:color w:val="333333"/>
          <w:sz w:val="20"/>
          <w:szCs w:val="20"/>
        </w:rPr>
        <w:t xml:space="preserve">New immigrants (Olim Hadashim) and qualifying returning residents (Toshav Hozer Vatik) may be eligible for significant tax and reporting reliefs, including the ten-year exemption from reporting on foreign income in certain cases. These benefits are subject to strict eligibility criteria, classification rules, and timing requirements.</w:t>
      </w:r>
    </w:p>
    <w:p>
      <w:pPr>
        <w:spacing w:after="180" w:line="300"/>
      </w:pPr>
      <w:r>
        <w:rPr>
          <w:rFonts w:ascii="Arial" w:cs="Arial" w:eastAsia="Arial" w:hAnsi="Arial"/>
          <w:color w:val="333333"/>
          <w:sz w:val="20"/>
          <w:szCs w:val="20"/>
        </w:rPr>
        <w:t xml:space="preserve">The firm helps clients map their status, understand the implications of each classification, and structure the timing and documentation of their transition to support a compliant and tax-efficient entry into the Israeli system.</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FAQ Section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A2332" w:val="clear"/>
            <w:tcMar>
              <w:top w:type="dxa" w:w="120"/>
              <w:left w:type="dxa" w:w="200"/>
              <w:bottom w:type="dxa" w:w="120"/>
              <w:right w:type="dxa" w:w="200"/>
            </w:tcMar>
          </w:tcPr>
          <w:p>
            <w:r>
              <w:rPr>
                <w:rFonts w:ascii="Arial" w:cs="Arial" w:eastAsia="Arial" w:hAnsi="Arial"/>
                <w:b/>
                <w:bCs/>
                <w:color w:val="FFFFFF"/>
                <w:sz w:val="20"/>
                <w:szCs w:val="20"/>
              </w:rPr>
              <w:t xml:space="preserve">Can I pay Israeli Purchase Tax in foreign currency?</w:t>
            </w:r>
          </w:p>
        </w:tc>
      </w:tr>
      <w:tr>
        <w:tc>
          <w:tcPr>
            <w:tcW w:type="dxa" w:w="9360"/>
            <w:tcBorders>
              <w:top w:val="single" w:color="D0D0D0" w:sz="1"/>
              <w:left w:val="single" w:color="D0D0D0" w:sz="1"/>
              <w:bottom w:val="single" w:color="D0D0D0" w:sz="1"/>
              <w:right w:val="single" w:color="D0D0D0" w:sz="1"/>
            </w:tcBorders>
            <w:tcMar>
              <w:top w:type="dxa" w:w="120"/>
              <w:left w:type="dxa" w:w="200"/>
              <w:bottom w:type="dxa" w:w="120"/>
              <w:right w:type="dxa" w:w="200"/>
            </w:tcMar>
          </w:tcPr>
          <w:p>
            <w:pPr>
              <w:spacing w:line="300"/>
            </w:pPr>
            <w:r>
              <w:rPr>
                <w:rFonts w:ascii="Arial" w:cs="Arial" w:eastAsia="Arial" w:hAnsi="Arial"/>
                <w:color w:val="333333"/>
                <w:sz w:val="20"/>
                <w:szCs w:val="20"/>
              </w:rPr>
              <w:t xml:space="preserve">No. Purchase Tax payments to the Israel Tax Authority are made in New Israeli Shekels. For clients transferring funds from abroad, this requires coordinating currency conversion, timing the transfer to limit exchange rate exposure, and ensuring the receiving Israeli bank accepts the funds. We manage this process as part of the transaction.</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A2332" w:val="clear"/>
            <w:tcMar>
              <w:top w:type="dxa" w:w="120"/>
              <w:left w:type="dxa" w:w="200"/>
              <w:bottom w:type="dxa" w:w="120"/>
              <w:right w:type="dxa" w:w="200"/>
            </w:tcMar>
          </w:tcPr>
          <w:p>
            <w:r>
              <w:rPr>
                <w:rFonts w:ascii="Arial" w:cs="Arial" w:eastAsia="Arial" w:hAnsi="Arial"/>
                <w:b/>
                <w:bCs/>
                <w:color w:val="FFFFFF"/>
                <w:sz w:val="20"/>
                <w:szCs w:val="20"/>
              </w:rPr>
              <w:t xml:space="preserve">Will the Israeli bank automatically accept my transfer?</w:t>
            </w:r>
          </w:p>
        </w:tc>
      </w:tr>
      <w:tr>
        <w:tc>
          <w:tcPr>
            <w:tcW w:type="dxa" w:w="9360"/>
            <w:tcBorders>
              <w:top w:val="single" w:color="D0D0D0" w:sz="1"/>
              <w:left w:val="single" w:color="D0D0D0" w:sz="1"/>
              <w:bottom w:val="single" w:color="D0D0D0" w:sz="1"/>
              <w:right w:val="single" w:color="D0D0D0" w:sz="1"/>
            </w:tcBorders>
            <w:tcMar>
              <w:top w:type="dxa" w:w="120"/>
              <w:left w:type="dxa" w:w="200"/>
              <w:bottom w:type="dxa" w:w="120"/>
              <w:right w:type="dxa" w:w="200"/>
            </w:tcMar>
          </w:tcPr>
          <w:p>
            <w:pPr>
              <w:spacing w:line="300"/>
            </w:pPr>
            <w:r>
              <w:rPr>
                <w:rFonts w:ascii="Arial" w:cs="Arial" w:eastAsia="Arial" w:hAnsi="Arial"/>
                <w:color w:val="333333"/>
                <w:sz w:val="20"/>
                <w:szCs w:val="20"/>
              </w:rPr>
              <w:t xml:space="preserve">No. Israeli banks operate under strict anti-money laundering regulations and conduct independent due diligence on every incoming international transfer. A transfer that is not accompanied by clear documentation of source, purpose, and beneficial ownership may be held, returned, or subjected to extended review. The firm prepares a structured source-of-funds file in advance to facilitate acceptance.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A2332" w:val="clear"/>
            <w:tcMar>
              <w:top w:type="dxa" w:w="120"/>
              <w:left w:type="dxa" w:w="200"/>
              <w:bottom w:type="dxa" w:w="120"/>
              <w:right w:type="dxa" w:w="200"/>
            </w:tcMar>
          </w:tcPr>
          <w:p>
            <w:r>
              <w:rPr>
                <w:rFonts w:ascii="Arial" w:cs="Arial" w:eastAsia="Arial" w:hAnsi="Arial"/>
                <w:b/>
                <w:bCs/>
                <w:color w:val="FFFFFF"/>
                <w:sz w:val="20"/>
                <w:szCs w:val="20"/>
              </w:rPr>
              <w:t xml:space="preserve">When do I become a tax resident of Israel?</w:t>
            </w:r>
          </w:p>
        </w:tc>
      </w:tr>
      <w:tr>
        <w:tc>
          <w:tcPr>
            <w:tcW w:type="dxa" w:w="9360"/>
            <w:tcBorders>
              <w:top w:val="single" w:color="D0D0D0" w:sz="1"/>
              <w:left w:val="single" w:color="D0D0D0" w:sz="1"/>
              <w:bottom w:val="single" w:color="D0D0D0" w:sz="1"/>
              <w:right w:val="single" w:color="D0D0D0" w:sz="1"/>
            </w:tcBorders>
            <w:tcMar>
              <w:top w:type="dxa" w:w="120"/>
              <w:left w:type="dxa" w:w="200"/>
              <w:bottom w:type="dxa" w:w="120"/>
              <w:right w:type="dxa" w:w="200"/>
            </w:tcMar>
          </w:tcPr>
          <w:p>
            <w:pPr>
              <w:spacing w:line="300"/>
            </w:pPr>
            <w:r>
              <w:rPr>
                <w:rFonts w:ascii="Arial" w:cs="Arial" w:eastAsia="Arial" w:hAnsi="Arial"/>
                <w:color w:val="333333"/>
                <w:sz w:val="20"/>
                <w:szCs w:val="20"/>
              </w:rPr>
              <w:t xml:space="preserve">Israeli tax residency is determined by a "centre of life" test, which considers factors such as the location of your permanent home, your economic and social ties, and the number of days spent in Israel during the relevant tax year. The determination is fact-specific and has significant consequences for reporting and liability. We advise clients on how their actions and timing affect their classification.</w:t>
            </w:r>
          </w:p>
        </w:tc>
      </w:tr>
    </w:tbl>
    <w:p>
      <w:pPr>
        <w:spacing w:before="100"/>
      </w:pPr>
    </w:p>
    <w:p>
      <w:pPr>
        <w:pBdr>
          <w:bottom w:val="single" w:color="2E75B6" w:sz="2" w:space="4"/>
        </w:pBdr>
        <w:spacing w:before="300" w:after="150"/>
      </w:pPr>
      <w:r>
        <w:rPr>
          <w:rFonts w:ascii="Arial" w:cs="Arial" w:eastAsia="Arial" w:hAnsi="Arial"/>
          <w:b/>
          <w:bCs/>
          <w:color w:val="2E75B6"/>
          <w:sz w:val="24"/>
          <w:szCs w:val="24"/>
        </w:rPr>
        <w:t xml:space="preserve">CTA Section</w:t>
      </w:r>
    </w:p>
    <w:p>
      <w:pPr>
        <w:spacing w:after="180" w:line="300"/>
      </w:pPr>
      <w:r>
        <w:rPr>
          <w:rFonts w:ascii="Arial" w:cs="Arial" w:eastAsia="Arial" w:hAnsi="Arial"/>
          <w:b/>
          <w:bCs/>
          <w:color w:val="1A2332"/>
          <w:sz w:val="20"/>
          <w:szCs w:val="20"/>
        </w:rPr>
        <w:t xml:space="preserve">tax.cta.title: </w:t>
      </w:r>
      <w:r>
        <w:rPr>
          <w:rFonts w:ascii="Arial" w:cs="Arial" w:eastAsia="Arial" w:hAnsi="Arial"/>
          <w:color w:val="333333"/>
          <w:sz w:val="20"/>
          <w:szCs w:val="20"/>
        </w:rPr>
        <w:t xml:space="preserve">Compliance Built on Clarity</w:t>
      </w:r>
    </w:p>
    <w:p>
      <w:pPr>
        <w:spacing w:after="180" w:line="300"/>
      </w:pPr>
      <w:r>
        <w:rPr>
          <w:rFonts w:ascii="Arial" w:cs="Arial" w:eastAsia="Arial" w:hAnsi="Arial"/>
          <w:b/>
          <w:bCs/>
          <w:color w:val="1A2332"/>
          <w:sz w:val="20"/>
          <w:szCs w:val="20"/>
        </w:rPr>
        <w:t xml:space="preserve">tax.cta.body: </w:t>
      </w:r>
      <w:r>
        <w:rPr>
          <w:rFonts w:ascii="Arial" w:cs="Arial" w:eastAsia="Arial" w:hAnsi="Arial"/>
          <w:color w:val="333333"/>
          <w:sz w:val="20"/>
          <w:szCs w:val="20"/>
        </w:rPr>
        <w:t xml:space="preserve">Start with a structured plan that turns uncertainty into documented decisions. Inquiries welcome in English and Hebrew.</w:t>
      </w:r>
    </w:p>
    <w:p>
      <w:pPr>
        <w:spacing w:after="180" w:line="300"/>
      </w:pPr>
      <w:r>
        <w:rPr>
          <w:rFonts w:ascii="Arial" w:cs="Arial" w:eastAsia="Arial" w:hAnsi="Arial"/>
          <w:b/>
          <w:bCs/>
          <w:color w:val="1A2332"/>
          <w:sz w:val="20"/>
          <w:szCs w:val="20"/>
        </w:rPr>
        <w:t xml:space="preserve">tax.cta.button: </w:t>
      </w:r>
      <w:r>
        <w:rPr>
          <w:rFonts w:ascii="Arial" w:cs="Arial" w:eastAsia="Arial" w:hAnsi="Arial"/>
          <w:color w:val="333333"/>
          <w:sz w:val="20"/>
          <w:szCs w:val="20"/>
        </w:rPr>
        <w:t xml:space="preserve">Schedule a Consultation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2332" w:val="clear"/>
            <w:tcMar>
              <w:top w:type="dxa" w:w="200"/>
              <w:left w:type="dxa" w:w="300"/>
              <w:bottom w:type="dxa" w:w="200"/>
              <w:right w:type="dxa" w:w="300"/>
            </w:tcMar>
          </w:tcPr>
          <w:p>
            <w:pPr>
              <w:jc w:val="left"/>
            </w:pPr>
            <w:r>
              <w:rPr>
                <w:rFonts w:ascii="Arial" w:cs="Arial" w:eastAsia="Arial" w:hAnsi="Arial"/>
                <w:b/>
                <w:bCs/>
                <w:color w:val="FFFFFF"/>
                <w:sz w:val="28"/>
                <w:szCs w:val="28"/>
              </w:rPr>
              <w:t xml:space="preserve">PAGE 3: FAMILY AND LEGACY</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1A2332"/>
                <w:sz w:val="20"/>
                <w:szCs w:val="20"/>
              </w:rPr>
              <w:t xml:space="preserve">URL:</w:t>
            </w:r>
          </w:p>
        </w:tc>
        <w:tc>
          <w:tcPr>
            <w:tcW w:type="dxa" w:w="6960"/>
            <w:tcBorders>
              <w:top w:val="none" w:sz="0"/>
              <w:left w:val="none" w:sz="0"/>
              <w:bottom w:val="none" w:sz="0"/>
              <w:right w:val="none" w:sz="0"/>
            </w:tcBorders>
            <w:tcMar>
              <w:top w:type="dxa" w:w="60"/>
              <w:left w:type="dxa" w:w="120"/>
              <w:bottom w:type="dxa" w:w="60"/>
              <w:right w:type="dxa" w:w="0"/>
            </w:tcMar>
          </w:tcPr>
          <w:p>
            <w:pPr>
              <w:spacing w:line="276"/>
            </w:pPr>
            <w:r>
              <w:rPr>
                <w:rFonts w:ascii="Arial" w:cs="Arial" w:eastAsia="Arial" w:hAnsi="Arial"/>
                <w:color w:val="333333"/>
                <w:sz w:val="20"/>
                <w:szCs w:val="20"/>
              </w:rPr>
              <w:t xml:space="preserve">/en/estate-planning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1A2332"/>
                <w:sz w:val="20"/>
                <w:szCs w:val="20"/>
              </w:rPr>
              <w:t xml:space="preserve">Nav Label:</w:t>
            </w:r>
          </w:p>
        </w:tc>
        <w:tc>
          <w:tcPr>
            <w:tcW w:type="dxa" w:w="6960"/>
            <w:tcBorders>
              <w:top w:val="none" w:sz="0"/>
              <w:left w:val="none" w:sz="0"/>
              <w:bottom w:val="none" w:sz="0"/>
              <w:right w:val="none" w:sz="0"/>
            </w:tcBorders>
            <w:tcMar>
              <w:top w:type="dxa" w:w="60"/>
              <w:left w:type="dxa" w:w="120"/>
              <w:bottom w:type="dxa" w:w="60"/>
              <w:right w:type="dxa" w:w="0"/>
            </w:tcMar>
          </w:tcPr>
          <w:p>
            <w:pPr>
              <w:spacing w:line="276"/>
            </w:pPr>
            <w:r>
              <w:rPr>
                <w:rFonts w:ascii="Arial" w:cs="Arial" w:eastAsia="Arial" w:hAnsi="Arial"/>
                <w:color w:val="333333"/>
                <w:sz w:val="20"/>
                <w:szCs w:val="20"/>
              </w:rPr>
              <w:t xml:space="preserve">Family and Legacy</w:t>
            </w:r>
          </w:p>
        </w:tc>
      </w:tr>
    </w:tbl>
    <w:p>
      <w:pPr>
        <w:spacing w:before="100"/>
      </w:pPr>
    </w:p>
    <w:p>
      <w:pPr>
        <w:pBdr>
          <w:bottom w:val="single" w:color="2E75B6" w:sz="2" w:space="4"/>
        </w:pBdr>
        <w:spacing w:before="300" w:after="150"/>
      </w:pPr>
      <w:r>
        <w:rPr>
          <w:rFonts w:ascii="Arial" w:cs="Arial" w:eastAsia="Arial" w:hAnsi="Arial"/>
          <w:b/>
          <w:bCs/>
          <w:color w:val="2E75B6"/>
          <w:sz w:val="24"/>
          <w:szCs w:val="24"/>
        </w:rPr>
        <w:t xml:space="preserve">Hero Section</w:t>
      </w:r>
    </w:p>
    <w:p>
      <w:pPr>
        <w:spacing w:after="180" w:line="300"/>
      </w:pPr>
      <w:r>
        <w:rPr>
          <w:rFonts w:ascii="Arial" w:cs="Arial" w:eastAsia="Arial" w:hAnsi="Arial"/>
          <w:b/>
          <w:bCs/>
          <w:color w:val="1A2332"/>
          <w:sz w:val="20"/>
          <w:szCs w:val="20"/>
        </w:rPr>
        <w:t xml:space="preserve">estate.hero.title: </w:t>
      </w:r>
      <w:r>
        <w:rPr>
          <w:rFonts w:ascii="Arial" w:cs="Arial" w:eastAsia="Arial" w:hAnsi="Arial"/>
          <w:color w:val="333333"/>
          <w:sz w:val="20"/>
          <w:szCs w:val="20"/>
        </w:rPr>
        <w:t xml:space="preserve">Families with Assets in Israel and Connections Abroad</w:t>
      </w:r>
    </w:p>
    <w:p>
      <w:pPr>
        <w:spacing w:after="180" w:line="300"/>
      </w:pPr>
      <w:r>
        <w:rPr>
          <w:rFonts w:ascii="Arial" w:cs="Arial" w:eastAsia="Arial" w:hAnsi="Arial"/>
          <w:b/>
          <w:bCs/>
          <w:color w:val="1A2332"/>
          <w:sz w:val="20"/>
          <w:szCs w:val="20"/>
        </w:rPr>
        <w:t xml:space="preserve">estate.hero.subtitle: </w:t>
      </w:r>
      <w:r>
        <w:rPr>
          <w:rFonts w:ascii="Arial" w:cs="Arial" w:eastAsia="Arial" w:hAnsi="Arial"/>
          <w:color w:val="333333"/>
          <w:sz w:val="20"/>
          <w:szCs w:val="20"/>
        </w:rPr>
        <w:t xml:space="preserve">Structured legal planning for cross-border wealth transfer, bilingual wills, and Enduring Power of Attorney under Israeli law.</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Challenge Section</w:t>
      </w:r>
    </w:p>
    <w:p>
      <w:pPr>
        <w:spacing w:after="180" w:line="300"/>
      </w:pPr>
      <w:r>
        <w:rPr>
          <w:rFonts w:ascii="Arial" w:cs="Arial" w:eastAsia="Arial" w:hAnsi="Arial"/>
          <w:b/>
          <w:bCs/>
          <w:color w:val="1A2332"/>
          <w:sz w:val="20"/>
          <w:szCs w:val="20"/>
        </w:rPr>
        <w:t xml:space="preserve">estate.challenge.title: </w:t>
      </w:r>
      <w:r>
        <w:rPr>
          <w:rFonts w:ascii="Arial" w:cs="Arial" w:eastAsia="Arial" w:hAnsi="Arial"/>
          <w:color w:val="333333"/>
          <w:sz w:val="20"/>
          <w:szCs w:val="20"/>
        </w:rPr>
        <w:t xml:space="preserve">Managing Family Wealth Across Jurisdictions</w:t>
      </w:r>
    </w:p>
    <w:p>
      <w:pPr>
        <w:spacing w:after="180" w:line="300"/>
      </w:pPr>
      <w:r>
        <w:rPr>
          <w:rFonts w:ascii="Arial" w:cs="Arial" w:eastAsia="Arial" w:hAnsi="Arial"/>
          <w:color w:val="333333"/>
          <w:sz w:val="20"/>
          <w:szCs w:val="20"/>
        </w:rPr>
        <w:t xml:space="preserve">Families with assets in Israel and ties to other countries face a specific challenge: ensuring that wealth passes to the next generation efficiently, in accordance with the client's wishes, and without unnecessary tax events or procedural delays. Israeli inheritance law operates under its own rules of formality, jurisdiction, and procedure. When foreign wills, foreign beneficiaries, or assets in multiple countries are involved, the complexity increases significantly.</w:t>
      </w:r>
    </w:p>
    <w:p>
      <w:pPr>
        <w:spacing w:after="180" w:line="300"/>
      </w:pPr>
      <w:r>
        <w:rPr>
          <w:rFonts w:ascii="Arial" w:cs="Arial" w:eastAsia="Arial" w:hAnsi="Arial"/>
          <w:color w:val="333333"/>
          <w:sz w:val="20"/>
          <w:szCs w:val="20"/>
        </w:rPr>
        <w:t xml:space="preserve">The firm develops structured estate plans that integrate Israeli inheritance law with relevant foreign legal frameworks. The objective is to prevent disputes, minimise probate delays, and reduce exposure to double taxation or conflicting succession orders.</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Wills and Succession Planning</w:t>
      </w:r>
    </w:p>
    <w:p>
      <w:pPr>
        <w:spacing w:after="180" w:line="300"/>
      </w:pPr>
      <w:r>
        <w:rPr>
          <w:rFonts w:ascii="Arial" w:cs="Arial" w:eastAsia="Arial" w:hAnsi="Arial"/>
          <w:b/>
          <w:bCs/>
          <w:color w:val="1A2332"/>
          <w:sz w:val="20"/>
          <w:szCs w:val="20"/>
        </w:rPr>
        <w:t xml:space="preserve">estate.wills.title: </w:t>
      </w:r>
      <w:r>
        <w:rPr>
          <w:rFonts w:ascii="Arial" w:cs="Arial" w:eastAsia="Arial" w:hAnsi="Arial"/>
          <w:color w:val="333333"/>
          <w:sz w:val="20"/>
          <w:szCs w:val="20"/>
        </w:rPr>
        <w:t xml:space="preserve">Wills, Succession, and Cross-Border Coordination</w:t>
      </w:r>
    </w:p>
    <w:p>
      <w:pPr>
        <w:spacing w:after="180" w:line="300"/>
      </w:pPr>
      <w:r>
        <w:rPr>
          <w:rFonts w:ascii="Arial" w:cs="Arial" w:eastAsia="Arial" w:hAnsi="Arial"/>
          <w:b/>
          <w:bCs/>
          <w:color w:val="1A2332"/>
          <w:sz w:val="20"/>
          <w:szCs w:val="20"/>
        </w:rPr>
        <w:t xml:space="preserve">estate.wills.body: </w:t>
      </w:r>
      <w:r>
        <w:rPr>
          <w:rFonts w:ascii="Arial" w:cs="Arial" w:eastAsia="Arial" w:hAnsi="Arial"/>
          <w:color w:val="333333"/>
          <w:sz w:val="20"/>
          <w:szCs w:val="20"/>
        </w:rPr>
        <w:t xml:space="preserve">The firm prepares Israel-specific wills and comprehensive estate plans for clients who hold assets or maintain family connections across jurisdictions. Each document is drafted to meet Israeli formal and evidentiary requirements while coordinating with any existing foreign testamentary instruments.</w:t>
      </w:r>
    </w:p>
    <w:p>
      <w:pPr>
        <w:spacing w:before="50"/>
      </w:pPr>
    </w:p>
    <w:p>
      <w:pPr>
        <w:spacing w:after="180" w:line="300"/>
      </w:pPr>
      <w:r>
        <w:rPr>
          <w:rFonts w:ascii="Arial" w:cs="Arial" w:eastAsia="Arial" w:hAnsi="Arial"/>
          <w:b/>
          <w:bCs/>
          <w:color w:val="1A2332"/>
          <w:sz w:val="20"/>
          <w:szCs w:val="20"/>
        </w:rPr>
        <w:t xml:space="preserve">estate.wills.compliance.title: </w:t>
      </w:r>
      <w:r>
        <w:rPr>
          <w:rFonts w:ascii="Arial" w:cs="Arial" w:eastAsia="Arial" w:hAnsi="Arial"/>
          <w:color w:val="333333"/>
          <w:sz w:val="20"/>
          <w:szCs w:val="20"/>
        </w:rPr>
        <w:t xml:space="preserve">Drafting for Compliance</w:t>
      </w:r>
    </w:p>
    <w:p>
      <w:pPr>
        <w:spacing w:after="180" w:line="300"/>
      </w:pPr>
      <w:r>
        <w:rPr>
          <w:rFonts w:ascii="Arial" w:cs="Arial" w:eastAsia="Arial" w:hAnsi="Arial"/>
          <w:b/>
          <w:bCs/>
          <w:color w:val="1A2332"/>
          <w:sz w:val="20"/>
          <w:szCs w:val="20"/>
        </w:rPr>
        <w:t xml:space="preserve">estate.wills.compliance.desc: </w:t>
      </w:r>
      <w:r>
        <w:rPr>
          <w:rFonts w:ascii="Arial" w:cs="Arial" w:eastAsia="Arial" w:hAnsi="Arial"/>
          <w:color w:val="333333"/>
          <w:sz w:val="20"/>
          <w:szCs w:val="20"/>
        </w:rPr>
        <w:t xml:space="preserve">Preparing wills that satisfy the formal requirements of Israeli law, including witness provisions and language considerations for bilingual instruments.</w:t>
      </w:r>
    </w:p>
    <w:p>
      <w:pPr>
        <w:spacing w:before="50"/>
      </w:pPr>
    </w:p>
    <w:p>
      <w:pPr>
        <w:spacing w:after="180" w:line="300"/>
      </w:pPr>
      <w:r>
        <w:rPr>
          <w:rFonts w:ascii="Arial" w:cs="Arial" w:eastAsia="Arial" w:hAnsi="Arial"/>
          <w:b/>
          <w:bCs/>
          <w:color w:val="1A2332"/>
          <w:sz w:val="20"/>
          <w:szCs w:val="20"/>
        </w:rPr>
        <w:t xml:space="preserve">estate.wills.probate.title: </w:t>
      </w:r>
      <w:r>
        <w:rPr>
          <w:rFonts w:ascii="Arial" w:cs="Arial" w:eastAsia="Arial" w:hAnsi="Arial"/>
          <w:color w:val="333333"/>
          <w:sz w:val="20"/>
          <w:szCs w:val="20"/>
        </w:rPr>
        <w:t xml:space="preserve">Probate and Succession Orders</w:t>
      </w:r>
    </w:p>
    <w:p>
      <w:pPr>
        <w:spacing w:after="180" w:line="300"/>
      </w:pPr>
      <w:r>
        <w:rPr>
          <w:rFonts w:ascii="Arial" w:cs="Arial" w:eastAsia="Arial" w:hAnsi="Arial"/>
          <w:b/>
          <w:bCs/>
          <w:color w:val="1A2332"/>
          <w:sz w:val="20"/>
          <w:szCs w:val="20"/>
        </w:rPr>
        <w:t xml:space="preserve">estate.wills.probate.desc: </w:t>
      </w:r>
      <w:r>
        <w:rPr>
          <w:rFonts w:ascii="Arial" w:cs="Arial" w:eastAsia="Arial" w:hAnsi="Arial"/>
          <w:color w:val="333333"/>
          <w:sz w:val="20"/>
          <w:szCs w:val="20"/>
        </w:rPr>
        <w:t xml:space="preserve">Representing heirs in obtaining a Probate Order (Kiyum Tzava'a) where a valid will exists, or a Succession Order (Tzvav Yerusha) where no will was left, through the Registrar of Inheritance or the Family Court.</w:t>
      </w:r>
    </w:p>
    <w:p>
      <w:pPr>
        <w:spacing w:before="50"/>
      </w:pPr>
    </w:p>
    <w:p>
      <w:pPr>
        <w:spacing w:after="180" w:line="300"/>
      </w:pPr>
      <w:r>
        <w:rPr>
          <w:rFonts w:ascii="Arial" w:cs="Arial" w:eastAsia="Arial" w:hAnsi="Arial"/>
          <w:b/>
          <w:bCs/>
          <w:color w:val="1A2332"/>
          <w:sz w:val="20"/>
          <w:szCs w:val="20"/>
        </w:rPr>
        <w:t xml:space="preserve">estate.wills.conflict.title: </w:t>
      </w:r>
      <w:r>
        <w:rPr>
          <w:rFonts w:ascii="Arial" w:cs="Arial" w:eastAsia="Arial" w:hAnsi="Arial"/>
          <w:color w:val="333333"/>
          <w:sz w:val="20"/>
          <w:szCs w:val="20"/>
        </w:rPr>
        <w:t xml:space="preserve">Minimising Conflict</w:t>
      </w:r>
    </w:p>
    <w:p>
      <w:pPr>
        <w:spacing w:after="180" w:line="300"/>
      </w:pPr>
      <w:r>
        <w:rPr>
          <w:rFonts w:ascii="Arial" w:cs="Arial" w:eastAsia="Arial" w:hAnsi="Arial"/>
          <w:b/>
          <w:bCs/>
          <w:color w:val="1A2332"/>
          <w:sz w:val="20"/>
          <w:szCs w:val="20"/>
        </w:rPr>
        <w:t xml:space="preserve">estate.wills.conflict.desc: </w:t>
      </w:r>
      <w:r>
        <w:rPr>
          <w:rFonts w:ascii="Arial" w:cs="Arial" w:eastAsia="Arial" w:hAnsi="Arial"/>
          <w:color w:val="333333"/>
          <w:sz w:val="20"/>
          <w:szCs w:val="20"/>
        </w:rPr>
        <w:t xml:space="preserve">Clear, unambiguous drafting that reduces the scope for interpretation disputes among beneficiaries. Where family dynamics are sensitive, the firm structures instruments to limit the grounds for challenge.</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Enduring Power of Attorney</w:t>
      </w:r>
    </w:p>
    <w:p>
      <w:pPr>
        <w:spacing w:after="180" w:line="300"/>
      </w:pPr>
      <w:r>
        <w:rPr>
          <w:rFonts w:ascii="Arial" w:cs="Arial" w:eastAsia="Arial" w:hAnsi="Arial"/>
          <w:b/>
          <w:bCs/>
          <w:color w:val="1A2332"/>
          <w:sz w:val="20"/>
          <w:szCs w:val="20"/>
        </w:rPr>
        <w:t xml:space="preserve">estate.epa.title: </w:t>
      </w:r>
      <w:r>
        <w:rPr>
          <w:rFonts w:ascii="Arial" w:cs="Arial" w:eastAsia="Arial" w:hAnsi="Arial"/>
          <w:color w:val="333333"/>
          <w:sz w:val="20"/>
          <w:szCs w:val="20"/>
        </w:rPr>
        <w:t xml:space="preserve">Enduring Power of Attorney</w:t>
      </w:r>
    </w:p>
    <w:p>
      <w:pPr>
        <w:spacing w:after="180" w:line="300"/>
      </w:pPr>
      <w:r>
        <w:rPr>
          <w:rFonts w:ascii="Arial" w:cs="Arial" w:eastAsia="Arial" w:hAnsi="Arial"/>
          <w:b/>
          <w:bCs/>
          <w:color w:val="1A2332"/>
          <w:sz w:val="20"/>
          <w:szCs w:val="20"/>
        </w:rPr>
        <w:t xml:space="preserve">estate.epa.body: </w:t>
      </w:r>
      <w:r>
        <w:rPr>
          <w:rFonts w:ascii="Arial" w:cs="Arial" w:eastAsia="Arial" w:hAnsi="Arial"/>
          <w:color w:val="333333"/>
          <w:sz w:val="20"/>
          <w:szCs w:val="20"/>
        </w:rPr>
        <w:t xml:space="preserve">An Enduring Power of Attorney (EPA) is a forward-looking legal instrument that allows you to designate trusted individuals to manage your personal, medical, and financial affairs in Israel should you become unable to do so. Unlike court-appointed guardianship, an EPA enables you to define the scope of authority, the identity of your representatives, and the conditions under which the instrument takes effect.</w:t>
      </w:r>
    </w:p>
    <w:p>
      <w:pPr>
        <w:spacing w:after="180" w:line="300"/>
      </w:pPr>
      <w:r>
        <w:rPr>
          <w:rFonts w:ascii="Arial" w:cs="Arial" w:eastAsia="Arial" w:hAnsi="Arial"/>
          <w:b/>
          <w:bCs/>
          <w:color w:val="1A2332"/>
          <w:sz w:val="20"/>
          <w:szCs w:val="20"/>
        </w:rPr>
        <w:t xml:space="preserve">estate.epa.body2: </w:t>
      </w:r>
      <w:r>
        <w:rPr>
          <w:rFonts w:ascii="Arial" w:cs="Arial" w:eastAsia="Arial" w:hAnsi="Arial"/>
          <w:color w:val="333333"/>
          <w:sz w:val="20"/>
          <w:szCs w:val="20"/>
        </w:rPr>
        <w:t xml:space="preserve">The firm prepares comprehensive, court-compliant EPA documents that preserve your autonomy, reflect your intentions, and provide your family with clear instructions for a situation that most people prefer to plan for in advance rather than leave to judicial discretion.</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Planning Process</w:t>
      </w:r>
    </w:p>
    <w:p>
      <w:pPr>
        <w:spacing w:after="180" w:line="300"/>
      </w:pPr>
      <w:r>
        <w:rPr>
          <w:rFonts w:ascii="Arial" w:cs="Arial" w:eastAsia="Arial" w:hAnsi="Arial"/>
          <w:b/>
          <w:bCs/>
          <w:color w:val="1A2332"/>
          <w:sz w:val="20"/>
          <w:szCs w:val="20"/>
        </w:rPr>
        <w:t xml:space="preserve">estate.process.title: </w:t>
      </w:r>
      <w:r>
        <w:rPr>
          <w:rFonts w:ascii="Arial" w:cs="Arial" w:eastAsia="Arial" w:hAnsi="Arial"/>
          <w:color w:val="333333"/>
          <w:sz w:val="20"/>
          <w:szCs w:val="20"/>
        </w:rPr>
        <w:t xml:space="preserve">How We Work</w:t>
      </w:r>
    </w:p>
    <w:p>
      <w:pPr>
        <w:spacing w:before="50"/>
      </w:pPr>
    </w:p>
    <w:p>
      <w:pPr>
        <w:spacing w:after="180" w:line="300"/>
      </w:pPr>
      <w:r>
        <w:rPr>
          <w:rFonts w:ascii="Arial" w:cs="Arial" w:eastAsia="Arial" w:hAnsi="Arial"/>
          <w:b/>
          <w:bCs/>
          <w:color w:val="1A2332"/>
          <w:sz w:val="20"/>
          <w:szCs w:val="20"/>
        </w:rPr>
        <w:t xml:space="preserve">estate.process.step1.title: </w:t>
      </w:r>
      <w:r>
        <w:rPr>
          <w:rFonts w:ascii="Arial" w:cs="Arial" w:eastAsia="Arial" w:hAnsi="Arial"/>
          <w:color w:val="333333"/>
          <w:sz w:val="20"/>
          <w:szCs w:val="20"/>
        </w:rPr>
        <w:t xml:space="preserve">Discovery and Mapping</w:t>
      </w:r>
    </w:p>
    <w:p>
      <w:pPr>
        <w:spacing w:after="180" w:line="300"/>
      </w:pPr>
      <w:r>
        <w:rPr>
          <w:rFonts w:ascii="Arial" w:cs="Arial" w:eastAsia="Arial" w:hAnsi="Arial"/>
          <w:b/>
          <w:bCs/>
          <w:color w:val="1A2332"/>
          <w:sz w:val="20"/>
          <w:szCs w:val="20"/>
        </w:rPr>
        <w:t xml:space="preserve">estate.process.step1.desc: </w:t>
      </w:r>
      <w:r>
        <w:rPr>
          <w:rFonts w:ascii="Arial" w:cs="Arial" w:eastAsia="Arial" w:hAnsi="Arial"/>
          <w:color w:val="333333"/>
          <w:sz w:val="20"/>
          <w:szCs w:val="20"/>
        </w:rPr>
        <w:t xml:space="preserve">We identify and map the client's assets, jurisdictions, beneficiaries, and family dynamics to understand the full legal and financial picture.</w:t>
      </w:r>
    </w:p>
    <w:p>
      <w:pPr>
        <w:spacing w:before="50"/>
      </w:pPr>
    </w:p>
    <w:p>
      <w:pPr>
        <w:spacing w:after="180" w:line="300"/>
      </w:pPr>
      <w:r>
        <w:rPr>
          <w:rFonts w:ascii="Arial" w:cs="Arial" w:eastAsia="Arial" w:hAnsi="Arial"/>
          <w:b/>
          <w:bCs/>
          <w:color w:val="1A2332"/>
          <w:sz w:val="20"/>
          <w:szCs w:val="20"/>
        </w:rPr>
        <w:t xml:space="preserve">estate.process.step2.title: </w:t>
      </w:r>
      <w:r>
        <w:rPr>
          <w:rFonts w:ascii="Arial" w:cs="Arial" w:eastAsia="Arial" w:hAnsi="Arial"/>
          <w:color w:val="333333"/>
          <w:sz w:val="20"/>
          <w:szCs w:val="20"/>
        </w:rPr>
        <w:t xml:space="preserve">Strategy and Structure</w:t>
      </w:r>
    </w:p>
    <w:p>
      <w:pPr>
        <w:spacing w:after="180" w:line="300"/>
      </w:pPr>
      <w:r>
        <w:rPr>
          <w:rFonts w:ascii="Arial" w:cs="Arial" w:eastAsia="Arial" w:hAnsi="Arial"/>
          <w:b/>
          <w:bCs/>
          <w:color w:val="1A2332"/>
          <w:sz w:val="20"/>
          <w:szCs w:val="20"/>
        </w:rPr>
        <w:t xml:space="preserve">estate.process.step2.desc: </w:t>
      </w:r>
      <w:r>
        <w:rPr>
          <w:rFonts w:ascii="Arial" w:cs="Arial" w:eastAsia="Arial" w:hAnsi="Arial"/>
          <w:color w:val="333333"/>
          <w:sz w:val="20"/>
          <w:szCs w:val="20"/>
        </w:rPr>
        <w:t xml:space="preserve">We propose a structure consisting of documents and coordination steps aligned with the client's objectives and the requirements of each jurisdiction involved.</w:t>
      </w:r>
    </w:p>
    <w:p>
      <w:pPr>
        <w:spacing w:before="50"/>
      </w:pPr>
    </w:p>
    <w:p>
      <w:pPr>
        <w:spacing w:after="180" w:line="300"/>
      </w:pPr>
      <w:r>
        <w:rPr>
          <w:rFonts w:ascii="Arial" w:cs="Arial" w:eastAsia="Arial" w:hAnsi="Arial"/>
          <w:b/>
          <w:bCs/>
          <w:color w:val="1A2332"/>
          <w:sz w:val="20"/>
          <w:szCs w:val="20"/>
        </w:rPr>
        <w:t xml:space="preserve">estate.process.step3.title: </w:t>
      </w:r>
      <w:r>
        <w:rPr>
          <w:rFonts w:ascii="Arial" w:cs="Arial" w:eastAsia="Arial" w:hAnsi="Arial"/>
          <w:color w:val="333333"/>
          <w:sz w:val="20"/>
          <w:szCs w:val="20"/>
        </w:rPr>
        <w:t xml:space="preserve">Drafting and Execution</w:t>
      </w:r>
    </w:p>
    <w:p>
      <w:pPr>
        <w:spacing w:after="180" w:line="300"/>
      </w:pPr>
      <w:r>
        <w:rPr>
          <w:rFonts w:ascii="Arial" w:cs="Arial" w:eastAsia="Arial" w:hAnsi="Arial"/>
          <w:b/>
          <w:bCs/>
          <w:color w:val="1A2332"/>
          <w:sz w:val="20"/>
          <w:szCs w:val="20"/>
        </w:rPr>
        <w:t xml:space="preserve">estate.process.step3.desc: </w:t>
      </w:r>
      <w:r>
        <w:rPr>
          <w:rFonts w:ascii="Arial" w:cs="Arial" w:eastAsia="Arial" w:hAnsi="Arial"/>
          <w:color w:val="333333"/>
          <w:sz w:val="20"/>
          <w:szCs w:val="20"/>
        </w:rPr>
        <w:t xml:space="preserve">Documents are drafted bilingually where required and executed in the form prescribed by Israeli law. For clients abroad, execution can take place at a consulate or before a notary with apostille.</w:t>
      </w:r>
    </w:p>
    <w:p>
      <w:pPr>
        <w:spacing w:before="50"/>
      </w:pPr>
    </w:p>
    <w:p>
      <w:pPr>
        <w:spacing w:after="180" w:line="300"/>
      </w:pPr>
      <w:r>
        <w:rPr>
          <w:rFonts w:ascii="Arial" w:cs="Arial" w:eastAsia="Arial" w:hAnsi="Arial"/>
          <w:b/>
          <w:bCs/>
          <w:color w:val="1A2332"/>
          <w:sz w:val="20"/>
          <w:szCs w:val="20"/>
        </w:rPr>
        <w:t xml:space="preserve">estate.process.step4.title: </w:t>
      </w:r>
      <w:r>
        <w:rPr>
          <w:rFonts w:ascii="Arial" w:cs="Arial" w:eastAsia="Arial" w:hAnsi="Arial"/>
          <w:color w:val="333333"/>
          <w:sz w:val="20"/>
          <w:szCs w:val="20"/>
        </w:rPr>
        <w:t xml:space="preserve">Safekeeping and Guidance</w:t>
      </w:r>
    </w:p>
    <w:p>
      <w:pPr>
        <w:spacing w:after="180" w:line="300"/>
      </w:pPr>
      <w:r>
        <w:rPr>
          <w:rFonts w:ascii="Arial" w:cs="Arial" w:eastAsia="Arial" w:hAnsi="Arial"/>
          <w:b/>
          <w:bCs/>
          <w:color w:val="1A2332"/>
          <w:sz w:val="20"/>
          <w:szCs w:val="20"/>
        </w:rPr>
        <w:t xml:space="preserve">estate.process.step4.desc: </w:t>
      </w:r>
      <w:r>
        <w:rPr>
          <w:rFonts w:ascii="Arial" w:cs="Arial" w:eastAsia="Arial" w:hAnsi="Arial"/>
          <w:color w:val="333333"/>
          <w:sz w:val="20"/>
          <w:szCs w:val="20"/>
        </w:rPr>
        <w:t xml:space="preserve">The firm provides instructions for secure storage and practical guidance for executors on future activation, so that the plan works when it is needed.</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Tax Considerations</w:t>
      </w:r>
    </w:p>
    <w:p>
      <w:pPr>
        <w:spacing w:after="180" w:line="300"/>
      </w:pPr>
      <w:r>
        <w:rPr>
          <w:rFonts w:ascii="Arial" w:cs="Arial" w:eastAsia="Arial" w:hAnsi="Arial"/>
          <w:b/>
          <w:bCs/>
          <w:color w:val="1A2332"/>
          <w:sz w:val="20"/>
          <w:szCs w:val="20"/>
        </w:rPr>
        <w:t xml:space="preserve">estate.tax.title: </w:t>
      </w:r>
      <w:r>
        <w:rPr>
          <w:rFonts w:ascii="Arial" w:cs="Arial" w:eastAsia="Arial" w:hAnsi="Arial"/>
          <w:color w:val="333333"/>
          <w:sz w:val="20"/>
          <w:szCs w:val="20"/>
        </w:rPr>
        <w:t xml:space="preserve">Tax Considerations for Cross-Border Estates</w:t>
      </w:r>
    </w:p>
    <w:p>
      <w:pPr>
        <w:spacing w:after="180" w:line="300"/>
      </w:pPr>
      <w:r>
        <w:rPr>
          <w:rFonts w:ascii="Arial" w:cs="Arial" w:eastAsia="Arial" w:hAnsi="Arial"/>
          <w:b/>
          <w:bCs/>
          <w:color w:val="1A2332"/>
          <w:sz w:val="20"/>
          <w:szCs w:val="20"/>
        </w:rPr>
        <w:t xml:space="preserve">estate.tax.body: </w:t>
      </w:r>
      <w:r>
        <w:rPr>
          <w:rFonts w:ascii="Arial" w:cs="Arial" w:eastAsia="Arial" w:hAnsi="Arial"/>
          <w:color w:val="333333"/>
          <w:sz w:val="20"/>
          <w:szCs w:val="20"/>
        </w:rPr>
        <w:t xml:space="preserve">Israel's tax treatment of inheritance and lifetime transfers differs from that of many Western jurisdictions. Transferring assets, whether during one's lifetime or after death, may trigger tax events that vary depending on the nature of the asset, the residency of the parties, and the timing of the transfer.</w:t>
      </w:r>
    </w:p>
    <w:p>
      <w:pPr>
        <w:spacing w:after="180" w:line="300"/>
      </w:pPr>
      <w:r>
        <w:rPr>
          <w:rFonts w:ascii="Arial" w:cs="Arial" w:eastAsia="Arial" w:hAnsi="Arial"/>
          <w:b/>
          <w:bCs/>
          <w:color w:val="1A2332"/>
          <w:sz w:val="20"/>
          <w:szCs w:val="20"/>
        </w:rPr>
        <w:t xml:space="preserve">estate.tax.body2: </w:t>
      </w:r>
      <w:r>
        <w:rPr>
          <w:rFonts w:ascii="Arial" w:cs="Arial" w:eastAsia="Arial" w:hAnsi="Arial"/>
          <w:color w:val="333333"/>
          <w:sz w:val="20"/>
          <w:szCs w:val="20"/>
        </w:rPr>
        <w:t xml:space="preserve">The firm identifies potential tax exposure at the outset and coordinates with relevant advisors in other jurisdictions where needed. The objective is to structure the estate in a way that reduces avoidable liability and protects the value of the legacy passing to the next generation.</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Prenuptial and Postnuptial Agreements</w:t>
      </w:r>
    </w:p>
    <w:p>
      <w:pPr>
        <w:spacing w:after="180" w:line="300"/>
      </w:pPr>
      <w:r>
        <w:rPr>
          <w:rFonts w:ascii="Arial" w:cs="Arial" w:eastAsia="Arial" w:hAnsi="Arial"/>
          <w:b/>
          <w:bCs/>
          <w:color w:val="1A2332"/>
          <w:sz w:val="20"/>
          <w:szCs w:val="20"/>
        </w:rPr>
        <w:t xml:space="preserve">estate.financial.title: </w:t>
      </w:r>
      <w:r>
        <w:rPr>
          <w:rFonts w:ascii="Arial" w:cs="Arial" w:eastAsia="Arial" w:hAnsi="Arial"/>
          <w:color w:val="333333"/>
          <w:sz w:val="20"/>
          <w:szCs w:val="20"/>
        </w:rPr>
        <w:t xml:space="preserve">Prenuptial and Postnuptial Agreements</w:t>
      </w:r>
    </w:p>
    <w:p>
      <w:pPr>
        <w:spacing w:after="180" w:line="300"/>
      </w:pPr>
      <w:r>
        <w:rPr>
          <w:rFonts w:ascii="Arial" w:cs="Arial" w:eastAsia="Arial" w:hAnsi="Arial"/>
          <w:b/>
          <w:bCs/>
          <w:color w:val="1A2332"/>
          <w:sz w:val="20"/>
          <w:szCs w:val="20"/>
        </w:rPr>
        <w:t xml:space="preserve">estate.financial.body: </w:t>
      </w:r>
      <w:r>
        <w:rPr>
          <w:rFonts w:ascii="Arial" w:cs="Arial" w:eastAsia="Arial" w:hAnsi="Arial"/>
          <w:color w:val="333333"/>
          <w:sz w:val="20"/>
          <w:szCs w:val="20"/>
        </w:rPr>
        <w:t xml:space="preserve">For international couples, the firm prepares bilingual agreements in English and Hebrew that address property ownership, financial arrangements, and asset protection across borders. Each agreement is drafted with precision and, where required, approved by a court or notary to ensure enforceability under Israeli law.</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FAQ Section</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A2332" w:val="clear"/>
            <w:tcMar>
              <w:top w:type="dxa" w:w="120"/>
              <w:left w:type="dxa" w:w="200"/>
              <w:bottom w:type="dxa" w:w="120"/>
              <w:right w:type="dxa" w:w="200"/>
            </w:tcMar>
          </w:tcPr>
          <w:p>
            <w:r>
              <w:rPr>
                <w:rFonts w:ascii="Arial" w:cs="Arial" w:eastAsia="Arial" w:hAnsi="Arial"/>
                <w:b/>
                <w:bCs/>
                <w:color w:val="FFFFFF"/>
                <w:sz w:val="20"/>
                <w:szCs w:val="20"/>
              </w:rPr>
              <w:t xml:space="preserve">Do I need a separate will for my Israeli assets?</w:t>
            </w:r>
          </w:p>
        </w:tc>
      </w:tr>
      <w:tr>
        <w:tc>
          <w:tcPr>
            <w:tcW w:type="dxa" w:w="9360"/>
            <w:tcBorders>
              <w:top w:val="single" w:color="D0D0D0" w:sz="1"/>
              <w:left w:val="single" w:color="D0D0D0" w:sz="1"/>
              <w:bottom w:val="single" w:color="D0D0D0" w:sz="1"/>
              <w:right w:val="single" w:color="D0D0D0" w:sz="1"/>
            </w:tcBorders>
            <w:tcMar>
              <w:top w:type="dxa" w:w="120"/>
              <w:left w:type="dxa" w:w="200"/>
              <w:bottom w:type="dxa" w:w="120"/>
              <w:right w:type="dxa" w:w="200"/>
            </w:tcMar>
          </w:tcPr>
          <w:p>
            <w:pPr>
              <w:spacing w:line="300"/>
            </w:pPr>
            <w:r>
              <w:rPr>
                <w:rFonts w:ascii="Arial" w:cs="Arial" w:eastAsia="Arial" w:hAnsi="Arial"/>
                <w:color w:val="333333"/>
                <w:sz w:val="20"/>
                <w:szCs w:val="20"/>
              </w:rPr>
              <w:t xml:space="preserve">In many cross-border situations, a dedicated Israel-focused will can significantly reduce procedural friction and processing time for assets located in Israel. While foreign wills can often be validated here, the process is procedurally more complex and slower. The firm advises on whether a separate instrument is warranted based on the client's specific asset profile and jurisdictional exposure.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A2332" w:val="clear"/>
            <w:tcMar>
              <w:top w:type="dxa" w:w="120"/>
              <w:left w:type="dxa" w:w="200"/>
              <w:bottom w:type="dxa" w:w="120"/>
              <w:right w:type="dxa" w:w="200"/>
            </w:tcMar>
          </w:tcPr>
          <w:p>
            <w:r>
              <w:rPr>
                <w:rFonts w:ascii="Arial" w:cs="Arial" w:eastAsia="Arial" w:hAnsi="Arial"/>
                <w:b/>
                <w:bCs/>
                <w:color w:val="FFFFFF"/>
                <w:sz w:val="20"/>
                <w:szCs w:val="20"/>
              </w:rPr>
              <w:t xml:space="preserve">Can I appoint a foreign resident as my executor?</w:t>
            </w:r>
          </w:p>
        </w:tc>
      </w:tr>
      <w:tr>
        <w:tc>
          <w:tcPr>
            <w:tcW w:type="dxa" w:w="9360"/>
            <w:tcBorders>
              <w:top w:val="single" w:color="D0D0D0" w:sz="1"/>
              <w:left w:val="single" w:color="D0D0D0" w:sz="1"/>
              <w:bottom w:val="single" w:color="D0D0D0" w:sz="1"/>
              <w:right w:val="single" w:color="D0D0D0" w:sz="1"/>
            </w:tcBorders>
            <w:tcMar>
              <w:top w:type="dxa" w:w="120"/>
              <w:left w:type="dxa" w:w="200"/>
              <w:bottom w:type="dxa" w:w="120"/>
              <w:right w:type="dxa" w:w="200"/>
            </w:tcMar>
          </w:tcPr>
          <w:p>
            <w:pPr>
              <w:spacing w:line="300"/>
            </w:pPr>
            <w:r>
              <w:rPr>
                <w:rFonts w:ascii="Arial" w:cs="Arial" w:eastAsia="Arial" w:hAnsi="Arial"/>
                <w:color w:val="333333"/>
                <w:sz w:val="20"/>
                <w:szCs w:val="20"/>
              </w:rPr>
              <w:t xml:space="preserve">Yes, although it involves specific procedural requirements and practical considerations. A foreign-resident executor may face challenges in managing day-to-day matters with Israeli banks, the Land Registry, and other institutions. The firm advises clients on the practical implications and, where appropriate, recommends appointing a local co-executor or representative.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A2332" w:val="clear"/>
            <w:tcMar>
              <w:top w:type="dxa" w:w="120"/>
              <w:left w:type="dxa" w:w="200"/>
              <w:bottom w:type="dxa" w:w="120"/>
              <w:right w:type="dxa" w:w="200"/>
            </w:tcMar>
          </w:tcPr>
          <w:p>
            <w:r>
              <w:rPr>
                <w:rFonts w:ascii="Arial" w:cs="Arial" w:eastAsia="Arial" w:hAnsi="Arial"/>
                <w:b/>
                <w:bCs/>
                <w:color w:val="FFFFFF"/>
                <w:sz w:val="20"/>
                <w:szCs w:val="20"/>
              </w:rPr>
              <w:t xml:space="preserve">What is the difference between a Succession Order and a Probate Order?</w:t>
            </w:r>
          </w:p>
        </w:tc>
      </w:tr>
      <w:tr>
        <w:tc>
          <w:tcPr>
            <w:tcW w:type="dxa" w:w="9360"/>
            <w:tcBorders>
              <w:top w:val="single" w:color="D0D0D0" w:sz="1"/>
              <w:left w:val="single" w:color="D0D0D0" w:sz="1"/>
              <w:bottom w:val="single" w:color="D0D0D0" w:sz="1"/>
              <w:right w:val="single" w:color="D0D0D0" w:sz="1"/>
            </w:tcBorders>
            <w:tcMar>
              <w:top w:type="dxa" w:w="120"/>
              <w:left w:type="dxa" w:w="200"/>
              <w:bottom w:type="dxa" w:w="120"/>
              <w:right w:type="dxa" w:w="200"/>
            </w:tcMar>
          </w:tcPr>
          <w:p>
            <w:pPr>
              <w:spacing w:line="300"/>
            </w:pPr>
            <w:r>
              <w:rPr>
                <w:rFonts w:ascii="Arial" w:cs="Arial" w:eastAsia="Arial" w:hAnsi="Arial"/>
                <w:color w:val="333333"/>
                <w:sz w:val="20"/>
                <w:szCs w:val="20"/>
              </w:rPr>
              <w:t xml:space="preserve">A Probate Order (Tzvav Kiyum Tzava'a) is issued when the deceased left a valid will and the court or Registrar confirms its validity. A Succession Order (Tzvav Yerusha) is issued when no valid will exists, in which case assets are distributed according to the rules of intestate succession under Israeli law.</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1A2332" w:val="clear"/>
            <w:tcMar>
              <w:top w:type="dxa" w:w="120"/>
              <w:left w:type="dxa" w:w="200"/>
              <w:bottom w:type="dxa" w:w="120"/>
              <w:right w:type="dxa" w:w="200"/>
            </w:tcMar>
          </w:tcPr>
          <w:p>
            <w:r>
              <w:rPr>
                <w:rFonts w:ascii="Arial" w:cs="Arial" w:eastAsia="Arial" w:hAnsi="Arial"/>
                <w:b/>
                <w:bCs/>
                <w:color w:val="FFFFFF"/>
                <w:sz w:val="20"/>
                <w:szCs w:val="20"/>
              </w:rPr>
              <w:t xml:space="preserve">Can probate proceedings be managed remotely?</w:t>
            </w:r>
          </w:p>
        </w:tc>
      </w:tr>
      <w:tr>
        <w:tc>
          <w:tcPr>
            <w:tcW w:type="dxa" w:w="9360"/>
            <w:tcBorders>
              <w:top w:val="single" w:color="D0D0D0" w:sz="1"/>
              <w:left w:val="single" w:color="D0D0D0" w:sz="1"/>
              <w:bottom w:val="single" w:color="D0D0D0" w:sz="1"/>
              <w:right w:val="single" w:color="D0D0D0" w:sz="1"/>
            </w:tcBorders>
            <w:tcMar>
              <w:top w:type="dxa" w:w="120"/>
              <w:left w:type="dxa" w:w="200"/>
              <w:bottom w:type="dxa" w:w="120"/>
              <w:right w:type="dxa" w:w="200"/>
            </w:tcMar>
          </w:tcPr>
          <w:p>
            <w:pPr>
              <w:spacing w:line="300"/>
            </w:pPr>
            <w:r>
              <w:rPr>
                <w:rFonts w:ascii="Arial" w:cs="Arial" w:eastAsia="Arial" w:hAnsi="Arial"/>
                <w:color w:val="333333"/>
                <w:sz w:val="20"/>
                <w:szCs w:val="20"/>
              </w:rPr>
              <w:t xml:space="preserve">Yes. The firm handles the entire process with the Registrar of Inheritance or the Family Court, as well as coordination with banks and the Land Registry, through a power of attorney. The client is not required to be physically present in Israel to obtain the order or to administer the estate.</w:t>
            </w:r>
          </w:p>
        </w:tc>
      </w:tr>
    </w:tbl>
    <w:p>
      <w:pPr>
        <w:spacing w:before="100"/>
      </w:pPr>
    </w:p>
    <w:p>
      <w:pPr>
        <w:pBdr>
          <w:bottom w:val="single" w:color="2E75B6" w:sz="2" w:space="4"/>
        </w:pBdr>
        <w:spacing w:before="300" w:after="150"/>
      </w:pPr>
      <w:r>
        <w:rPr>
          <w:rFonts w:ascii="Arial" w:cs="Arial" w:eastAsia="Arial" w:hAnsi="Arial"/>
          <w:b/>
          <w:bCs/>
          <w:color w:val="2E75B6"/>
          <w:sz w:val="24"/>
          <w:szCs w:val="24"/>
        </w:rPr>
        <w:t xml:space="preserve">CTA Section</w:t>
      </w:r>
    </w:p>
    <w:p>
      <w:pPr>
        <w:spacing w:after="180" w:line="300"/>
      </w:pPr>
      <w:r>
        <w:rPr>
          <w:rFonts w:ascii="Arial" w:cs="Arial" w:eastAsia="Arial" w:hAnsi="Arial"/>
          <w:b/>
          <w:bCs/>
          <w:color w:val="1A2332"/>
          <w:sz w:val="20"/>
          <w:szCs w:val="20"/>
        </w:rPr>
        <w:t xml:space="preserve">estate.cta.title: </w:t>
      </w:r>
      <w:r>
        <w:rPr>
          <w:rFonts w:ascii="Arial" w:cs="Arial" w:eastAsia="Arial" w:hAnsi="Arial"/>
          <w:color w:val="333333"/>
          <w:sz w:val="20"/>
          <w:szCs w:val="20"/>
        </w:rPr>
        <w:t xml:space="preserve">Planning That Protects What Matters</w:t>
      </w:r>
    </w:p>
    <w:p>
      <w:pPr>
        <w:spacing w:after="180" w:line="300"/>
      </w:pPr>
      <w:r>
        <w:rPr>
          <w:rFonts w:ascii="Arial" w:cs="Arial" w:eastAsia="Arial" w:hAnsi="Arial"/>
          <w:b/>
          <w:bCs/>
          <w:color w:val="1A2332"/>
          <w:sz w:val="20"/>
          <w:szCs w:val="20"/>
        </w:rPr>
        <w:t xml:space="preserve">estate.cta.body: </w:t>
      </w:r>
      <w:r>
        <w:rPr>
          <w:rFonts w:ascii="Arial" w:cs="Arial" w:eastAsia="Arial" w:hAnsi="Arial"/>
          <w:color w:val="333333"/>
          <w:sz w:val="20"/>
          <w:szCs w:val="20"/>
        </w:rPr>
        <w:t xml:space="preserve">Structured legal planning that supports your interests today and safeguards your family's position over time. Inquiries welcome in English and Hebrew.</w:t>
      </w:r>
    </w:p>
    <w:p>
      <w:pPr>
        <w:spacing w:after="180" w:line="300"/>
      </w:pPr>
      <w:r>
        <w:rPr>
          <w:rFonts w:ascii="Arial" w:cs="Arial" w:eastAsia="Arial" w:hAnsi="Arial"/>
          <w:b/>
          <w:bCs/>
          <w:color w:val="1A2332"/>
          <w:sz w:val="20"/>
          <w:szCs w:val="20"/>
        </w:rPr>
        <w:t xml:space="preserve">estate.cta.button: </w:t>
      </w:r>
      <w:r>
        <w:rPr>
          <w:rFonts w:ascii="Arial" w:cs="Arial" w:eastAsia="Arial" w:hAnsi="Arial"/>
          <w:color w:val="333333"/>
          <w:sz w:val="20"/>
          <w:szCs w:val="20"/>
        </w:rPr>
        <w:t xml:space="preserve">Schedule a Consultation</w:t>
      </w:r>
    </w:p>
    <w:p>
      <w:pPr>
        <w:spacing w:after="180" w:line="300"/>
      </w:pPr>
      <w:r>
        <w:rPr>
          <w:rFonts w:ascii="Arial" w:cs="Arial" w:eastAsia="Arial" w:hAnsi="Arial"/>
          <w:b/>
          <w:bCs/>
          <w:color w:val="1A2332"/>
          <w:sz w:val="20"/>
          <w:szCs w:val="20"/>
        </w:rPr>
        <w:t xml:space="preserve">estate.cta.note: </w:t>
      </w:r>
      <w:r>
        <w:rPr>
          <w:rFonts w:ascii="Arial" w:cs="Arial" w:eastAsia="Arial" w:hAnsi="Arial"/>
          <w:color w:val="333333"/>
          <w:sz w:val="20"/>
          <w:szCs w:val="20"/>
        </w:rPr>
        <w:t xml:space="preserve">Response within one to two business days.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2332" w:val="clear"/>
            <w:tcMar>
              <w:top w:type="dxa" w:w="200"/>
              <w:left w:type="dxa" w:w="300"/>
              <w:bottom w:type="dxa" w:w="200"/>
              <w:right w:type="dxa" w:w="300"/>
            </w:tcMar>
          </w:tcPr>
          <w:p>
            <w:pPr>
              <w:jc w:val="left"/>
            </w:pPr>
            <w:r>
              <w:rPr>
                <w:rFonts w:ascii="Arial" w:cs="Arial" w:eastAsia="Arial" w:hAnsi="Arial"/>
                <w:b/>
                <w:bCs/>
                <w:color w:val="FFFFFF"/>
                <w:sz w:val="28"/>
                <w:szCs w:val="28"/>
              </w:rPr>
              <w:t xml:space="preserve">PAGE 4: COMMERCIAL AND CIVIL</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1A2332"/>
                <w:sz w:val="20"/>
                <w:szCs w:val="20"/>
              </w:rPr>
              <w:t xml:space="preserve">URL:</w:t>
            </w:r>
          </w:p>
        </w:tc>
        <w:tc>
          <w:tcPr>
            <w:tcW w:type="dxa" w:w="6960"/>
            <w:tcBorders>
              <w:top w:val="none" w:sz="0"/>
              <w:left w:val="none" w:sz="0"/>
              <w:bottom w:val="none" w:sz="0"/>
              <w:right w:val="none" w:sz="0"/>
            </w:tcBorders>
            <w:tcMar>
              <w:top w:type="dxa" w:w="60"/>
              <w:left w:type="dxa" w:w="120"/>
              <w:bottom w:type="dxa" w:w="60"/>
              <w:right w:type="dxa" w:w="0"/>
            </w:tcMar>
          </w:tcPr>
          <w:p>
            <w:pPr>
              <w:spacing w:line="276"/>
            </w:pPr>
            <w:r>
              <w:rPr>
                <w:rFonts w:ascii="Arial" w:cs="Arial" w:eastAsia="Arial" w:hAnsi="Arial"/>
                <w:color w:val="333333"/>
                <w:sz w:val="20"/>
                <w:szCs w:val="20"/>
              </w:rPr>
              <w:t xml:space="preserve">/en/commercial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1A2332"/>
                <w:sz w:val="20"/>
                <w:szCs w:val="20"/>
              </w:rPr>
              <w:t xml:space="preserve">Nav Label:</w:t>
            </w:r>
          </w:p>
        </w:tc>
        <w:tc>
          <w:tcPr>
            <w:tcW w:type="dxa" w:w="6960"/>
            <w:tcBorders>
              <w:top w:val="none" w:sz="0"/>
              <w:left w:val="none" w:sz="0"/>
              <w:bottom w:val="none" w:sz="0"/>
              <w:right w:val="none" w:sz="0"/>
            </w:tcBorders>
            <w:tcMar>
              <w:top w:type="dxa" w:w="60"/>
              <w:left w:type="dxa" w:w="120"/>
              <w:bottom w:type="dxa" w:w="60"/>
              <w:right w:type="dxa" w:w="0"/>
            </w:tcMar>
          </w:tcPr>
          <w:p>
            <w:pPr>
              <w:spacing w:line="276"/>
            </w:pPr>
            <w:r>
              <w:rPr>
                <w:rFonts w:ascii="Arial" w:cs="Arial" w:eastAsia="Arial" w:hAnsi="Arial"/>
                <w:color w:val="333333"/>
                <w:sz w:val="20"/>
                <w:szCs w:val="20"/>
              </w:rPr>
              <w:t xml:space="preserve">Commercial and Civil</w:t>
            </w:r>
          </w:p>
        </w:tc>
      </w:tr>
    </w:tbl>
    <w:p>
      <w:pPr>
        <w:spacing w:before="100"/>
      </w:pPr>
    </w:p>
    <w:p>
      <w:pPr>
        <w:pBdr>
          <w:bottom w:val="single" w:color="2E75B6" w:sz="2" w:space="4"/>
        </w:pBdr>
        <w:spacing w:before="300" w:after="150"/>
      </w:pPr>
      <w:r>
        <w:rPr>
          <w:rFonts w:ascii="Arial" w:cs="Arial" w:eastAsia="Arial" w:hAnsi="Arial"/>
          <w:b/>
          <w:bCs/>
          <w:color w:val="2E75B6"/>
          <w:sz w:val="24"/>
          <w:szCs w:val="24"/>
        </w:rPr>
        <w:t xml:space="preserve">Hero Section</w:t>
      </w:r>
    </w:p>
    <w:p>
      <w:pPr>
        <w:spacing w:after="180" w:line="300"/>
      </w:pPr>
      <w:r>
        <w:rPr>
          <w:rFonts w:ascii="Arial" w:cs="Arial" w:eastAsia="Arial" w:hAnsi="Arial"/>
          <w:b/>
          <w:bCs/>
          <w:color w:val="1A2332"/>
          <w:sz w:val="20"/>
          <w:szCs w:val="20"/>
        </w:rPr>
        <w:t xml:space="preserve">commercial.hero.title: </w:t>
      </w:r>
      <w:r>
        <w:rPr>
          <w:rFonts w:ascii="Arial" w:cs="Arial" w:eastAsia="Arial" w:hAnsi="Arial"/>
          <w:color w:val="333333"/>
          <w:sz w:val="20"/>
          <w:szCs w:val="20"/>
        </w:rPr>
        <w:t xml:space="preserve">Commercial and Civil</w:t>
      </w:r>
    </w:p>
    <w:p>
      <w:pPr>
        <w:spacing w:after="180" w:line="300"/>
      </w:pPr>
      <w:r>
        <w:rPr>
          <w:rFonts w:ascii="Arial" w:cs="Arial" w:eastAsia="Arial" w:hAnsi="Arial"/>
          <w:b/>
          <w:bCs/>
          <w:color w:val="1A2332"/>
          <w:sz w:val="20"/>
          <w:szCs w:val="20"/>
        </w:rPr>
        <w:t xml:space="preserve">commercial.hero.subtitle: </w:t>
      </w:r>
      <w:r>
        <w:rPr>
          <w:rFonts w:ascii="Arial" w:cs="Arial" w:eastAsia="Arial" w:hAnsi="Arial"/>
          <w:color w:val="333333"/>
          <w:sz w:val="20"/>
          <w:szCs w:val="20"/>
        </w:rPr>
        <w:t xml:space="preserve">Protecting business interests through disciplined contracts, structured risk allocation, and Israel-based representation for cross-border matters.</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Philosophy Section</w:t>
      </w:r>
    </w:p>
    <w:p>
      <w:pPr>
        <w:spacing w:after="180" w:line="300"/>
      </w:pPr>
      <w:r>
        <w:rPr>
          <w:rFonts w:ascii="Arial" w:cs="Arial" w:eastAsia="Arial" w:hAnsi="Arial"/>
          <w:b/>
          <w:bCs/>
          <w:color w:val="1A2332"/>
          <w:sz w:val="20"/>
          <w:szCs w:val="20"/>
        </w:rPr>
        <w:t xml:space="preserve">commercial.philosophy.title: </w:t>
      </w:r>
      <w:r>
        <w:rPr>
          <w:rFonts w:ascii="Arial" w:cs="Arial" w:eastAsia="Arial" w:hAnsi="Arial"/>
          <w:color w:val="333333"/>
          <w:sz w:val="20"/>
          <w:szCs w:val="20"/>
        </w:rPr>
        <w:t xml:space="preserve">Precision Before Disputes</w:t>
      </w:r>
    </w:p>
    <w:p>
      <w:pPr>
        <w:spacing w:after="180" w:line="300"/>
      </w:pPr>
      <w:r>
        <w:rPr>
          <w:rFonts w:ascii="Arial" w:cs="Arial" w:eastAsia="Arial" w:hAnsi="Arial"/>
          <w:b/>
          <w:bCs/>
          <w:color w:val="1A2332"/>
          <w:sz w:val="20"/>
          <w:szCs w:val="20"/>
        </w:rPr>
        <w:t xml:space="preserve">commercial.philosophy.body: </w:t>
      </w:r>
      <w:r>
        <w:rPr>
          <w:rFonts w:ascii="Arial" w:cs="Arial" w:eastAsia="Arial" w:hAnsi="Arial"/>
          <w:color w:val="333333"/>
          <w:sz w:val="20"/>
          <w:szCs w:val="20"/>
        </w:rPr>
        <w:t xml:space="preserve">In commercial engagements, the strength of your position depends on the quality of your contracts. Whether drafting a shareholders' agreement, negotiating an exit, or structuring a cross-border arrangement, the firm evaluates each matter through three lenses: contractual rights, financial exposure, and future enforceability.</w:t>
      </w:r>
    </w:p>
    <w:p>
      <w:pPr>
        <w:spacing w:after="180" w:line="300"/>
      </w:pPr>
      <w:r>
        <w:rPr>
          <w:rFonts w:ascii="Arial" w:cs="Arial" w:eastAsia="Arial" w:hAnsi="Arial"/>
          <w:b/>
          <w:bCs/>
          <w:color w:val="1A2332"/>
          <w:sz w:val="20"/>
          <w:szCs w:val="20"/>
        </w:rPr>
        <w:t xml:space="preserve">commercial.philosophy.body2: </w:t>
      </w:r>
      <w:r>
        <w:rPr>
          <w:rFonts w:ascii="Arial" w:cs="Arial" w:eastAsia="Arial" w:hAnsi="Arial"/>
          <w:color w:val="333333"/>
          <w:sz w:val="20"/>
          <w:szCs w:val="20"/>
        </w:rPr>
        <w:t xml:space="preserve">This approach reflects the firm's core discipline: legal analysis that is informed by financial understanding. Clients receive structured guidance that supports negotiation, dispute resolution, or formal proceedings, depending on what the matter requires.</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Core Services</w:t>
      </w:r>
    </w:p>
    <w:p>
      <w:pPr>
        <w:spacing w:after="180" w:line="300"/>
      </w:pPr>
      <w:r>
        <w:rPr>
          <w:rFonts w:ascii="Arial" w:cs="Arial" w:eastAsia="Arial" w:hAnsi="Arial"/>
          <w:b/>
          <w:bCs/>
          <w:color w:val="1A2332"/>
          <w:sz w:val="20"/>
          <w:szCs w:val="20"/>
        </w:rPr>
        <w:t xml:space="preserve">commercial.services.title: </w:t>
      </w:r>
      <w:r>
        <w:rPr>
          <w:rFonts w:ascii="Arial" w:cs="Arial" w:eastAsia="Arial" w:hAnsi="Arial"/>
          <w:color w:val="333333"/>
          <w:sz w:val="20"/>
          <w:szCs w:val="20"/>
        </w:rPr>
        <w:t xml:space="preserve">Core Services</w:t>
      </w:r>
    </w:p>
    <w:p>
      <w:pPr>
        <w:spacing w:before="50"/>
      </w:pPr>
    </w:p>
    <w:p>
      <w:pPr>
        <w:spacing w:after="180" w:line="300"/>
      </w:pPr>
      <w:r>
        <w:rPr>
          <w:rFonts w:ascii="Arial" w:cs="Arial" w:eastAsia="Arial" w:hAnsi="Arial"/>
          <w:b/>
          <w:bCs/>
          <w:color w:val="1A2332"/>
          <w:sz w:val="20"/>
          <w:szCs w:val="20"/>
        </w:rPr>
        <w:t xml:space="preserve">commercial.services.contracts.title: </w:t>
      </w:r>
      <w:r>
        <w:rPr>
          <w:rFonts w:ascii="Arial" w:cs="Arial" w:eastAsia="Arial" w:hAnsi="Arial"/>
          <w:color w:val="333333"/>
          <w:sz w:val="20"/>
          <w:szCs w:val="20"/>
        </w:rPr>
        <w:t xml:space="preserve">Contract Drafting and Review</w:t>
      </w:r>
    </w:p>
    <w:p>
      <w:pPr>
        <w:spacing w:after="180" w:line="300"/>
      </w:pPr>
      <w:r>
        <w:rPr>
          <w:rFonts w:ascii="Arial" w:cs="Arial" w:eastAsia="Arial" w:hAnsi="Arial"/>
          <w:b/>
          <w:bCs/>
          <w:color w:val="1A2332"/>
          <w:sz w:val="20"/>
          <w:szCs w:val="20"/>
        </w:rPr>
        <w:t xml:space="preserve">commercial.services.contracts.desc: </w:t>
      </w:r>
      <w:r>
        <w:rPr>
          <w:rFonts w:ascii="Arial" w:cs="Arial" w:eastAsia="Arial" w:hAnsi="Arial"/>
          <w:color w:val="333333"/>
          <w:sz w:val="20"/>
          <w:szCs w:val="20"/>
        </w:rPr>
        <w:t xml:space="preserve">Structuring shareholders' agreements, partnership agreements, commercial leases, service contracts, and other commercial instruments with precise definitions, clear allocation of risk, and enforceable remedies.</w:t>
      </w:r>
    </w:p>
    <w:p>
      <w:pPr>
        <w:spacing w:before="50"/>
      </w:pPr>
    </w:p>
    <w:p>
      <w:pPr>
        <w:spacing w:after="180" w:line="300"/>
      </w:pPr>
      <w:r>
        <w:rPr>
          <w:rFonts w:ascii="Arial" w:cs="Arial" w:eastAsia="Arial" w:hAnsi="Arial"/>
          <w:b/>
          <w:bCs/>
          <w:color w:val="1A2332"/>
          <w:sz w:val="20"/>
          <w:szCs w:val="20"/>
        </w:rPr>
        <w:t xml:space="preserve">commercial.services.negotiation.title: </w:t>
      </w:r>
      <w:r>
        <w:rPr>
          <w:rFonts w:ascii="Arial" w:cs="Arial" w:eastAsia="Arial" w:hAnsi="Arial"/>
          <w:color w:val="333333"/>
          <w:sz w:val="20"/>
          <w:szCs w:val="20"/>
        </w:rPr>
        <w:t xml:space="preserve">Negotiation and Risk Positioning</w:t>
      </w:r>
    </w:p>
    <w:p>
      <w:pPr>
        <w:spacing w:after="180" w:line="300"/>
      </w:pPr>
      <w:r>
        <w:rPr>
          <w:rFonts w:ascii="Arial" w:cs="Arial" w:eastAsia="Arial" w:hAnsi="Arial"/>
          <w:b/>
          <w:bCs/>
          <w:color w:val="1A2332"/>
          <w:sz w:val="20"/>
          <w:szCs w:val="20"/>
        </w:rPr>
        <w:t xml:space="preserve">commercial.services.negotiation.desc: </w:t>
      </w:r>
      <w:r>
        <w:rPr>
          <w:rFonts w:ascii="Arial" w:cs="Arial" w:eastAsia="Arial" w:hAnsi="Arial"/>
          <w:color w:val="333333"/>
          <w:sz w:val="20"/>
          <w:szCs w:val="20"/>
        </w:rPr>
        <w:t xml:space="preserve">Strategic legal counsel before signature or during escalation to improve the client's leverage, manage exposure, and define acceptable outcomes.</w:t>
      </w:r>
    </w:p>
    <w:p>
      <w:pPr>
        <w:spacing w:before="50"/>
      </w:pPr>
    </w:p>
    <w:p>
      <w:pPr>
        <w:spacing w:after="180" w:line="300"/>
      </w:pPr>
      <w:r>
        <w:rPr>
          <w:rFonts w:ascii="Arial" w:cs="Arial" w:eastAsia="Arial" w:hAnsi="Arial"/>
          <w:b/>
          <w:bCs/>
          <w:color w:val="1A2332"/>
          <w:sz w:val="20"/>
          <w:szCs w:val="20"/>
        </w:rPr>
        <w:t xml:space="preserve">commercial.services.dispute.title: </w:t>
      </w:r>
      <w:r>
        <w:rPr>
          <w:rFonts w:ascii="Arial" w:cs="Arial" w:eastAsia="Arial" w:hAnsi="Arial"/>
          <w:color w:val="333333"/>
          <w:sz w:val="20"/>
          <w:szCs w:val="20"/>
        </w:rPr>
        <w:t xml:space="preserve">Dispute Strategy and Resolution</w:t>
      </w:r>
    </w:p>
    <w:p>
      <w:pPr>
        <w:spacing w:after="180" w:line="300"/>
      </w:pPr>
      <w:r>
        <w:rPr>
          <w:rFonts w:ascii="Arial" w:cs="Arial" w:eastAsia="Arial" w:hAnsi="Arial"/>
          <w:b/>
          <w:bCs/>
          <w:color w:val="1A2332"/>
          <w:sz w:val="20"/>
          <w:szCs w:val="20"/>
        </w:rPr>
        <w:t xml:space="preserve">commercial.services.dispute.desc: </w:t>
      </w:r>
      <w:r>
        <w:rPr>
          <w:rFonts w:ascii="Arial" w:cs="Arial" w:eastAsia="Arial" w:hAnsi="Arial"/>
          <w:color w:val="333333"/>
          <w:sz w:val="20"/>
          <w:szCs w:val="20"/>
        </w:rPr>
        <w:t xml:space="preserve">Pre-litigation analysis, settlement frameworks, and litigation management where required. The firm's approach prioritises the client's commercial interest, whether that calls for determined enforcement or a negotiated resolution.</w:t>
      </w:r>
    </w:p>
    <w:p>
      <w:pPr>
        <w:spacing w:before="50"/>
      </w:pPr>
    </w:p>
    <w:p>
      <w:pPr>
        <w:spacing w:after="180" w:line="300"/>
      </w:pPr>
      <w:r>
        <w:rPr>
          <w:rFonts w:ascii="Arial" w:cs="Arial" w:eastAsia="Arial" w:hAnsi="Arial"/>
          <w:b/>
          <w:bCs/>
          <w:color w:val="1A2332"/>
          <w:sz w:val="20"/>
          <w:szCs w:val="20"/>
        </w:rPr>
        <w:t xml:space="preserve">commercial.services.crossborder.title: </w:t>
      </w:r>
      <w:r>
        <w:rPr>
          <w:rFonts w:ascii="Arial" w:cs="Arial" w:eastAsia="Arial" w:hAnsi="Arial"/>
          <w:color w:val="333333"/>
          <w:sz w:val="20"/>
          <w:szCs w:val="20"/>
        </w:rPr>
        <w:t xml:space="preserve">Cross-Border Documentation</w:t>
      </w:r>
    </w:p>
    <w:p>
      <w:pPr>
        <w:spacing w:after="180" w:line="300"/>
      </w:pPr>
      <w:r>
        <w:rPr>
          <w:rFonts w:ascii="Arial" w:cs="Arial" w:eastAsia="Arial" w:hAnsi="Arial"/>
          <w:b/>
          <w:bCs/>
          <w:color w:val="1A2332"/>
          <w:sz w:val="20"/>
          <w:szCs w:val="20"/>
        </w:rPr>
        <w:t xml:space="preserve">commercial.services.crossborder.desc: </w:t>
      </w:r>
      <w:r>
        <w:rPr>
          <w:rFonts w:ascii="Arial" w:cs="Arial" w:eastAsia="Arial" w:hAnsi="Arial"/>
          <w:color w:val="333333"/>
          <w:sz w:val="20"/>
          <w:szCs w:val="20"/>
        </w:rPr>
        <w:t xml:space="preserve">Coordination with overseas counsel and localisation of foreign contracts and judgments for enforcement or recognition in Israel.</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Cross-Border Section</w:t>
      </w:r>
    </w:p>
    <w:p>
      <w:pPr>
        <w:spacing w:after="180" w:line="300"/>
      </w:pPr>
      <w:r>
        <w:rPr>
          <w:rFonts w:ascii="Arial" w:cs="Arial" w:eastAsia="Arial" w:hAnsi="Arial"/>
          <w:b/>
          <w:bCs/>
          <w:color w:val="1A2332"/>
          <w:sz w:val="20"/>
          <w:szCs w:val="20"/>
        </w:rPr>
        <w:t xml:space="preserve">commercial.crossborder.title: </w:t>
      </w:r>
      <w:r>
        <w:rPr>
          <w:rFonts w:ascii="Arial" w:cs="Arial" w:eastAsia="Arial" w:hAnsi="Arial"/>
          <w:color w:val="333333"/>
          <w:sz w:val="20"/>
          <w:szCs w:val="20"/>
        </w:rPr>
        <w:t xml:space="preserve">Business Interests Across Borders</w:t>
      </w:r>
    </w:p>
    <w:p>
      <w:pPr>
        <w:spacing w:after="180" w:line="300"/>
      </w:pPr>
      <w:r>
        <w:rPr>
          <w:rFonts w:ascii="Arial" w:cs="Arial" w:eastAsia="Arial" w:hAnsi="Arial"/>
          <w:b/>
          <w:bCs/>
          <w:color w:val="1A2332"/>
          <w:sz w:val="20"/>
          <w:szCs w:val="20"/>
        </w:rPr>
        <w:t xml:space="preserve">commercial.crossborder.body: </w:t>
      </w:r>
      <w:r>
        <w:rPr>
          <w:rFonts w:ascii="Arial" w:cs="Arial" w:eastAsia="Arial" w:hAnsi="Arial"/>
          <w:color w:val="333333"/>
          <w:sz w:val="20"/>
          <w:szCs w:val="20"/>
        </w:rPr>
        <w:t xml:space="preserve">The firm serves as the local legal representative for clients who reside abroad but maintain active commercial or financial interests in Israel. This includes investors, business owners, and executives who require ongoing Israeli counsel or need to protect specific rights and obligations within the Israeli legal system.</w:t>
      </w:r>
    </w:p>
    <w:p>
      <w:pPr>
        <w:spacing w:after="180" w:line="300"/>
      </w:pPr>
      <w:r>
        <w:rPr>
          <w:rFonts w:ascii="Arial" w:cs="Arial" w:eastAsia="Arial" w:hAnsi="Arial"/>
          <w:b/>
          <w:bCs/>
          <w:color w:val="1A2332"/>
          <w:sz w:val="20"/>
          <w:szCs w:val="20"/>
        </w:rPr>
        <w:t xml:space="preserve">commercial.crossborder.body2: </w:t>
      </w:r>
      <w:r>
        <w:rPr>
          <w:rFonts w:ascii="Arial" w:cs="Arial" w:eastAsia="Arial" w:hAnsi="Arial"/>
          <w:color w:val="333333"/>
          <w:sz w:val="20"/>
          <w:szCs w:val="20"/>
        </w:rPr>
        <w:t xml:space="preserve">Whether enforcing a foreign contract in Israel, protecting shareholder rights while overseas, or managing a commercial dispute with an Israeli counterpart, the firm provides practical, on-the-ground representation. The practice coordinates Israeli legal requirements with foreign counsel and cross-border strategy, ensuring that the client's position is consistent and enforceable across jurisdictions.</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Client Profile</w:t>
      </w:r>
    </w:p>
    <w:p>
      <w:pPr>
        <w:spacing w:after="180" w:line="300"/>
      </w:pPr>
      <w:r>
        <w:rPr>
          <w:rFonts w:ascii="Arial" w:cs="Arial" w:eastAsia="Arial" w:hAnsi="Arial"/>
          <w:b/>
          <w:bCs/>
          <w:color w:val="1A2332"/>
          <w:sz w:val="20"/>
          <w:szCs w:val="20"/>
        </w:rPr>
        <w:t xml:space="preserve">commercial.clients.title: </w:t>
      </w:r>
      <w:r>
        <w:rPr>
          <w:rFonts w:ascii="Arial" w:cs="Arial" w:eastAsia="Arial" w:hAnsi="Arial"/>
          <w:color w:val="333333"/>
          <w:sz w:val="20"/>
          <w:szCs w:val="20"/>
        </w:rPr>
        <w:t xml:space="preserve">Who We Work With</w:t>
      </w:r>
    </w:p>
    <w:p>
      <w:pPr>
        <w:spacing w:after="180" w:line="300"/>
      </w:pPr>
      <w:r>
        <w:rPr>
          <w:rFonts w:ascii="Arial" w:cs="Arial" w:eastAsia="Arial" w:hAnsi="Arial"/>
          <w:b/>
          <w:bCs/>
          <w:color w:val="1A2332"/>
          <w:sz w:val="20"/>
          <w:szCs w:val="20"/>
        </w:rPr>
        <w:t xml:space="preserve">commercial.clients.body: </w:t>
      </w:r>
      <w:r>
        <w:rPr>
          <w:rFonts w:ascii="Arial" w:cs="Arial" w:eastAsia="Arial" w:hAnsi="Arial"/>
          <w:color w:val="333333"/>
          <w:sz w:val="20"/>
          <w:szCs w:val="20"/>
        </w:rPr>
        <w:t xml:space="preserve">The commercial practice serves business owners, investors, executives, and private clients who require disciplined legal counsel on contracts, asset protection, and complex disputes. Whether the engagement is a single transaction or an ongoing advisory relationship, the firm provides the same level of analytical depth and personal attention.</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CTA Section</w:t>
      </w:r>
    </w:p>
    <w:p>
      <w:pPr>
        <w:spacing w:after="180" w:line="300"/>
      </w:pPr>
      <w:r>
        <w:rPr>
          <w:rFonts w:ascii="Arial" w:cs="Arial" w:eastAsia="Arial" w:hAnsi="Arial"/>
          <w:b/>
          <w:bCs/>
          <w:color w:val="1A2332"/>
          <w:sz w:val="20"/>
          <w:szCs w:val="20"/>
        </w:rPr>
        <w:t xml:space="preserve">commercial.cta.title: </w:t>
      </w:r>
      <w:r>
        <w:rPr>
          <w:rFonts w:ascii="Arial" w:cs="Arial" w:eastAsia="Arial" w:hAnsi="Arial"/>
          <w:color w:val="333333"/>
          <w:sz w:val="20"/>
          <w:szCs w:val="20"/>
        </w:rPr>
        <w:t xml:space="preserve">Protect Your Commercial Position</w:t>
      </w:r>
    </w:p>
    <w:p>
      <w:pPr>
        <w:spacing w:after="180" w:line="300"/>
      </w:pPr>
      <w:r>
        <w:rPr>
          <w:rFonts w:ascii="Arial" w:cs="Arial" w:eastAsia="Arial" w:hAnsi="Arial"/>
          <w:b/>
          <w:bCs/>
          <w:color w:val="1A2332"/>
          <w:sz w:val="20"/>
          <w:szCs w:val="20"/>
        </w:rPr>
        <w:t xml:space="preserve">commercial.cta.body: </w:t>
      </w:r>
      <w:r>
        <w:rPr>
          <w:rFonts w:ascii="Arial" w:cs="Arial" w:eastAsia="Arial" w:hAnsi="Arial"/>
          <w:color w:val="333333"/>
          <w:sz w:val="20"/>
          <w:szCs w:val="20"/>
        </w:rPr>
        <w:t xml:space="preserve">Begin with a contract review, a risk assessment, or a dispute strategy consultation. Confidential and documented. Inquiries welcome in English and Hebrew.</w:t>
      </w:r>
    </w:p>
    <w:p>
      <w:pPr>
        <w:spacing w:after="180" w:line="300"/>
      </w:pPr>
      <w:r>
        <w:rPr>
          <w:rFonts w:ascii="Arial" w:cs="Arial" w:eastAsia="Arial" w:hAnsi="Arial"/>
          <w:b/>
          <w:bCs/>
          <w:color w:val="1A2332"/>
          <w:sz w:val="20"/>
          <w:szCs w:val="20"/>
        </w:rPr>
        <w:t xml:space="preserve">commercial.cta.button: </w:t>
      </w:r>
      <w:r>
        <w:rPr>
          <w:rFonts w:ascii="Arial" w:cs="Arial" w:eastAsia="Arial" w:hAnsi="Arial"/>
          <w:color w:val="333333"/>
          <w:sz w:val="20"/>
          <w:szCs w:val="20"/>
        </w:rPr>
        <w:t xml:space="preserve">Schedule a Consultation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2332" w:val="clear"/>
            <w:tcMar>
              <w:top w:type="dxa" w:w="200"/>
              <w:left w:type="dxa" w:w="300"/>
              <w:bottom w:type="dxa" w:w="200"/>
              <w:right w:type="dxa" w:w="300"/>
            </w:tcMar>
          </w:tcPr>
          <w:p>
            <w:pPr>
              <w:jc w:val="left"/>
            </w:pPr>
            <w:r>
              <w:rPr>
                <w:rFonts w:ascii="Arial" w:cs="Arial" w:eastAsia="Arial" w:hAnsi="Arial"/>
                <w:b/>
                <w:bCs/>
                <w:color w:val="FFFFFF"/>
                <w:sz w:val="28"/>
                <w:szCs w:val="28"/>
              </w:rPr>
              <w:t xml:space="preserve">PAGE 5: OLIM HADASHIM AND RETURNING RESIDENTS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1A2332"/>
                <w:sz w:val="20"/>
                <w:szCs w:val="20"/>
              </w:rPr>
              <w:t xml:space="preserve">URL:</w:t>
            </w:r>
          </w:p>
        </w:tc>
        <w:tc>
          <w:tcPr>
            <w:tcW w:type="dxa" w:w="6960"/>
            <w:tcBorders>
              <w:top w:val="none" w:sz="0"/>
              <w:left w:val="none" w:sz="0"/>
              <w:bottom w:val="none" w:sz="0"/>
              <w:right w:val="none" w:sz="0"/>
            </w:tcBorders>
            <w:tcMar>
              <w:top w:type="dxa" w:w="60"/>
              <w:left w:type="dxa" w:w="120"/>
              <w:bottom w:type="dxa" w:w="60"/>
              <w:right w:type="dxa" w:w="0"/>
            </w:tcMar>
          </w:tcPr>
          <w:p>
            <w:pPr>
              <w:spacing w:line="276"/>
            </w:pPr>
            <w:r>
              <w:rPr>
                <w:rFonts w:ascii="Arial" w:cs="Arial" w:eastAsia="Arial" w:hAnsi="Arial"/>
                <w:color w:val="333333"/>
                <w:sz w:val="20"/>
                <w:szCs w:val="20"/>
              </w:rPr>
              <w:t xml:space="preserve">/en/olim-residents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sz="0"/>
              <w:left w:val="none" w:sz="0"/>
              <w:bottom w:val="none" w:sz="0"/>
              <w:right w:val="none" w:sz="0"/>
            </w:tcBorders>
            <w:tcMar>
              <w:top w:type="dxa" w:w="60"/>
              <w:left w:type="dxa" w:w="0"/>
              <w:bottom w:type="dxa" w:w="60"/>
              <w:right w:type="dxa" w:w="120"/>
            </w:tcMar>
          </w:tcPr>
          <w:p>
            <w:r>
              <w:rPr>
                <w:rFonts w:ascii="Arial" w:cs="Arial" w:eastAsia="Arial" w:hAnsi="Arial"/>
                <w:b/>
                <w:bCs/>
                <w:color w:val="1A2332"/>
                <w:sz w:val="20"/>
                <w:szCs w:val="20"/>
              </w:rPr>
              <w:t xml:space="preserve">Nav Label:</w:t>
            </w:r>
          </w:p>
        </w:tc>
        <w:tc>
          <w:tcPr>
            <w:tcW w:type="dxa" w:w="6960"/>
            <w:tcBorders>
              <w:top w:val="none" w:sz="0"/>
              <w:left w:val="none" w:sz="0"/>
              <w:bottom w:val="none" w:sz="0"/>
              <w:right w:val="none" w:sz="0"/>
            </w:tcBorders>
            <w:tcMar>
              <w:top w:type="dxa" w:w="60"/>
              <w:left w:type="dxa" w:w="120"/>
              <w:bottom w:type="dxa" w:w="60"/>
              <w:right w:type="dxa" w:w="0"/>
            </w:tcMar>
          </w:tcPr>
          <w:p>
            <w:pPr>
              <w:spacing w:line="276"/>
            </w:pPr>
            <w:r>
              <w:rPr>
                <w:rFonts w:ascii="Arial" w:cs="Arial" w:eastAsia="Arial" w:hAnsi="Arial"/>
                <w:color w:val="333333"/>
                <w:sz w:val="20"/>
                <w:szCs w:val="20"/>
              </w:rPr>
              <w:t xml:space="preserve">Olim Hadashim and Returning Residents</w:t>
            </w:r>
          </w:p>
        </w:tc>
      </w:tr>
    </w:tbl>
    <w:p>
      <w:pPr>
        <w:spacing w:before="100"/>
      </w:pPr>
    </w:p>
    <w:p>
      <w:pPr>
        <w:pBdr>
          <w:bottom w:val="single" w:color="2E75B6" w:sz="2" w:space="4"/>
        </w:pBdr>
        <w:spacing w:before="300" w:after="150"/>
      </w:pPr>
      <w:r>
        <w:rPr>
          <w:rFonts w:ascii="Arial" w:cs="Arial" w:eastAsia="Arial" w:hAnsi="Arial"/>
          <w:b/>
          <w:bCs/>
          <w:color w:val="2E75B6"/>
          <w:sz w:val="24"/>
          <w:szCs w:val="24"/>
        </w:rPr>
        <w:t xml:space="preserve">Hero Section</w:t>
      </w:r>
    </w:p>
    <w:p>
      <w:pPr>
        <w:spacing w:after="180" w:line="300"/>
      </w:pPr>
      <w:r>
        <w:rPr>
          <w:rFonts w:ascii="Arial" w:cs="Arial" w:eastAsia="Arial" w:hAnsi="Arial"/>
          <w:b/>
          <w:bCs/>
          <w:color w:val="1A2332"/>
          <w:sz w:val="20"/>
          <w:szCs w:val="20"/>
        </w:rPr>
        <w:t xml:space="preserve">olim.hero.title: </w:t>
      </w:r>
      <w:r>
        <w:rPr>
          <w:rFonts w:ascii="Arial" w:cs="Arial" w:eastAsia="Arial" w:hAnsi="Arial"/>
          <w:color w:val="333333"/>
          <w:sz w:val="20"/>
          <w:szCs w:val="20"/>
        </w:rPr>
        <w:t xml:space="preserve">Legal Counsel for Olim Hadashim and Returning Residents</w:t>
      </w:r>
    </w:p>
    <w:p>
      <w:pPr>
        <w:spacing w:after="180" w:line="300"/>
      </w:pPr>
      <w:r>
        <w:rPr>
          <w:rFonts w:ascii="Arial" w:cs="Arial" w:eastAsia="Arial" w:hAnsi="Arial"/>
          <w:b/>
          <w:bCs/>
          <w:color w:val="1A2332"/>
          <w:sz w:val="20"/>
          <w:szCs w:val="20"/>
        </w:rPr>
        <w:t xml:space="preserve">olim.hero.subtitle: </w:t>
      </w:r>
      <w:r>
        <w:rPr>
          <w:rFonts w:ascii="Arial" w:cs="Arial" w:eastAsia="Arial" w:hAnsi="Arial"/>
          <w:color w:val="333333"/>
          <w:sz w:val="20"/>
          <w:szCs w:val="20"/>
        </w:rPr>
        <w:t xml:space="preserve">A structured legal framework for your transition to Israel: tax positioning, property acquisition, banking compliance, and asset integration.</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Context Section</w:t>
      </w:r>
    </w:p>
    <w:p>
      <w:pPr>
        <w:spacing w:after="180" w:line="300"/>
      </w:pPr>
      <w:r>
        <w:rPr>
          <w:rFonts w:ascii="Arial" w:cs="Arial" w:eastAsia="Arial" w:hAnsi="Arial"/>
          <w:b/>
          <w:bCs/>
          <w:color w:val="1A2332"/>
          <w:sz w:val="20"/>
          <w:szCs w:val="20"/>
        </w:rPr>
        <w:t xml:space="preserve">olim.context.title: </w:t>
      </w:r>
      <w:r>
        <w:rPr>
          <w:rFonts w:ascii="Arial" w:cs="Arial" w:eastAsia="Arial" w:hAnsi="Arial"/>
          <w:color w:val="333333"/>
          <w:sz w:val="20"/>
          <w:szCs w:val="20"/>
        </w:rPr>
        <w:t xml:space="preserve">A New Chapter, Structured from Day One</w:t>
      </w:r>
    </w:p>
    <w:p>
      <w:pPr>
        <w:spacing w:after="180" w:line="300"/>
      </w:pPr>
      <w:r>
        <w:rPr>
          <w:rFonts w:ascii="Arial" w:cs="Arial" w:eastAsia="Arial" w:hAnsi="Arial"/>
          <w:b/>
          <w:bCs/>
          <w:color w:val="1A2332"/>
          <w:sz w:val="20"/>
          <w:szCs w:val="20"/>
        </w:rPr>
        <w:t xml:space="preserve">olim.context.body: </w:t>
      </w:r>
      <w:r>
        <w:rPr>
          <w:rFonts w:ascii="Arial" w:cs="Arial" w:eastAsia="Arial" w:hAnsi="Arial"/>
          <w:color w:val="333333"/>
          <w:sz w:val="20"/>
          <w:szCs w:val="20"/>
        </w:rPr>
        <w:t xml:space="preserve">Relocating to Israel is both a personal milestone and a complex legal transition. The decisions you make in the first months of arrival, from how you classify your residency to when you purchase property and how you transfer capital, will affect your tax position, banking relationships, and financial structure for years to come.</w:t>
      </w:r>
    </w:p>
    <w:p>
      <w:pPr>
        <w:spacing w:after="180" w:line="300"/>
      </w:pPr>
      <w:r>
        <w:rPr>
          <w:rFonts w:ascii="Arial" w:cs="Arial" w:eastAsia="Arial" w:hAnsi="Arial"/>
          <w:color w:val="333333"/>
          <w:sz w:val="20"/>
          <w:szCs w:val="20"/>
        </w:rPr>
        <w:t xml:space="preserve">The firm provides structured, patient, and personalised legal guidance for Olim Hadashim and returning residents. Each client receives a clear roadmap tailored to their specific situation, so that no critical step is missed and no benefit is forfeited through poor timing or incomplete documentation.</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The Soft Landing Framework</w:t>
      </w:r>
    </w:p>
    <w:p>
      <w:pPr>
        <w:spacing w:after="180" w:line="300"/>
      </w:pPr>
      <w:r>
        <w:rPr>
          <w:rFonts w:ascii="Arial" w:cs="Arial" w:eastAsia="Arial" w:hAnsi="Arial"/>
          <w:b/>
          <w:bCs/>
          <w:color w:val="1A2332"/>
          <w:sz w:val="20"/>
          <w:szCs w:val="20"/>
        </w:rPr>
        <w:t xml:space="preserve">olim.framework.title: </w:t>
      </w:r>
      <w:r>
        <w:rPr>
          <w:rFonts w:ascii="Arial" w:cs="Arial" w:eastAsia="Arial" w:hAnsi="Arial"/>
          <w:color w:val="333333"/>
          <w:sz w:val="20"/>
          <w:szCs w:val="20"/>
        </w:rPr>
        <w:t xml:space="preserve">The Soft Landing Framework</w:t>
      </w:r>
    </w:p>
    <w:p>
      <w:pPr>
        <w:spacing w:before="50"/>
      </w:pPr>
    </w:p>
    <w:p>
      <w:pPr>
        <w:spacing w:after="180" w:line="300"/>
      </w:pPr>
      <w:r>
        <w:rPr>
          <w:rFonts w:ascii="Arial" w:cs="Arial" w:eastAsia="Arial" w:hAnsi="Arial"/>
          <w:b/>
          <w:bCs/>
          <w:color w:val="1A2332"/>
          <w:sz w:val="20"/>
          <w:szCs w:val="20"/>
        </w:rPr>
        <w:t xml:space="preserve">olim.framework.planning.title: </w:t>
      </w:r>
      <w:r>
        <w:rPr>
          <w:rFonts w:ascii="Arial" w:cs="Arial" w:eastAsia="Arial" w:hAnsi="Arial"/>
          <w:color w:val="333333"/>
          <w:sz w:val="20"/>
          <w:szCs w:val="20"/>
        </w:rPr>
        <w:t xml:space="preserve">Pre-Arrival Planning</w:t>
      </w:r>
    </w:p>
    <w:p>
      <w:pPr>
        <w:spacing w:after="180" w:line="300"/>
      </w:pPr>
      <w:r>
        <w:rPr>
          <w:rFonts w:ascii="Arial" w:cs="Arial" w:eastAsia="Arial" w:hAnsi="Arial"/>
          <w:b/>
          <w:bCs/>
          <w:color w:val="1A2332"/>
          <w:sz w:val="20"/>
          <w:szCs w:val="20"/>
        </w:rPr>
        <w:t xml:space="preserve">olim.framework.planning.desc: </w:t>
      </w:r>
      <w:r>
        <w:rPr>
          <w:rFonts w:ascii="Arial" w:cs="Arial" w:eastAsia="Arial" w:hAnsi="Arial"/>
          <w:color w:val="333333"/>
          <w:sz w:val="20"/>
          <w:szCs w:val="20"/>
        </w:rPr>
        <w:t xml:space="preserve">Reviewing the client's residency status, asset profile, and family structure before arrival. Identifying timing-sensitive decisions and positioning the client to preserve eligibility for available benefits.</w:t>
      </w:r>
    </w:p>
    <w:p>
      <w:pPr>
        <w:spacing w:before="50"/>
      </w:pPr>
    </w:p>
    <w:p>
      <w:pPr>
        <w:spacing w:after="180" w:line="300"/>
      </w:pPr>
      <w:r>
        <w:rPr>
          <w:rFonts w:ascii="Arial" w:cs="Arial" w:eastAsia="Arial" w:hAnsi="Arial"/>
          <w:b/>
          <w:bCs/>
          <w:color w:val="1A2332"/>
          <w:sz w:val="20"/>
          <w:szCs w:val="20"/>
        </w:rPr>
        <w:t xml:space="preserve">olim.framework.property.title: </w:t>
      </w:r>
      <w:r>
        <w:rPr>
          <w:rFonts w:ascii="Arial" w:cs="Arial" w:eastAsia="Arial" w:hAnsi="Arial"/>
          <w:color w:val="333333"/>
          <w:sz w:val="20"/>
          <w:szCs w:val="20"/>
        </w:rPr>
        <w:t xml:space="preserve">Property Acquisition Coordination</w:t>
      </w:r>
    </w:p>
    <w:p>
      <w:pPr>
        <w:spacing w:after="180" w:line="300"/>
      </w:pPr>
      <w:r>
        <w:rPr>
          <w:rFonts w:ascii="Arial" w:cs="Arial" w:eastAsia="Arial" w:hAnsi="Arial"/>
          <w:b/>
          <w:bCs/>
          <w:color w:val="1A2332"/>
          <w:sz w:val="20"/>
          <w:szCs w:val="20"/>
        </w:rPr>
        <w:t xml:space="preserve">olim.framework.property.desc: </w:t>
      </w:r>
      <w:r>
        <w:rPr>
          <w:rFonts w:ascii="Arial" w:cs="Arial" w:eastAsia="Arial" w:hAnsi="Arial"/>
          <w:color w:val="333333"/>
          <w:sz w:val="20"/>
          <w:szCs w:val="20"/>
        </w:rPr>
        <w:t xml:space="preserve">Managing the legal aspects of purchasing a first property in Israel, including due diligence, contract negotiation, tax filing, and registration, with particular attention to the interaction between purchase timing and Oleh/returning resident status.</w:t>
      </w:r>
    </w:p>
    <w:p>
      <w:pPr>
        <w:spacing w:before="50"/>
      </w:pPr>
    </w:p>
    <w:p>
      <w:pPr>
        <w:spacing w:after="180" w:line="300"/>
      </w:pPr>
      <w:r>
        <w:rPr>
          <w:rFonts w:ascii="Arial" w:cs="Arial" w:eastAsia="Arial" w:hAnsi="Arial"/>
          <w:b/>
          <w:bCs/>
          <w:color w:val="1A2332"/>
          <w:sz w:val="20"/>
          <w:szCs w:val="20"/>
        </w:rPr>
        <w:t xml:space="preserve">olim.framework.banking.title: </w:t>
      </w:r>
      <w:r>
        <w:rPr>
          <w:rFonts w:ascii="Arial" w:cs="Arial" w:eastAsia="Arial" w:hAnsi="Arial"/>
          <w:color w:val="333333"/>
          <w:sz w:val="20"/>
          <w:szCs w:val="20"/>
        </w:rPr>
        <w:t xml:space="preserve">Banking and Capital Transfers</w:t>
      </w:r>
    </w:p>
    <w:p>
      <w:pPr>
        <w:spacing w:after="180" w:line="300"/>
      </w:pPr>
      <w:r>
        <w:rPr>
          <w:rFonts w:ascii="Arial" w:cs="Arial" w:eastAsia="Arial" w:hAnsi="Arial"/>
          <w:b/>
          <w:bCs/>
          <w:color w:val="1A2332"/>
          <w:sz w:val="20"/>
          <w:szCs w:val="20"/>
        </w:rPr>
        <w:t xml:space="preserve">olim.framework.banking.desc: </w:t>
      </w:r>
      <w:r>
        <w:rPr>
          <w:rFonts w:ascii="Arial" w:cs="Arial" w:eastAsia="Arial" w:hAnsi="Arial"/>
          <w:color w:val="333333"/>
          <w:sz w:val="20"/>
          <w:szCs w:val="20"/>
        </w:rPr>
        <w:t xml:space="preserve">Preparing source-of-funds documentation, coordinating with the receiving Israeli bank, and ensuring that international transfers are accepted without unnecessary delay or complication.</w:t>
      </w:r>
    </w:p>
    <w:p>
      <w:pPr>
        <w:spacing w:before="50"/>
      </w:pPr>
    </w:p>
    <w:p>
      <w:pPr>
        <w:spacing w:after="180" w:line="300"/>
      </w:pPr>
      <w:r>
        <w:rPr>
          <w:rFonts w:ascii="Arial" w:cs="Arial" w:eastAsia="Arial" w:hAnsi="Arial"/>
          <w:b/>
          <w:bCs/>
          <w:color w:val="1A2332"/>
          <w:sz w:val="20"/>
          <w:szCs w:val="20"/>
        </w:rPr>
        <w:t xml:space="preserve">olim.framework.peace.title: </w:t>
      </w:r>
      <w:r>
        <w:rPr>
          <w:rFonts w:ascii="Arial" w:cs="Arial" w:eastAsia="Arial" w:hAnsi="Arial"/>
          <w:color w:val="333333"/>
          <w:sz w:val="20"/>
          <w:szCs w:val="20"/>
        </w:rPr>
        <w:t xml:space="preserve">Bilingual, Cross-Border Support</w:t>
      </w:r>
    </w:p>
    <w:p>
      <w:pPr>
        <w:spacing w:after="180" w:line="300"/>
      </w:pPr>
      <w:r>
        <w:rPr>
          <w:rFonts w:ascii="Arial" w:cs="Arial" w:eastAsia="Arial" w:hAnsi="Arial"/>
          <w:b/>
          <w:bCs/>
          <w:color w:val="1A2332"/>
          <w:sz w:val="20"/>
          <w:szCs w:val="20"/>
        </w:rPr>
        <w:t xml:space="preserve">olim.framework.peace.desc: </w:t>
      </w:r>
      <w:r>
        <w:rPr>
          <w:rFonts w:ascii="Arial" w:cs="Arial" w:eastAsia="Arial" w:hAnsi="Arial"/>
          <w:color w:val="333333"/>
          <w:sz w:val="20"/>
          <w:szCs w:val="20"/>
        </w:rPr>
        <w:t xml:space="preserve">The firm communicates in both English and Hebrew and coordinates with the client's foreign advisors where needed. The goal is to translate complex Israeli legal processes into clear, practical steps, providing confidence during one of life's most significant transitions.</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Tax Positioning</w:t>
      </w:r>
    </w:p>
    <w:p>
      <w:pPr>
        <w:spacing w:after="180" w:line="300"/>
      </w:pPr>
      <w:r>
        <w:rPr>
          <w:rFonts w:ascii="Arial" w:cs="Arial" w:eastAsia="Arial" w:hAnsi="Arial"/>
          <w:b/>
          <w:bCs/>
          <w:color w:val="1A2332"/>
          <w:sz w:val="20"/>
          <w:szCs w:val="20"/>
        </w:rPr>
        <w:t xml:space="preserve">olim.tax.title: </w:t>
      </w:r>
      <w:r>
        <w:rPr>
          <w:rFonts w:ascii="Arial" w:cs="Arial" w:eastAsia="Arial" w:hAnsi="Arial"/>
          <w:color w:val="333333"/>
          <w:sz w:val="20"/>
          <w:szCs w:val="20"/>
        </w:rPr>
        <w:t xml:space="preserve">Tax Positioning for Olim Hadashim and Returning Residents</w:t>
      </w:r>
    </w:p>
    <w:p>
      <w:pPr>
        <w:spacing w:after="180" w:line="300"/>
      </w:pPr>
      <w:r>
        <w:rPr>
          <w:rFonts w:ascii="Arial" w:cs="Arial" w:eastAsia="Arial" w:hAnsi="Arial"/>
          <w:b/>
          <w:bCs/>
          <w:color w:val="1A2332"/>
          <w:sz w:val="20"/>
          <w:szCs w:val="20"/>
        </w:rPr>
        <w:t xml:space="preserve">olim.tax.body: </w:t>
      </w:r>
      <w:r>
        <w:rPr>
          <w:rFonts w:ascii="Arial" w:cs="Arial" w:eastAsia="Arial" w:hAnsi="Arial"/>
          <w:color w:val="333333"/>
          <w:sz w:val="20"/>
          <w:szCs w:val="20"/>
        </w:rPr>
        <w:t xml:space="preserve">New immigrants and qualifying returning residents may be eligible for specific reliefs, including reduced Purchase Tax rates and the ten-year exemption from reporting on foreign-source income. These benefits are subject to strict eligibility criteria, and correct timing, classification, and documentation are essential to securing them.</w:t>
      </w:r>
    </w:p>
    <w:p>
      <w:pPr>
        <w:spacing w:after="180" w:line="300"/>
      </w:pPr>
      <w:r>
        <w:rPr>
          <w:rFonts w:ascii="Arial" w:cs="Arial" w:eastAsia="Arial" w:hAnsi="Arial"/>
          <w:b/>
          <w:bCs/>
          <w:color w:val="1A2332"/>
          <w:sz w:val="20"/>
          <w:szCs w:val="20"/>
        </w:rPr>
        <w:t xml:space="preserve">olim.tax.body2: </w:t>
      </w:r>
      <w:r>
        <w:rPr>
          <w:rFonts w:ascii="Arial" w:cs="Arial" w:eastAsia="Arial" w:hAnsi="Arial"/>
          <w:color w:val="333333"/>
          <w:sz w:val="20"/>
          <w:szCs w:val="20"/>
        </w:rPr>
        <w:t xml:space="preserve">The firm helps clients understand how their specific circumstances affect their classification, what documentation is required, and how the timing of their arrival and first transactions should be structured to support a compliant and tax-efficient transition into the Israeli system.</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Client Profile</w:t>
      </w:r>
    </w:p>
    <w:p>
      <w:pPr>
        <w:spacing w:after="180" w:line="300"/>
      </w:pPr>
      <w:r>
        <w:rPr>
          <w:rFonts w:ascii="Arial" w:cs="Arial" w:eastAsia="Arial" w:hAnsi="Arial"/>
          <w:b/>
          <w:bCs/>
          <w:color w:val="1A2332"/>
          <w:sz w:val="20"/>
          <w:szCs w:val="20"/>
        </w:rPr>
        <w:t xml:space="preserve">olim.clients.title: </w:t>
      </w:r>
      <w:r>
        <w:rPr>
          <w:rFonts w:ascii="Arial" w:cs="Arial" w:eastAsia="Arial" w:hAnsi="Arial"/>
          <w:color w:val="333333"/>
          <w:sz w:val="20"/>
          <w:szCs w:val="20"/>
        </w:rPr>
        <w:t xml:space="preserve">Who This Service Is For</w:t>
      </w:r>
    </w:p>
    <w:p>
      <w:pPr>
        <w:spacing w:after="180" w:line="300"/>
      </w:pPr>
      <w:r>
        <w:rPr>
          <w:rFonts w:ascii="Arial" w:cs="Arial" w:eastAsia="Arial" w:hAnsi="Arial"/>
          <w:b/>
          <w:bCs/>
          <w:color w:val="1A2332"/>
          <w:sz w:val="20"/>
          <w:szCs w:val="20"/>
        </w:rPr>
        <w:t xml:space="preserve">olim.clients.body: </w:t>
      </w:r>
      <w:r>
        <w:rPr>
          <w:rFonts w:ascii="Arial" w:cs="Arial" w:eastAsia="Arial" w:hAnsi="Arial"/>
          <w:color w:val="333333"/>
          <w:sz w:val="20"/>
          <w:szCs w:val="20"/>
        </w:rPr>
        <w:t xml:space="preserve">This practice area is designed for individuals and families relocating to Israel who hold significant assets, foreign income, or cross-border financial structures. It is particularly relevant for clients who value a disciplined, compliance-first approach and who understand that the legal and financial decisions made during the transition period will shape their position in Israel for years to come.</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What to Expect</w:t>
      </w:r>
    </w:p>
    <w:p>
      <w:pPr>
        <w:spacing w:after="180" w:line="300"/>
      </w:pPr>
      <w:r>
        <w:rPr>
          <w:rFonts w:ascii="Arial" w:cs="Arial" w:eastAsia="Arial" w:hAnsi="Arial"/>
          <w:b/>
          <w:bCs/>
          <w:color w:val="1A2332"/>
          <w:sz w:val="20"/>
          <w:szCs w:val="20"/>
        </w:rPr>
        <w:t xml:space="preserve">olim.expect.title: </w:t>
      </w:r>
      <w:r>
        <w:rPr>
          <w:rFonts w:ascii="Arial" w:cs="Arial" w:eastAsia="Arial" w:hAnsi="Arial"/>
          <w:color w:val="333333"/>
          <w:sz w:val="20"/>
          <w:szCs w:val="20"/>
        </w:rPr>
        <w:t xml:space="preserve">What to Expect</w:t>
      </w:r>
    </w:p>
    <w:p>
      <w:pPr>
        <w:spacing w:after="180" w:line="300"/>
      </w:pPr>
      <w:r>
        <w:rPr>
          <w:rFonts w:ascii="Arial" w:cs="Arial" w:eastAsia="Arial" w:hAnsi="Arial"/>
          <w:b/>
          <w:bCs/>
          <w:color w:val="1A2332"/>
          <w:sz w:val="20"/>
          <w:szCs w:val="20"/>
        </w:rPr>
        <w:t xml:space="preserve">olim.expect.body: </w:t>
      </w:r>
      <w:r>
        <w:rPr>
          <w:rFonts w:ascii="Arial" w:cs="Arial" w:eastAsia="Arial" w:hAnsi="Arial"/>
          <w:color w:val="333333"/>
          <w:sz w:val="20"/>
          <w:szCs w:val="20"/>
        </w:rPr>
        <w:t xml:space="preserve">Engagement begins with a structured intake: a tailored documentation checklist, a residency and tax status assessment, and a coordinated roadmap with clearly defined next steps. Every client knows what is required, when it is required, and why it matters.</w:t>
      </w:r>
    </w:p>
    <w:p>
      <w:pPr>
        <w:spacing w:before="100"/>
      </w:pPr>
    </w:p>
    <w:p>
      <w:pPr>
        <w:pBdr>
          <w:bottom w:val="single" w:color="2E75B6" w:sz="2" w:space="4"/>
        </w:pBdr>
        <w:spacing w:before="300" w:after="150"/>
      </w:pPr>
      <w:r>
        <w:rPr>
          <w:rFonts w:ascii="Arial" w:cs="Arial" w:eastAsia="Arial" w:hAnsi="Arial"/>
          <w:b/>
          <w:bCs/>
          <w:color w:val="2E75B6"/>
          <w:sz w:val="24"/>
          <w:szCs w:val="24"/>
        </w:rPr>
        <w:t xml:space="preserve">CTA Section</w:t>
      </w:r>
    </w:p>
    <w:p>
      <w:pPr>
        <w:spacing w:after="180" w:line="300"/>
      </w:pPr>
      <w:r>
        <w:rPr>
          <w:rFonts w:ascii="Arial" w:cs="Arial" w:eastAsia="Arial" w:hAnsi="Arial"/>
          <w:b/>
          <w:bCs/>
          <w:color w:val="1A2332"/>
          <w:sz w:val="20"/>
          <w:szCs w:val="20"/>
        </w:rPr>
        <w:t xml:space="preserve">olim.cta.title: </w:t>
      </w:r>
      <w:r>
        <w:rPr>
          <w:rFonts w:ascii="Arial" w:cs="Arial" w:eastAsia="Arial" w:hAnsi="Arial"/>
          <w:color w:val="333333"/>
          <w:sz w:val="20"/>
          <w:szCs w:val="20"/>
        </w:rPr>
        <w:t xml:space="preserve">Start Your Transition on Solid Ground</w:t>
      </w:r>
    </w:p>
    <w:p>
      <w:pPr>
        <w:spacing w:after="180" w:line="300"/>
      </w:pPr>
      <w:r>
        <w:rPr>
          <w:rFonts w:ascii="Arial" w:cs="Arial" w:eastAsia="Arial" w:hAnsi="Arial"/>
          <w:b/>
          <w:bCs/>
          <w:color w:val="1A2332"/>
          <w:sz w:val="20"/>
          <w:szCs w:val="20"/>
        </w:rPr>
        <w:t xml:space="preserve">olim.cta.body: </w:t>
      </w:r>
      <w:r>
        <w:rPr>
          <w:rFonts w:ascii="Arial" w:cs="Arial" w:eastAsia="Arial" w:hAnsi="Arial"/>
          <w:color w:val="333333"/>
          <w:sz w:val="20"/>
          <w:szCs w:val="20"/>
        </w:rPr>
        <w:t xml:space="preserve">Begin with a structured roadmap and a clear understanding of your legal and financial position. Inquiries welcome in English and Hebrew.</w:t>
      </w:r>
    </w:p>
    <w:p>
      <w:pPr>
        <w:spacing w:after="180" w:line="300"/>
      </w:pPr>
      <w:r>
        <w:rPr>
          <w:rFonts w:ascii="Arial" w:cs="Arial" w:eastAsia="Arial" w:hAnsi="Arial"/>
          <w:b/>
          <w:bCs/>
          <w:color w:val="1A2332"/>
          <w:sz w:val="20"/>
          <w:szCs w:val="20"/>
        </w:rPr>
        <w:t xml:space="preserve">olim.cta.button: </w:t>
      </w:r>
      <w:r>
        <w:rPr>
          <w:rFonts w:ascii="Arial" w:cs="Arial" w:eastAsia="Arial" w:hAnsi="Arial"/>
          <w:color w:val="333333"/>
          <w:sz w:val="20"/>
          <w:szCs w:val="20"/>
        </w:rPr>
        <w:t xml:space="preserve">Schedule a Consultation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2332" w:val="clear"/>
            <w:tcMar>
              <w:top w:type="dxa" w:w="200"/>
              <w:left w:type="dxa" w:w="300"/>
              <w:bottom w:type="dxa" w:w="200"/>
              <w:right w:type="dxa" w:w="300"/>
            </w:tcMar>
          </w:tcPr>
          <w:p>
            <w:pPr>
              <w:jc w:val="left"/>
            </w:pPr>
            <w:r>
              <w:rPr>
                <w:rFonts w:ascii="Arial" w:cs="Arial" w:eastAsia="Arial" w:hAnsi="Arial"/>
                <w:b/>
                <w:bCs/>
                <w:color w:val="FFFFFF"/>
                <w:sz w:val="28"/>
                <w:szCs w:val="28"/>
              </w:rPr>
              <w:t xml:space="preserve">IMPLEMENTATION NOTES FOR DEVELOPER</w:t>
            </w:r>
          </w:p>
        </w:tc>
      </w:tr>
    </w:tbl>
    <w:p>
      <w:pPr>
        <w:spacing w:before="100"/>
      </w:pPr>
    </w:p>
    <w:p>
      <w:pPr>
        <w:spacing w:after="180" w:line="300"/>
      </w:pPr>
      <w:r>
        <w:rPr>
          <w:rFonts w:ascii="Arial" w:cs="Arial" w:eastAsia="Arial" w:hAnsi="Arial"/>
          <w:b/>
          <w:bCs/>
          <w:color w:val="1A2332"/>
          <w:sz w:val="20"/>
          <w:szCs w:val="20"/>
        </w:rPr>
        <w:t xml:space="preserve">Content keys: </w:t>
      </w:r>
      <w:r>
        <w:rPr>
          <w:rFonts w:ascii="Arial" w:cs="Arial" w:eastAsia="Arial" w:hAnsi="Arial"/>
          <w:color w:val="333333"/>
          <w:sz w:val="20"/>
          <w:szCs w:val="20"/>
        </w:rPr>
        <w:t xml:space="preserve">Each text block above is labelled with its i18n key (e.g. realestate.hero.title). The developer should locate these keys in the en section of the translation object in the production JavaScript bundle and replace the values with the revised text provided here.</w:t>
      </w:r>
    </w:p>
    <w:p>
      <w:pPr>
        <w:spacing w:before="50"/>
      </w:pPr>
    </w:p>
    <w:p>
      <w:pPr>
        <w:spacing w:after="180" w:line="300"/>
      </w:pPr>
      <w:r>
        <w:rPr>
          <w:rFonts w:ascii="Arial" w:cs="Arial" w:eastAsia="Arial" w:hAnsi="Arial"/>
          <w:b/>
          <w:bCs/>
          <w:color w:val="1A2332"/>
          <w:sz w:val="20"/>
          <w:szCs w:val="20"/>
        </w:rPr>
        <w:t xml:space="preserve">Hyphenation: </w:t>
      </w:r>
      <w:r>
        <w:rPr>
          <w:rFonts w:ascii="Arial" w:cs="Arial" w:eastAsia="Arial" w:hAnsi="Arial"/>
          <w:color w:val="333333"/>
          <w:sz w:val="20"/>
          <w:szCs w:val="20"/>
        </w:rPr>
        <w:t xml:space="preserve">The following compound modifiers must be hyphenated throughout all pages: cross-border, long-term (when used as a modifier before a noun), high-net-worth, tax-efficient. When these terms appear as standalone nouns or predicates (e.g. "in the long term"), no hyphen is used.</w:t>
      </w:r>
    </w:p>
    <w:p>
      <w:pPr>
        <w:spacing w:before="50"/>
      </w:pPr>
    </w:p>
    <w:p>
      <w:pPr>
        <w:spacing w:after="180" w:line="300"/>
      </w:pPr>
      <w:r>
        <w:rPr>
          <w:rFonts w:ascii="Arial" w:cs="Arial" w:eastAsia="Arial" w:hAnsi="Arial"/>
          <w:b/>
          <w:bCs/>
          <w:color w:val="1A2332"/>
          <w:sz w:val="20"/>
          <w:szCs w:val="20"/>
        </w:rPr>
        <w:t xml:space="preserve">Punctuation: </w:t>
      </w:r>
      <w:r>
        <w:rPr>
          <w:rFonts w:ascii="Arial" w:cs="Arial" w:eastAsia="Arial" w:hAnsi="Arial"/>
          <w:color w:val="333333"/>
          <w:sz w:val="20"/>
          <w:szCs w:val="20"/>
        </w:rPr>
        <w:t xml:space="preserve">No em dashes appear anywhere in this document. All dashes used are standard hyphens in compound words. Ensure that no em dashes are introduced during implementation.</w:t>
      </w:r>
    </w:p>
    <w:p>
      <w:pPr>
        <w:spacing w:before="50"/>
      </w:pPr>
    </w:p>
    <w:p>
      <w:pPr>
        <w:spacing w:after="180" w:line="300"/>
      </w:pPr>
      <w:r>
        <w:rPr>
          <w:rFonts w:ascii="Arial" w:cs="Arial" w:eastAsia="Arial" w:hAnsi="Arial"/>
          <w:b/>
          <w:bCs/>
          <w:color w:val="1A2332"/>
          <w:sz w:val="20"/>
          <w:szCs w:val="20"/>
        </w:rPr>
        <w:t xml:space="preserve">Spelling convention: </w:t>
      </w:r>
      <w:r>
        <w:rPr>
          <w:rFonts w:ascii="Arial" w:cs="Arial" w:eastAsia="Arial" w:hAnsi="Arial"/>
          <w:color w:val="333333"/>
          <w:sz w:val="20"/>
          <w:szCs w:val="20"/>
        </w:rPr>
        <w:t xml:space="preserve">British English spelling is used throughout (e.g. "minimise" not "minimize", "favour" not "favor", "defence" not "defense"). This is consistent with the Withers/Payne Hicks Beach positioning and reflects international private client practice standards.</w:t>
      </w:r>
    </w:p>
    <w:p>
      <w:pPr>
        <w:spacing w:before="50"/>
      </w:pPr>
    </w:p>
    <w:p>
      <w:pPr>
        <w:spacing w:after="180" w:line="300"/>
      </w:pPr>
      <w:r>
        <w:rPr>
          <w:rFonts w:ascii="Arial" w:cs="Arial" w:eastAsia="Arial" w:hAnsi="Arial"/>
          <w:b/>
          <w:bCs/>
          <w:color w:val="1A2332"/>
          <w:sz w:val="20"/>
          <w:szCs w:val="20"/>
        </w:rPr>
        <w:t xml:space="preserve">Hebrew version: </w:t>
      </w:r>
      <w:r>
        <w:rPr>
          <w:rFonts w:ascii="Arial" w:cs="Arial" w:eastAsia="Arial" w:hAnsi="Arial"/>
          <w:color w:val="333333"/>
          <w:sz w:val="20"/>
          <w:szCs w:val="20"/>
        </w:rPr>
        <w:t xml:space="preserve">This document covers the English content only. Hebrew translations should be prepared separately, maintaining the same structure and tone.</w:t>
      </w:r>
    </w:p>
    <w:p>
      <w:pPr>
        <w:spacing w:before="50"/>
      </w:pPr>
    </w:p>
    <w:p>
      <w:pPr>
        <w:spacing w:after="180" w:line="300"/>
      </w:pPr>
      <w:r>
        <w:rPr>
          <w:rFonts w:ascii="Arial" w:cs="Arial" w:eastAsia="Arial" w:hAnsi="Arial"/>
          <w:b/>
          <w:bCs/>
          <w:color w:val="1A2332"/>
          <w:sz w:val="20"/>
          <w:szCs w:val="20"/>
        </w:rPr>
        <w:t xml:space="preserve">FAQ answers: </w:t>
      </w:r>
      <w:r>
        <w:rPr>
          <w:rFonts w:ascii="Arial" w:cs="Arial" w:eastAsia="Arial" w:hAnsi="Arial"/>
          <w:color w:val="333333"/>
          <w:sz w:val="20"/>
          <w:szCs w:val="20"/>
        </w:rPr>
        <w:t xml:space="preserve">The FAQ answers in this document are the same revised answers provided in DOC 4 (FAQ Revised Answers). They are included here for completeness so that this document is self-contained.</w:t>
      </w:r>
    </w:p>
    <w:p>
      <w:pPr>
        <w:spacing w:before="50"/>
      </w:pPr>
    </w:p>
    <w:p>
      <w:pPr>
        <w:spacing w:after="180" w:line="300"/>
      </w:pPr>
      <w:r>
        <w:rPr>
          <w:rFonts w:ascii="Arial" w:cs="Arial" w:eastAsia="Arial" w:hAnsi="Arial"/>
          <w:b/>
          <w:bCs/>
          <w:color w:val="1A2332"/>
          <w:sz w:val="20"/>
          <w:szCs w:val="20"/>
        </w:rPr>
        <w:t xml:space="preserve">Related documents: </w:t>
      </w:r>
      <w:r>
        <w:rPr>
          <w:rFonts w:ascii="Arial" w:cs="Arial" w:eastAsia="Arial" w:hAnsi="Arial"/>
          <w:color w:val="333333"/>
          <w:sz w:val="20"/>
          <w:szCs w:val="20"/>
        </w:rPr>
        <w:t xml:space="preserve">DOC 1 (Technical Brief), DOC 2 (SEO Meta Tags), DOC 3 (Homepage and About Page Revisions), and DOC 4 (FAQ Revised Answers) should be implemented together with this document for a consistent site-wide update.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2E75B6"/>
        <w:sz w:val="16"/>
        <w:szCs w:val="16"/>
      </w:rPr>
      <w:t xml:space="preserve">Maya Ziv Law  |  DOC 5: Revised Service Pages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2026-03-13T10:29:33.032Z</dcterms:created>
  <dcterms:modified xsi:type="dcterms:W3CDTF">2026-03-13T10:29:33.032Z</dcterms:modified>
</cp:coreProperties>
</file>

<file path=docProps/custom.xml><?xml version="1.0" encoding="utf-8"?>
<Properties xmlns="http://schemas.openxmlformats.org/officeDocument/2006/custom-properties" xmlns:vt="http://schemas.openxmlformats.org/officeDocument/2006/docPropsVTypes"/>
</file>