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2882"/>
        <w:gridCol w:w="3108"/>
        <w:gridCol w:w="7256"/>
      </w:tblGrid>
      <w:tr w:rsidR="00140B4C" w:rsidRPr="00140B4C" w:rsidTr="00140B4C">
        <w:trPr>
          <w:trHeight w:val="320"/>
        </w:trPr>
        <w:tc>
          <w:tcPr>
            <w:tcW w:w="38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Symbol</w:t>
            </w:r>
          </w:p>
        </w:tc>
        <w:tc>
          <w:tcPr>
            <w:tcW w:w="35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Disease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Full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 xml:space="preserve"> Name </w:t>
            </w:r>
          </w:p>
        </w:tc>
        <w:tc>
          <w:tcPr>
            <w:tcW w:w="88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de-DE"/>
              </w:rPr>
              <w:t>Function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FAM57A  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membrane-associated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that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promotes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lung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carcinogenesis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Family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Sequence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Similarity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57 Member A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amino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acid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transport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glutathione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metabolism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HIST1H2BD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Rahman Syndrome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Histone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Cluster 1 H2B Family Member D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Histone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Cluster </w:t>
            </w:r>
          </w:p>
        </w:tc>
      </w:tr>
      <w:tr w:rsidR="00140B4C" w:rsidRPr="00140B4C" w:rsidTr="00140B4C">
        <w:trPr>
          <w:trHeight w:val="320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PMF1                                                                             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Polyamine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Modulated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Factor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1, 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Part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MIS12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complex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which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required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normal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chromosome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alignment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segregation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kinetochore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formation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during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mitosis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JADE2                                                                               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Jade Family PHD Finger 2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Component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HBO1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complex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which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has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histone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H4-specific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acetyltransferase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activity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LMNB1   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autosomal dominant adult-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onset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leukodystrophy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(ADLD)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Lamin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B1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nuclear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lamina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AQP3                                                                                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water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channel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aquaporin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promote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glycerol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permeability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water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transport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across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cell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membrane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KIAA0368                                                                            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Ecm29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Proteasome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Adaptor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Scaffold</w:t>
            </w:r>
            <w:proofErr w:type="spellEnd"/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couple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 proteasome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to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different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compartments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including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endosome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endoplasmic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reticulum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centrosome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ENPP2   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Intrahepatic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Cholestasis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Pregnancy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Teratocarcinoma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Ectonucleotide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Pyrophosphatase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/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Phosphodiesterase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The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encoded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by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gene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functions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both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phosphodiesterase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which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cleaves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phosphodiester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bonds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at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5' end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oligonucleotides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phospholipase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which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catalyzes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production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lysophosphatidic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acid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(LPA)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extracellular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fluids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LPA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evokes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growth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factor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-like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responses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including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stimulation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cell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proliferation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chemotaxis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This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gene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product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stimulates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motility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tumor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cells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has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angiogenic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properties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its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expression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upregulated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several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kinds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carcinoma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SYT11 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Parkinson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Disease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Late-Onset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Synaptotagmin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11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calcium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sensors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mediate calcium-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dependent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regulation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membrane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trafficking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synaptic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transmission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The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encoded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also 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substrate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ubiquitin-E3-ligase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parkin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HIST1H3F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Diffuse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Intrinsic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Pontine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Glioma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Corneal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Dystrophy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Posterior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Polymorphous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, 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Histone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Cluster 1 H3 Family Member 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Histone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Cluster </w:t>
            </w:r>
            <w:bookmarkStart w:id="0" w:name="_GoBack"/>
            <w:bookmarkEnd w:id="0"/>
          </w:p>
        </w:tc>
      </w:tr>
      <w:tr w:rsidR="00140B4C" w:rsidRPr="00140B4C" w:rsidTr="00140B4C">
        <w:trPr>
          <w:trHeight w:val="320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VWA5A                                                                             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</w:pPr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Von Willebrand 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Factor</w:t>
            </w:r>
            <w:proofErr w:type="spellEnd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 A Domain 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Containing</w:t>
            </w:r>
            <w:proofErr w:type="spellEnd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 5A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May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play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role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tumorigenesis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tumor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suppressor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.</w:t>
            </w:r>
          </w:p>
        </w:tc>
      </w:tr>
      <w:tr w:rsidR="00140B4C" w:rsidRPr="00140B4C" w:rsidTr="00140B4C">
        <w:trPr>
          <w:trHeight w:val="320"/>
        </w:trPr>
        <w:tc>
          <w:tcPr>
            <w:tcW w:w="5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LOC728392                                                                                                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Uncharacterized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</w:p>
        </w:tc>
      </w:tr>
      <w:tr w:rsidR="00140B4C" w:rsidRPr="00140B4C" w:rsidTr="00140B4C">
        <w:trPr>
          <w:trHeight w:val="36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TRIP6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hyroid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Hormone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Receptor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Interactor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6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Helvetica" w:eastAsia="Times New Roman" w:hAnsi="Helvetica" w:cs="Calibri"/>
                <w:color w:val="333333"/>
                <w:sz w:val="28"/>
                <w:szCs w:val="28"/>
                <w:lang w:eastAsia="de-DE"/>
              </w:rPr>
            </w:pPr>
            <w:r w:rsidRPr="00140B4C">
              <w:rPr>
                <w:rFonts w:ascii="Helvetica" w:eastAsia="Times New Roman" w:hAnsi="Helvetica" w:cs="Calibri"/>
                <w:color w:val="333333"/>
                <w:sz w:val="28"/>
                <w:szCs w:val="28"/>
                <w:lang w:eastAsia="de-DE"/>
              </w:rPr>
              <w:t> </w:t>
            </w:r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NOD-like 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receptor</w:t>
            </w:r>
            <w:proofErr w:type="spellEnd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signaling</w:t>
            </w:r>
            <w:proofErr w:type="spellEnd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pathway</w:t>
            </w:r>
            <w:proofErr w:type="spellEnd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 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 LPA 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receptor</w:t>
            </w:r>
            <w:proofErr w:type="spellEnd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mediated</w:t>
            </w:r>
            <w:proofErr w:type="spellEnd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events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RUNDC3B                                                                        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RUN DOMAIN-CONTAINING PROTEIN 3B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Burmeister et al. (2015)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examined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methylation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status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6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regions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spanning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CpG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island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RUNDC3B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promoter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region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cancer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cell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lines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Lymphoid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malignancies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exhibited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prominent RUNDC3B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promoter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methylation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did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not express RUNDC3B,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unlike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myeloid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malignancies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solid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tumors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The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authors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suggested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that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DNA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methylation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region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serve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biomarker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lymphoid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malignancie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TMEM35B///ZMYM6                                                                                     </w:t>
            </w:r>
          </w:p>
        </w:tc>
        <w:tc>
          <w:tcPr>
            <w:tcW w:w="10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Transmembrane Protein 35</w:t>
            </w:r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MCM5 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Meier-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Gorlin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Syndrome 8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Melanoacanthoma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Minichromosome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Maintenance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Complex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Component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nitiation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DNA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replication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The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encoded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member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MCM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family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chromatin-binding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proteins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can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interact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at least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two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other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members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family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The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encoded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upregulated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transition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from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G0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to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G1/S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phase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cell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cycle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actively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participate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cell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cycle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regulation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ZMYND11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Mental Retardation, Autosomal </w:t>
            </w:r>
            <w:proofErr w:type="gram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Dominant</w:t>
            </w:r>
            <w:proofErr w:type="gram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30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Autosomal Dominant Non-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Syndromic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Intellectual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Disability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Zinc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Finger MYND-Type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Containing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11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transcriptional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repressor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NFKB1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Immunodeficiency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Common Variable, 12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Common Variable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Immunodeficiency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Nuclear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Factor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Kappa B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Subunit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pleiotropic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transcription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factor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PSMB10                                                                                                    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Proteasome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Subunit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Beta 10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 (Textkörper)" w:eastAsia="Times New Roman" w:hAnsi="Calibri (Textkörper)" w:cs="Calibri"/>
                <w:color w:val="000000"/>
                <w:lang w:eastAsia="de-DE"/>
              </w:rPr>
              <w:t>proteasome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000000" w:fill="70AD47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 xml:space="preserve">HIST2H2BE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Vaccinia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Systemic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Lupus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Erythematosus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Histone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Cluster 2 H2B Family Member E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Histone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Cluster </w:t>
            </w:r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AVEN    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Schizoid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Personality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Disorder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Chromosome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15Q13.3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Deletion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Syndrome.</w:t>
            </w:r>
          </w:p>
        </w:tc>
        <w:tc>
          <w:tcPr>
            <w:tcW w:w="10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Apoptosis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Caspase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Activation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Inhibitor</w:t>
            </w:r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PHF11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Asthma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Ige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Responsiveness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Atopic</w:t>
            </w:r>
            <w:proofErr w:type="spellEnd"/>
          </w:p>
        </w:tc>
        <w:tc>
          <w:tcPr>
            <w:tcW w:w="104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PHD Finger Protein 11</w:t>
            </w:r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KIF5C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Cortical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Dysplasia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Complex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Other Brain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Malformations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Complex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Cortical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Dysplasia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With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Other Brain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Malformations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Kinesin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Family Member 5C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inesin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heavy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chain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subunit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involved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transport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cargo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within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central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nervous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system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CORO1A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Immunodeficiency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8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Coronin-1A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Deficiency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Coronin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1A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cell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cycle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progression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signal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transduction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apoptosis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gene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regulation</w:t>
            </w:r>
            <w:proofErr w:type="spellEnd"/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MPDU1                                                                                                      </w:t>
            </w:r>
          </w:p>
        </w:tc>
        <w:tc>
          <w:tcPr>
            <w:tcW w:w="350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Congenital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Disorder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Glycosylation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Type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Congenital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Disorder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Glycosylation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Type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Iia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Mannose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-P-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Dolichol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Utilization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Defect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1</w:t>
            </w:r>
          </w:p>
        </w:tc>
        <w:tc>
          <w:tcPr>
            <w:tcW w:w="886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endoplasmic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reticulum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membrane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protein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that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required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utilization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mannose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donor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mannose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-P-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dolichol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synthesis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lipid-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linked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oligosaccharides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glycosylphosphatidylinositols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.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Mutations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this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gene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result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in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congenital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disorder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glycosylation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type</w:t>
            </w:r>
          </w:p>
        </w:tc>
      </w:tr>
      <w:tr w:rsidR="00140B4C" w:rsidRPr="00140B4C" w:rsidTr="00140B4C">
        <w:trPr>
          <w:trHeight w:val="320"/>
        </w:trPr>
        <w:tc>
          <w:tcPr>
            <w:tcW w:w="38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FOS</w:t>
            </w:r>
          </w:p>
        </w:tc>
        <w:tc>
          <w:tcPr>
            <w:tcW w:w="350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Acute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Pericementitis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Osteoblastoma</w:t>
            </w:r>
            <w:proofErr w:type="spell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Fos Proto-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Oncogene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AP-1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Transcription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Factor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Subunit</w:t>
            </w:r>
            <w:proofErr w:type="spellEnd"/>
          </w:p>
        </w:tc>
        <w:tc>
          <w:tcPr>
            <w:tcW w:w="88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40B4C" w:rsidRPr="00140B4C" w:rsidRDefault="00140B4C" w:rsidP="00140B4C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regulators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of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cell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proliferation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differentiation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and</w:t>
            </w:r>
            <w:proofErr w:type="spellEnd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proofErr w:type="spellStart"/>
            <w:r w:rsidRPr="00140B4C">
              <w:rPr>
                <w:rFonts w:ascii="Calibri" w:eastAsia="Times New Roman" w:hAnsi="Calibri" w:cs="Calibri"/>
                <w:color w:val="000000"/>
                <w:lang w:eastAsia="de-DE"/>
              </w:rPr>
              <w:t>transformation</w:t>
            </w:r>
            <w:proofErr w:type="spellEnd"/>
          </w:p>
        </w:tc>
      </w:tr>
    </w:tbl>
    <w:p w:rsidR="00CF6202" w:rsidRPr="00140B4C" w:rsidRDefault="00140B4C" w:rsidP="00140B4C"/>
    <w:sectPr w:rsidR="00CF6202" w:rsidRPr="00140B4C" w:rsidSect="002049EC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Textkörper)">
    <w:altName w:val="Calibr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EC"/>
    <w:rsid w:val="0000400F"/>
    <w:rsid w:val="00117964"/>
    <w:rsid w:val="00140B4C"/>
    <w:rsid w:val="002049EC"/>
    <w:rsid w:val="00436F1E"/>
    <w:rsid w:val="005E0AF1"/>
    <w:rsid w:val="007F660E"/>
    <w:rsid w:val="00974A19"/>
    <w:rsid w:val="00974B93"/>
    <w:rsid w:val="009757F6"/>
    <w:rsid w:val="009C4063"/>
    <w:rsid w:val="00AF137A"/>
    <w:rsid w:val="00B21FCB"/>
    <w:rsid w:val="00B36D1C"/>
    <w:rsid w:val="00B47624"/>
    <w:rsid w:val="00C13413"/>
    <w:rsid w:val="00C5013E"/>
    <w:rsid w:val="00D25765"/>
    <w:rsid w:val="00E808D2"/>
    <w:rsid w:val="00E96387"/>
    <w:rsid w:val="00EE0B9D"/>
    <w:rsid w:val="00EF1399"/>
    <w:rsid w:val="00F11EE8"/>
    <w:rsid w:val="00F6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DA5BF1"/>
  <w15:chartTrackingRefBased/>
  <w15:docId w15:val="{65D47B10-FF14-9143-9CF5-04211ECF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970</Words>
  <Characters>6114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Plutowski</dc:creator>
  <cp:keywords/>
  <dc:description/>
  <cp:lastModifiedBy>Laura Plutowski</cp:lastModifiedBy>
  <cp:revision>1</cp:revision>
  <dcterms:created xsi:type="dcterms:W3CDTF">2019-06-22T18:02:00Z</dcterms:created>
  <dcterms:modified xsi:type="dcterms:W3CDTF">2019-06-22T18:42:00Z</dcterms:modified>
</cp:coreProperties>
</file>