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114B" w14:textId="60414431" w:rsidR="00B14A96" w:rsidRDefault="00B14A96" w:rsidP="00A02357">
      <w:pPr>
        <w:jc w:val="center"/>
        <w:rPr>
          <w:b/>
          <w:bCs/>
          <w:i/>
          <w:iCs/>
        </w:rPr>
      </w:pPr>
      <w:r>
        <w:rPr>
          <w:b/>
          <w:bCs/>
          <w:i/>
          <w:iCs/>
        </w:rPr>
        <w:t xml:space="preserve">Daniel </w:t>
      </w:r>
      <w:proofErr w:type="spellStart"/>
      <w:r>
        <w:rPr>
          <w:b/>
          <w:bCs/>
          <w:i/>
          <w:iCs/>
        </w:rPr>
        <w:t>Stiven</w:t>
      </w:r>
      <w:proofErr w:type="spellEnd"/>
      <w:r>
        <w:rPr>
          <w:b/>
          <w:bCs/>
          <w:i/>
          <w:iCs/>
        </w:rPr>
        <w:t xml:space="preserve"> Cardona Espinal</w:t>
      </w:r>
    </w:p>
    <w:p w14:paraId="079F1AEF" w14:textId="7DD8E7D6" w:rsidR="00B14A96" w:rsidRDefault="00B14A96" w:rsidP="00A02357">
      <w:pPr>
        <w:jc w:val="center"/>
        <w:rPr>
          <w:b/>
          <w:bCs/>
          <w:i/>
          <w:iCs/>
        </w:rPr>
      </w:pPr>
      <w:r w:rsidRPr="00B14A96">
        <w:rPr>
          <w:b/>
          <w:bCs/>
          <w:i/>
          <w:iCs/>
        </w:rPr>
        <w:t>REINALDO JOSE</w:t>
      </w:r>
      <w:r w:rsidRPr="00B14A96">
        <w:rPr>
          <w:b/>
          <w:bCs/>
          <w:i/>
          <w:iCs/>
        </w:rPr>
        <w:br/>
        <w:t>PICADO ARCILA</w:t>
      </w:r>
    </w:p>
    <w:p w14:paraId="67B9639B" w14:textId="6CC79BD7" w:rsidR="00B14A96" w:rsidRDefault="00B14A96" w:rsidP="00A02357">
      <w:pPr>
        <w:jc w:val="center"/>
        <w:rPr>
          <w:b/>
          <w:bCs/>
          <w:i/>
          <w:iCs/>
        </w:rPr>
      </w:pPr>
      <w:r>
        <w:rPr>
          <w:b/>
          <w:bCs/>
          <w:i/>
          <w:iCs/>
        </w:rPr>
        <w:t xml:space="preserve">Andrés </w:t>
      </w:r>
      <w:r w:rsidRPr="00B14A96">
        <w:rPr>
          <w:b/>
          <w:bCs/>
          <w:i/>
          <w:iCs/>
        </w:rPr>
        <w:t>FAURICIO ORREGO SERNA</w:t>
      </w:r>
    </w:p>
    <w:p w14:paraId="73497009" w14:textId="46669044" w:rsidR="00A02357" w:rsidRDefault="00A02357" w:rsidP="00A02357">
      <w:pPr>
        <w:jc w:val="center"/>
        <w:rPr>
          <w:b/>
          <w:bCs/>
          <w:i/>
          <w:iCs/>
        </w:rPr>
      </w:pPr>
      <w:r w:rsidRPr="00A02357">
        <w:rPr>
          <w:b/>
          <w:bCs/>
          <w:i/>
          <w:iCs/>
        </w:rPr>
        <w:t>Proxemia en la interacción humana</w:t>
      </w:r>
    </w:p>
    <w:p w14:paraId="66E9EEC3" w14:textId="5240D0C3" w:rsidR="00A02357" w:rsidRDefault="00A02357" w:rsidP="00A02357">
      <w:pPr>
        <w:rPr>
          <w:rFonts w:ascii="Arial" w:hAnsi="Arial" w:cs="Arial"/>
          <w:sz w:val="20"/>
          <w:szCs w:val="20"/>
        </w:rPr>
      </w:pPr>
      <w:r w:rsidRPr="00A02357">
        <w:rPr>
          <w:rFonts w:ascii="Arial" w:hAnsi="Arial" w:cs="Arial"/>
          <w:sz w:val="20"/>
          <w:szCs w:val="20"/>
        </w:rPr>
        <w:t xml:space="preserve">Cuando nos comunicamos, las palabras son solo una parte de la ecuación. Existe un entramado de gestos, miradas y, de manera muy sutil, distancias, que le dan sentido a lo que decimos. El estudio de este último factor, el uso que hacemos del espacio físico y cómo este afecta nuestras relaciones, es lo que conocemos como </w:t>
      </w:r>
      <w:r w:rsidRPr="00A02357">
        <w:rPr>
          <w:rFonts w:ascii="Arial" w:hAnsi="Arial" w:cs="Arial"/>
          <w:b/>
          <w:bCs/>
          <w:sz w:val="20"/>
          <w:szCs w:val="20"/>
        </w:rPr>
        <w:t>proxemia</w:t>
      </w:r>
      <w:r w:rsidRPr="00A02357">
        <w:rPr>
          <w:rFonts w:ascii="Arial" w:hAnsi="Arial" w:cs="Arial"/>
          <w:sz w:val="20"/>
          <w:szCs w:val="20"/>
        </w:rPr>
        <w:t>. Lejos de ser un vacío sin importancia, el espacio que dejamos entre nosotros y los demás funciona como un canal de comunicación dinámico, cargado de intenciones, normas culturales y jerarquías sociales.</w:t>
      </w:r>
    </w:p>
    <w:p w14:paraId="41FDF16C" w14:textId="5CF72DF5" w:rsidR="00A02357" w:rsidRDefault="00A02357" w:rsidP="00A02357">
      <w:pPr>
        <w:rPr>
          <w:rFonts w:cstheme="minorHAnsi"/>
          <w:b/>
          <w:bCs/>
          <w:i/>
          <w:iCs/>
        </w:rPr>
      </w:pPr>
      <w:r w:rsidRPr="00A02357">
        <w:rPr>
          <w:rFonts w:cstheme="minorHAnsi"/>
          <w:b/>
          <w:bCs/>
          <w:i/>
          <w:iCs/>
        </w:rPr>
        <w:t>Burbuja personal</w:t>
      </w:r>
    </w:p>
    <w:p w14:paraId="71673E2D" w14:textId="7EE59106" w:rsidR="00A02357" w:rsidRDefault="00A02357" w:rsidP="00A02357">
      <w:pPr>
        <w:rPr>
          <w:rFonts w:ascii="Arial" w:hAnsi="Arial" w:cs="Arial"/>
          <w:sz w:val="20"/>
          <w:szCs w:val="20"/>
        </w:rPr>
      </w:pPr>
      <w:r w:rsidRPr="00A02357">
        <w:rPr>
          <w:rFonts w:ascii="Arial" w:hAnsi="Arial" w:cs="Arial"/>
          <w:sz w:val="20"/>
          <w:szCs w:val="20"/>
        </w:rPr>
        <w:t xml:space="preserve">El concepto fue acuñado en la década de 1960 por el antropólogo estadounidense </w:t>
      </w:r>
      <w:r w:rsidRPr="00A02357">
        <w:rPr>
          <w:rFonts w:ascii="Arial" w:hAnsi="Arial" w:cs="Arial"/>
          <w:b/>
          <w:bCs/>
          <w:sz w:val="20"/>
          <w:szCs w:val="20"/>
        </w:rPr>
        <w:t>Edward T. Hall</w:t>
      </w:r>
      <w:r w:rsidRPr="00A02357">
        <w:rPr>
          <w:rFonts w:ascii="Arial" w:hAnsi="Arial" w:cs="Arial"/>
          <w:sz w:val="20"/>
          <w:szCs w:val="20"/>
        </w:rPr>
        <w:t>, quien planteó que los seres humanos nos movemos dentro de una especie de "burbuja" invisible de espacio personal (Hall, 1966). Cuando alguien traspasa ese límite sin nuestro consentimiento, la reacción no es solo mental, sino también fisiológica; experimentamos una incomodidad inmediata que nos empuja a alejarnos, cruzar los brazos o evitar la mirada para restablecer el equilibrio perdido.</w:t>
      </w:r>
    </w:p>
    <w:p w14:paraId="05DDF2CD" w14:textId="6049285E" w:rsidR="00A02357" w:rsidRDefault="00A02357" w:rsidP="00A02357">
      <w:pPr>
        <w:rPr>
          <w:rFonts w:ascii="Arial" w:hAnsi="Arial" w:cs="Arial"/>
          <w:sz w:val="20"/>
          <w:szCs w:val="20"/>
        </w:rPr>
      </w:pPr>
      <w:r w:rsidRPr="00A02357">
        <w:rPr>
          <w:rFonts w:cstheme="minorHAnsi"/>
          <w:b/>
          <w:bCs/>
          <w:i/>
          <w:iCs/>
        </w:rPr>
        <w:t>Las dimensiones del espacio interpersonal</w:t>
      </w:r>
    </w:p>
    <w:p w14:paraId="41526527" w14:textId="77777777" w:rsidR="00A02357" w:rsidRPr="00A02357" w:rsidRDefault="00A02357" w:rsidP="00A02357">
      <w:pPr>
        <w:rPr>
          <w:rFonts w:ascii="Arial" w:hAnsi="Arial" w:cs="Arial"/>
          <w:sz w:val="20"/>
          <w:szCs w:val="20"/>
        </w:rPr>
      </w:pPr>
      <w:r w:rsidRPr="00A02357">
        <w:rPr>
          <w:rFonts w:ascii="Arial" w:hAnsi="Arial" w:cs="Arial"/>
          <w:sz w:val="20"/>
          <w:szCs w:val="20"/>
        </w:rPr>
        <w:t>Para entender cómo gestionamos estas distancias, Hall (1966) identificó cuatro grandes zonas o radios de acción, basándose en el tipo de interacción y la confianza entre los participantes:</w:t>
      </w:r>
    </w:p>
    <w:p w14:paraId="10FF53BA" w14:textId="77777777" w:rsidR="00A02357" w:rsidRPr="00A02357" w:rsidRDefault="00A02357" w:rsidP="00A02357">
      <w:pPr>
        <w:numPr>
          <w:ilvl w:val="0"/>
          <w:numId w:val="1"/>
        </w:numPr>
        <w:rPr>
          <w:rFonts w:ascii="Arial" w:hAnsi="Arial" w:cs="Arial"/>
          <w:sz w:val="20"/>
          <w:szCs w:val="20"/>
        </w:rPr>
      </w:pPr>
      <w:r w:rsidRPr="00A02357">
        <w:rPr>
          <w:rFonts w:ascii="Arial" w:hAnsi="Arial" w:cs="Arial"/>
          <w:b/>
          <w:bCs/>
          <w:sz w:val="20"/>
          <w:szCs w:val="20"/>
        </w:rPr>
        <w:t>Zona íntima (hasta los 45 centímetros):</w:t>
      </w:r>
      <w:r w:rsidRPr="00A02357">
        <w:rPr>
          <w:rFonts w:ascii="Arial" w:hAnsi="Arial" w:cs="Arial"/>
          <w:sz w:val="20"/>
          <w:szCs w:val="20"/>
        </w:rPr>
        <w:t xml:space="preserve"> Es el terreno del contacto físico, los susurros y los vínculos afectivos más profundos, como las parejas o la familia cercana. La entrada de un extraño en este espacio se percibe casi siempre como una invasión o una amenaza.</w:t>
      </w:r>
    </w:p>
    <w:p w14:paraId="2E3BAFC8" w14:textId="3AD7E11F" w:rsidR="00A02357" w:rsidRPr="00A02357" w:rsidRDefault="00A02357" w:rsidP="00A02357">
      <w:pPr>
        <w:numPr>
          <w:ilvl w:val="0"/>
          <w:numId w:val="1"/>
        </w:numPr>
        <w:rPr>
          <w:rFonts w:ascii="Arial" w:hAnsi="Arial" w:cs="Arial"/>
          <w:sz w:val="20"/>
          <w:szCs w:val="20"/>
        </w:rPr>
      </w:pPr>
      <w:r w:rsidRPr="00A02357">
        <w:rPr>
          <w:rFonts w:ascii="Arial" w:hAnsi="Arial" w:cs="Arial"/>
          <w:b/>
          <w:bCs/>
          <w:sz w:val="20"/>
          <w:szCs w:val="20"/>
        </w:rPr>
        <w:t>Zona personal (entre 45 centímetros y 1.20 metros):</w:t>
      </w:r>
      <w:r w:rsidRPr="00A02357">
        <w:rPr>
          <w:rFonts w:ascii="Arial" w:hAnsi="Arial" w:cs="Arial"/>
          <w:sz w:val="20"/>
          <w:szCs w:val="20"/>
        </w:rPr>
        <w:t xml:space="preserve"> Podríamos definirla como el límite de nuestro brazo extendido. Es la distancia que mantenemos en conversaciones cotidianas con amigos o compañeros de trabajo; permite cercanía, pero resguarda la individualidad.</w:t>
      </w:r>
    </w:p>
    <w:p w14:paraId="42D361C0" w14:textId="111241EE" w:rsidR="00A02357" w:rsidRPr="00A02357" w:rsidRDefault="00A02357" w:rsidP="00A02357">
      <w:pPr>
        <w:numPr>
          <w:ilvl w:val="0"/>
          <w:numId w:val="1"/>
        </w:numPr>
        <w:rPr>
          <w:rFonts w:ascii="Arial" w:hAnsi="Arial" w:cs="Arial"/>
          <w:sz w:val="20"/>
          <w:szCs w:val="20"/>
        </w:rPr>
      </w:pPr>
      <w:r w:rsidRPr="00A02357">
        <w:rPr>
          <w:rFonts w:ascii="Arial" w:hAnsi="Arial" w:cs="Arial"/>
          <w:b/>
          <w:bCs/>
          <w:sz w:val="20"/>
          <w:szCs w:val="20"/>
        </w:rPr>
        <w:t>Zona social (de 1.20 a 3.60 metros):</w:t>
      </w:r>
      <w:r w:rsidRPr="00A02357">
        <w:rPr>
          <w:rFonts w:ascii="Arial" w:hAnsi="Arial" w:cs="Arial"/>
          <w:sz w:val="20"/>
          <w:szCs w:val="20"/>
        </w:rPr>
        <w:t xml:space="preserve"> Aquí se desarrollan las interacciones formales, laborales o comerciales. Es la distancia ideal para hablar con un vendedor, un cliente o un jefe, ya que el contacto físico queda descartado, pero se mantiene una comunicación clara.</w:t>
      </w:r>
    </w:p>
    <w:p w14:paraId="4259D146" w14:textId="77777777" w:rsidR="00A02357" w:rsidRDefault="00A02357" w:rsidP="00A02357">
      <w:pPr>
        <w:numPr>
          <w:ilvl w:val="0"/>
          <w:numId w:val="1"/>
        </w:numPr>
        <w:rPr>
          <w:rFonts w:ascii="Arial" w:hAnsi="Arial" w:cs="Arial"/>
          <w:sz w:val="20"/>
          <w:szCs w:val="20"/>
        </w:rPr>
      </w:pPr>
      <w:r w:rsidRPr="00A02357">
        <w:rPr>
          <w:rFonts w:ascii="Arial" w:hAnsi="Arial" w:cs="Arial"/>
          <w:b/>
          <w:bCs/>
          <w:sz w:val="20"/>
          <w:szCs w:val="20"/>
        </w:rPr>
        <w:t>Zona pública (más de 3.60 metros):</w:t>
      </w:r>
      <w:r w:rsidRPr="00A02357">
        <w:rPr>
          <w:rFonts w:ascii="Arial" w:hAnsi="Arial" w:cs="Arial"/>
          <w:sz w:val="20"/>
          <w:szCs w:val="20"/>
        </w:rPr>
        <w:t xml:space="preserve"> Es el espacio que se genera en conferencias, clases magistrales o discursos políticos. En este rango, la comunicación pierde bidireccionalidad y el emisor debe exagerar su lenguaje corporal y elevar la voz para conectar con el grupo.</w:t>
      </w:r>
    </w:p>
    <w:p w14:paraId="6D761C8F" w14:textId="08B23702" w:rsidR="00A02357" w:rsidRDefault="00A02357" w:rsidP="00A02357">
      <w:pPr>
        <w:ind w:left="360"/>
        <w:rPr>
          <w:rFonts w:cstheme="minorHAnsi"/>
          <w:b/>
          <w:bCs/>
          <w:i/>
          <w:iCs/>
        </w:rPr>
      </w:pPr>
      <w:r w:rsidRPr="00A02357">
        <w:rPr>
          <w:rFonts w:cstheme="minorHAnsi"/>
          <w:b/>
          <w:bCs/>
          <w:i/>
          <w:iCs/>
        </w:rPr>
        <w:t>Contexto cultural y diseño de entornos</w:t>
      </w:r>
    </w:p>
    <w:p w14:paraId="21B69276" w14:textId="77777777" w:rsidR="00A02357" w:rsidRPr="00A02357" w:rsidRDefault="00A02357" w:rsidP="00A02357">
      <w:pPr>
        <w:ind w:left="360"/>
        <w:rPr>
          <w:rFonts w:ascii="Arial" w:hAnsi="Arial" w:cs="Arial"/>
          <w:sz w:val="20"/>
          <w:szCs w:val="20"/>
        </w:rPr>
      </w:pPr>
      <w:r w:rsidRPr="00A02357">
        <w:rPr>
          <w:rFonts w:ascii="Arial" w:hAnsi="Arial" w:cs="Arial"/>
          <w:sz w:val="20"/>
          <w:szCs w:val="20"/>
        </w:rPr>
        <w:t xml:space="preserve">Uno de los puntos más interesantes de la proxemia es que sus límites no son fijos, sino que se aprenden de forma inconsciente según la cultura. Knapp (2007) señala que las sociedades del Mediterráneo y de América Latina son de "alto contacto", lo que significa que toleran distancias más cortas y naturalizan el acercamiento físico. En contraste, las culturas anglosajonas o del </w:t>
      </w:r>
      <w:r w:rsidRPr="00A02357">
        <w:rPr>
          <w:rFonts w:ascii="Arial" w:hAnsi="Arial" w:cs="Arial"/>
          <w:sz w:val="20"/>
          <w:szCs w:val="20"/>
        </w:rPr>
        <w:lastRenderedPageBreak/>
        <w:t>norte de Europa valoran mucho más la distancia y perciben el exceso de proximidad como una falta de respeto (Davis, 2010).</w:t>
      </w:r>
    </w:p>
    <w:p w14:paraId="741D70E9" w14:textId="77777777" w:rsidR="00A02357" w:rsidRDefault="00A02357" w:rsidP="00A02357">
      <w:pPr>
        <w:ind w:left="360"/>
        <w:rPr>
          <w:rFonts w:ascii="Arial" w:hAnsi="Arial" w:cs="Arial"/>
          <w:sz w:val="20"/>
          <w:szCs w:val="20"/>
        </w:rPr>
      </w:pPr>
      <w:r w:rsidRPr="00A02357">
        <w:rPr>
          <w:rFonts w:ascii="Arial" w:hAnsi="Arial" w:cs="Arial"/>
          <w:sz w:val="20"/>
          <w:szCs w:val="20"/>
        </w:rPr>
        <w:t>Esta gestión del espacio tiene un impacto directo en nuestra vida diaria, especialmente en la arquitectura y el diseño de interiores. Existen espacios diseñados para alejar a la gente (</w:t>
      </w:r>
      <w:r w:rsidRPr="00A02357">
        <w:rPr>
          <w:rFonts w:ascii="Arial" w:hAnsi="Arial" w:cs="Arial"/>
          <w:i/>
          <w:iCs/>
          <w:sz w:val="20"/>
          <w:szCs w:val="20"/>
        </w:rPr>
        <w:t>sociófugos</w:t>
      </w:r>
      <w:r w:rsidRPr="00A02357">
        <w:rPr>
          <w:rFonts w:ascii="Arial" w:hAnsi="Arial" w:cs="Arial"/>
          <w:sz w:val="20"/>
          <w:szCs w:val="20"/>
        </w:rPr>
        <w:t>), como las incómodas filas de asientos en las terminales de transporte, y otros pensados para integrarla (</w:t>
      </w:r>
      <w:r w:rsidRPr="00A02357">
        <w:rPr>
          <w:rFonts w:ascii="Arial" w:hAnsi="Arial" w:cs="Arial"/>
          <w:i/>
          <w:iCs/>
          <w:sz w:val="20"/>
          <w:szCs w:val="20"/>
        </w:rPr>
        <w:t>sociópetos</w:t>
      </w:r>
      <w:r w:rsidRPr="00A02357">
        <w:rPr>
          <w:rFonts w:ascii="Arial" w:hAnsi="Arial" w:cs="Arial"/>
          <w:sz w:val="20"/>
          <w:szCs w:val="20"/>
        </w:rPr>
        <w:t>), como las mesas redondas de los cafés o las distribuciones abiertas en las oficinas modernas, que buscan romper barreras y fomentar la colaboración (Fast, 2002).</w:t>
      </w:r>
    </w:p>
    <w:p w14:paraId="31727694" w14:textId="77777777" w:rsidR="00A02357" w:rsidRPr="00A02357" w:rsidRDefault="00A02357" w:rsidP="00A02357">
      <w:pPr>
        <w:ind w:left="360"/>
        <w:rPr>
          <w:rFonts w:ascii="Arial" w:hAnsi="Arial" w:cs="Arial"/>
          <w:b/>
          <w:bCs/>
          <w:sz w:val="20"/>
          <w:szCs w:val="20"/>
        </w:rPr>
      </w:pPr>
      <w:r w:rsidRPr="00A02357">
        <w:rPr>
          <w:rFonts w:ascii="Arial" w:hAnsi="Arial" w:cs="Arial"/>
          <w:b/>
          <w:bCs/>
          <w:sz w:val="20"/>
          <w:szCs w:val="20"/>
        </w:rPr>
        <w:t>Bibliografía</w:t>
      </w:r>
    </w:p>
    <w:p w14:paraId="0F3BD0EE" w14:textId="77777777" w:rsidR="00A02357" w:rsidRPr="00A02357" w:rsidRDefault="00A02357" w:rsidP="00A02357">
      <w:pPr>
        <w:numPr>
          <w:ilvl w:val="0"/>
          <w:numId w:val="2"/>
        </w:numPr>
        <w:rPr>
          <w:rFonts w:ascii="Arial" w:hAnsi="Arial" w:cs="Arial"/>
          <w:sz w:val="20"/>
          <w:szCs w:val="20"/>
        </w:rPr>
      </w:pPr>
      <w:r w:rsidRPr="00A02357">
        <w:rPr>
          <w:rFonts w:ascii="Arial" w:hAnsi="Arial" w:cs="Arial"/>
          <w:b/>
          <w:bCs/>
          <w:sz w:val="20"/>
          <w:szCs w:val="20"/>
        </w:rPr>
        <w:t>Davis, F.</w:t>
      </w:r>
      <w:r w:rsidRPr="00A02357">
        <w:rPr>
          <w:rFonts w:ascii="Arial" w:hAnsi="Arial" w:cs="Arial"/>
          <w:sz w:val="20"/>
          <w:szCs w:val="20"/>
        </w:rPr>
        <w:t xml:space="preserve"> (2010). </w:t>
      </w:r>
      <w:r w:rsidRPr="00A02357">
        <w:rPr>
          <w:rFonts w:ascii="Arial" w:hAnsi="Arial" w:cs="Arial"/>
          <w:i/>
          <w:iCs/>
          <w:sz w:val="20"/>
          <w:szCs w:val="20"/>
        </w:rPr>
        <w:t>El lenguaje de los gestos</w:t>
      </w:r>
      <w:r w:rsidRPr="00A02357">
        <w:rPr>
          <w:rFonts w:ascii="Arial" w:hAnsi="Arial" w:cs="Arial"/>
          <w:sz w:val="20"/>
          <w:szCs w:val="20"/>
        </w:rPr>
        <w:t>. Editorial Tres Tiempos.</w:t>
      </w:r>
    </w:p>
    <w:p w14:paraId="04CAE0AE" w14:textId="77777777" w:rsidR="00A02357" w:rsidRPr="00A02357" w:rsidRDefault="00A02357" w:rsidP="00A02357">
      <w:pPr>
        <w:numPr>
          <w:ilvl w:val="0"/>
          <w:numId w:val="2"/>
        </w:numPr>
        <w:rPr>
          <w:rFonts w:ascii="Arial" w:hAnsi="Arial" w:cs="Arial"/>
          <w:sz w:val="20"/>
          <w:szCs w:val="20"/>
        </w:rPr>
      </w:pPr>
      <w:r w:rsidRPr="00A02357">
        <w:rPr>
          <w:rFonts w:ascii="Arial" w:hAnsi="Arial" w:cs="Arial"/>
          <w:b/>
          <w:bCs/>
          <w:sz w:val="20"/>
          <w:szCs w:val="20"/>
        </w:rPr>
        <w:t>Fast, J.</w:t>
      </w:r>
      <w:r w:rsidRPr="00A02357">
        <w:rPr>
          <w:rFonts w:ascii="Arial" w:hAnsi="Arial" w:cs="Arial"/>
          <w:sz w:val="20"/>
          <w:szCs w:val="20"/>
        </w:rPr>
        <w:t xml:space="preserve"> (2002). </w:t>
      </w:r>
      <w:r w:rsidRPr="00A02357">
        <w:rPr>
          <w:rFonts w:ascii="Arial" w:hAnsi="Arial" w:cs="Arial"/>
          <w:i/>
          <w:iCs/>
          <w:sz w:val="20"/>
          <w:szCs w:val="20"/>
        </w:rPr>
        <w:t>El lenguaje del cuerpo</w:t>
      </w:r>
      <w:r w:rsidRPr="00A02357">
        <w:rPr>
          <w:rFonts w:ascii="Arial" w:hAnsi="Arial" w:cs="Arial"/>
          <w:sz w:val="20"/>
          <w:szCs w:val="20"/>
        </w:rPr>
        <w:t>. Editorial Kairós.</w:t>
      </w:r>
    </w:p>
    <w:p w14:paraId="761A18BF" w14:textId="77777777" w:rsidR="00A02357" w:rsidRPr="00A02357" w:rsidRDefault="00A02357" w:rsidP="00A02357">
      <w:pPr>
        <w:numPr>
          <w:ilvl w:val="0"/>
          <w:numId w:val="2"/>
        </w:numPr>
        <w:rPr>
          <w:rFonts w:ascii="Arial" w:hAnsi="Arial" w:cs="Arial"/>
          <w:sz w:val="20"/>
          <w:szCs w:val="20"/>
        </w:rPr>
      </w:pPr>
      <w:r w:rsidRPr="00A02357">
        <w:rPr>
          <w:rFonts w:ascii="Arial" w:hAnsi="Arial" w:cs="Arial"/>
          <w:b/>
          <w:bCs/>
          <w:sz w:val="20"/>
          <w:szCs w:val="20"/>
          <w:lang w:val="en-US"/>
        </w:rPr>
        <w:t>Hall, E. T.</w:t>
      </w:r>
      <w:r w:rsidRPr="00A02357">
        <w:rPr>
          <w:rFonts w:ascii="Arial" w:hAnsi="Arial" w:cs="Arial"/>
          <w:sz w:val="20"/>
          <w:szCs w:val="20"/>
          <w:lang w:val="en-US"/>
        </w:rPr>
        <w:t xml:space="preserve"> (1963). A System for the Notation of Proxemic Behavior. </w:t>
      </w:r>
      <w:r w:rsidRPr="00A02357">
        <w:rPr>
          <w:rFonts w:ascii="Arial" w:hAnsi="Arial" w:cs="Arial"/>
          <w:i/>
          <w:iCs/>
          <w:sz w:val="20"/>
          <w:szCs w:val="20"/>
        </w:rPr>
        <w:t>American Anthropologist</w:t>
      </w:r>
      <w:r w:rsidRPr="00A02357">
        <w:rPr>
          <w:rFonts w:ascii="Arial" w:hAnsi="Arial" w:cs="Arial"/>
          <w:sz w:val="20"/>
          <w:szCs w:val="20"/>
        </w:rPr>
        <w:t>, 65(5), 1003–1026.</w:t>
      </w:r>
    </w:p>
    <w:p w14:paraId="623457AA" w14:textId="77777777" w:rsidR="00A02357" w:rsidRPr="00A02357" w:rsidRDefault="00A02357" w:rsidP="00A02357">
      <w:pPr>
        <w:numPr>
          <w:ilvl w:val="0"/>
          <w:numId w:val="2"/>
        </w:numPr>
        <w:rPr>
          <w:rFonts w:ascii="Arial" w:hAnsi="Arial" w:cs="Arial"/>
          <w:sz w:val="20"/>
          <w:szCs w:val="20"/>
        </w:rPr>
      </w:pPr>
      <w:r w:rsidRPr="00A02357">
        <w:rPr>
          <w:rFonts w:ascii="Arial" w:hAnsi="Arial" w:cs="Arial"/>
          <w:b/>
          <w:bCs/>
          <w:sz w:val="20"/>
          <w:szCs w:val="20"/>
          <w:lang w:val="en-US"/>
        </w:rPr>
        <w:t>Hall, E. T.</w:t>
      </w:r>
      <w:r w:rsidRPr="00A02357">
        <w:rPr>
          <w:rFonts w:ascii="Arial" w:hAnsi="Arial" w:cs="Arial"/>
          <w:sz w:val="20"/>
          <w:szCs w:val="20"/>
          <w:lang w:val="en-US"/>
        </w:rPr>
        <w:t xml:space="preserve"> (1966). </w:t>
      </w:r>
      <w:r w:rsidRPr="00A02357">
        <w:rPr>
          <w:rFonts w:ascii="Arial" w:hAnsi="Arial" w:cs="Arial"/>
          <w:i/>
          <w:iCs/>
          <w:sz w:val="20"/>
          <w:szCs w:val="20"/>
          <w:lang w:val="en-US"/>
        </w:rPr>
        <w:t>The Hidden Dimension</w:t>
      </w:r>
      <w:r w:rsidRPr="00A02357">
        <w:rPr>
          <w:rFonts w:ascii="Arial" w:hAnsi="Arial" w:cs="Arial"/>
          <w:sz w:val="20"/>
          <w:szCs w:val="20"/>
          <w:lang w:val="en-US"/>
        </w:rPr>
        <w:t xml:space="preserve">. </w:t>
      </w:r>
      <w:r w:rsidRPr="00A02357">
        <w:rPr>
          <w:rFonts w:ascii="Arial" w:hAnsi="Arial" w:cs="Arial"/>
          <w:sz w:val="20"/>
          <w:szCs w:val="20"/>
        </w:rPr>
        <w:t>Doubleday &amp; Company.</w:t>
      </w:r>
    </w:p>
    <w:p w14:paraId="0D13ED67" w14:textId="77777777" w:rsidR="00A02357" w:rsidRPr="00A02357" w:rsidRDefault="00A02357" w:rsidP="00A02357">
      <w:pPr>
        <w:numPr>
          <w:ilvl w:val="0"/>
          <w:numId w:val="2"/>
        </w:numPr>
        <w:rPr>
          <w:rFonts w:ascii="Arial" w:hAnsi="Arial" w:cs="Arial"/>
          <w:sz w:val="20"/>
          <w:szCs w:val="20"/>
        </w:rPr>
      </w:pPr>
      <w:r w:rsidRPr="00A02357">
        <w:rPr>
          <w:rFonts w:ascii="Arial" w:hAnsi="Arial" w:cs="Arial"/>
          <w:b/>
          <w:bCs/>
          <w:sz w:val="20"/>
          <w:szCs w:val="20"/>
        </w:rPr>
        <w:t>Knapp, M. L.</w:t>
      </w:r>
      <w:r w:rsidRPr="00A02357">
        <w:rPr>
          <w:rFonts w:ascii="Arial" w:hAnsi="Arial" w:cs="Arial"/>
          <w:sz w:val="20"/>
          <w:szCs w:val="20"/>
        </w:rPr>
        <w:t xml:space="preserve"> (2007). </w:t>
      </w:r>
      <w:r w:rsidRPr="00A02357">
        <w:rPr>
          <w:rFonts w:ascii="Arial" w:hAnsi="Arial" w:cs="Arial"/>
          <w:i/>
          <w:iCs/>
          <w:sz w:val="20"/>
          <w:szCs w:val="20"/>
        </w:rPr>
        <w:t>La comunicación no verbal: El cuerpo y el entorno</w:t>
      </w:r>
      <w:r w:rsidRPr="00A02357">
        <w:rPr>
          <w:rFonts w:ascii="Arial" w:hAnsi="Arial" w:cs="Arial"/>
          <w:sz w:val="20"/>
          <w:szCs w:val="20"/>
        </w:rPr>
        <w:t>. Editorial Paidós.</w:t>
      </w:r>
    </w:p>
    <w:p w14:paraId="71E9BC35" w14:textId="77777777" w:rsidR="00A02357" w:rsidRPr="00A02357" w:rsidRDefault="00A02357" w:rsidP="00A02357">
      <w:pPr>
        <w:ind w:left="360"/>
        <w:rPr>
          <w:rFonts w:ascii="Arial" w:hAnsi="Arial" w:cs="Arial"/>
          <w:sz w:val="20"/>
          <w:szCs w:val="20"/>
        </w:rPr>
      </w:pPr>
    </w:p>
    <w:p w14:paraId="5F7DEBD4" w14:textId="77777777" w:rsidR="00A02357" w:rsidRPr="00A02357" w:rsidRDefault="00A02357" w:rsidP="00A02357">
      <w:pPr>
        <w:ind w:left="360"/>
        <w:rPr>
          <w:rFonts w:ascii="Arial" w:hAnsi="Arial" w:cs="Arial"/>
          <w:sz w:val="20"/>
          <w:szCs w:val="20"/>
        </w:rPr>
      </w:pPr>
    </w:p>
    <w:p w14:paraId="03597AD1" w14:textId="77777777" w:rsidR="00A02357" w:rsidRPr="00A02357" w:rsidRDefault="00A02357" w:rsidP="00A02357">
      <w:pPr>
        <w:rPr>
          <w:rFonts w:ascii="Arial" w:hAnsi="Arial" w:cs="Arial"/>
          <w:sz w:val="20"/>
          <w:szCs w:val="20"/>
        </w:rPr>
      </w:pPr>
    </w:p>
    <w:sectPr w:rsidR="00A02357" w:rsidRPr="00A023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CF1"/>
    <w:multiLevelType w:val="multilevel"/>
    <w:tmpl w:val="4CF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F053B"/>
    <w:multiLevelType w:val="multilevel"/>
    <w:tmpl w:val="C3E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33469">
    <w:abstractNumId w:val="0"/>
  </w:num>
  <w:num w:numId="2" w16cid:durableId="1240169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357"/>
    <w:rsid w:val="000017E4"/>
    <w:rsid w:val="00A02357"/>
    <w:rsid w:val="00B14A96"/>
    <w:rsid w:val="00B500C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8738"/>
  <w15:chartTrackingRefBased/>
  <w15:docId w15:val="{354DCCA4-1EF9-4287-A89B-435F1F5D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2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2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23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23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23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23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23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23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23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3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23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23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23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23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23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3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3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357"/>
    <w:rPr>
      <w:rFonts w:eastAsiaTheme="majorEastAsia" w:cstheme="majorBidi"/>
      <w:color w:val="272727" w:themeColor="text1" w:themeTint="D8"/>
    </w:rPr>
  </w:style>
  <w:style w:type="paragraph" w:styleId="Ttulo">
    <w:name w:val="Title"/>
    <w:basedOn w:val="Normal"/>
    <w:next w:val="Normal"/>
    <w:link w:val="TtuloCar"/>
    <w:uiPriority w:val="10"/>
    <w:qFormat/>
    <w:rsid w:val="00A0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23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3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23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357"/>
    <w:pPr>
      <w:spacing w:before="160"/>
      <w:jc w:val="center"/>
    </w:pPr>
    <w:rPr>
      <w:i/>
      <w:iCs/>
      <w:color w:val="404040" w:themeColor="text1" w:themeTint="BF"/>
    </w:rPr>
  </w:style>
  <w:style w:type="character" w:customStyle="1" w:styleId="CitaCar">
    <w:name w:val="Cita Car"/>
    <w:basedOn w:val="Fuentedeprrafopredeter"/>
    <w:link w:val="Cita"/>
    <w:uiPriority w:val="29"/>
    <w:rsid w:val="00A02357"/>
    <w:rPr>
      <w:i/>
      <w:iCs/>
      <w:color w:val="404040" w:themeColor="text1" w:themeTint="BF"/>
    </w:rPr>
  </w:style>
  <w:style w:type="paragraph" w:styleId="Prrafodelista">
    <w:name w:val="List Paragraph"/>
    <w:basedOn w:val="Normal"/>
    <w:uiPriority w:val="34"/>
    <w:qFormat/>
    <w:rsid w:val="00A02357"/>
    <w:pPr>
      <w:ind w:left="720"/>
      <w:contextualSpacing/>
    </w:pPr>
  </w:style>
  <w:style w:type="character" w:styleId="nfasisintenso">
    <w:name w:val="Intense Emphasis"/>
    <w:basedOn w:val="Fuentedeprrafopredeter"/>
    <w:uiPriority w:val="21"/>
    <w:qFormat/>
    <w:rsid w:val="00A02357"/>
    <w:rPr>
      <w:i/>
      <w:iCs/>
      <w:color w:val="2F5496" w:themeColor="accent1" w:themeShade="BF"/>
    </w:rPr>
  </w:style>
  <w:style w:type="paragraph" w:styleId="Citadestacada">
    <w:name w:val="Intense Quote"/>
    <w:basedOn w:val="Normal"/>
    <w:next w:val="Normal"/>
    <w:link w:val="CitadestacadaCar"/>
    <w:uiPriority w:val="30"/>
    <w:qFormat/>
    <w:rsid w:val="00A02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2357"/>
    <w:rPr>
      <w:i/>
      <w:iCs/>
      <w:color w:val="2F5496" w:themeColor="accent1" w:themeShade="BF"/>
    </w:rPr>
  </w:style>
  <w:style w:type="character" w:styleId="Referenciaintensa">
    <w:name w:val="Intense Reference"/>
    <w:basedOn w:val="Fuentedeprrafopredeter"/>
    <w:uiPriority w:val="32"/>
    <w:qFormat/>
    <w:rsid w:val="00A023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597</Words>
  <Characters>3284</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cardona</dc:creator>
  <cp:keywords/>
  <dc:description/>
  <cp:lastModifiedBy>daniel cardona</cp:lastModifiedBy>
  <cp:revision>2</cp:revision>
  <dcterms:created xsi:type="dcterms:W3CDTF">2026-06-04T14:09:00Z</dcterms:created>
  <dcterms:modified xsi:type="dcterms:W3CDTF">2026-06-05T02:24:00Z</dcterms:modified>
</cp:coreProperties>
</file>